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2"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2" w:lineRule="exact"/>
        <w:rPr>
          <w:sz w:val="24"/>
          <w:szCs w:val="24"/>
          <w:color w:val="auto"/>
        </w:rPr>
      </w:pPr>
    </w:p>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375285</wp:posOffset>
            </wp:positionV>
            <wp:extent cx="715518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35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SECURITIES AND EXCHANGE COMMISSION</w:t>
      </w:r>
    </w:p>
    <w:p>
      <w:pPr>
        <w:jc w:val="center"/>
        <w:ind w:right="-1100"/>
        <w:spacing w:after="0"/>
        <w:rPr>
          <w:sz w:val="20"/>
          <w:szCs w:val="20"/>
          <w:color w:val="auto"/>
        </w:rPr>
      </w:pPr>
      <w:r>
        <w:rPr>
          <w:rFonts w:ascii="Arial" w:cs="Arial" w:eastAsia="Arial" w:hAnsi="Arial"/>
          <w:sz w:val="15"/>
          <w:szCs w:val="15"/>
          <w:b w:val="1"/>
          <w:bCs w:val="1"/>
          <w:color w:val="auto"/>
        </w:rPr>
        <w:t>Washington, D.C. 20549</w:t>
      </w:r>
    </w:p>
    <w:p>
      <w:pPr>
        <w:spacing w:after="0" w:line="147"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SCHEDULE 14A</w:t>
      </w:r>
    </w:p>
    <w:p>
      <w:pPr>
        <w:spacing w:after="0" w:line="213" w:lineRule="exact"/>
        <w:rPr>
          <w:sz w:val="24"/>
          <w:szCs w:val="24"/>
          <w:color w:val="auto"/>
        </w:rPr>
      </w:pPr>
    </w:p>
    <w:p>
      <w:pPr>
        <w:jc w:val="center"/>
        <w:ind w:right="-1100"/>
        <w:spacing w:after="0"/>
        <w:rPr>
          <w:sz w:val="20"/>
          <w:szCs w:val="20"/>
          <w:color w:val="auto"/>
        </w:rPr>
      </w:pPr>
      <w:r>
        <w:rPr>
          <w:rFonts w:ascii="Arial" w:cs="Arial" w:eastAsia="Arial" w:hAnsi="Arial"/>
          <w:sz w:val="15"/>
          <w:szCs w:val="15"/>
          <w:color w:val="auto"/>
        </w:rPr>
        <w:t>Proxy Statement Pursuant to Section 14(a) of</w:t>
      </w:r>
    </w:p>
    <w:p>
      <w:pPr>
        <w:jc w:val="center"/>
        <w:ind w:right="-1100"/>
        <w:spacing w:after="0"/>
        <w:rPr>
          <w:sz w:val="20"/>
          <w:szCs w:val="20"/>
          <w:color w:val="auto"/>
        </w:rPr>
      </w:pPr>
      <w:r>
        <w:rPr>
          <w:rFonts w:ascii="Arial" w:cs="Arial" w:eastAsia="Arial" w:hAnsi="Arial"/>
          <w:sz w:val="15"/>
          <w:szCs w:val="15"/>
          <w:color w:val="auto"/>
        </w:rPr>
        <w:t>the Securities Exchange Act of 1934</w:t>
      </w:r>
    </w:p>
    <w:p>
      <w:pPr>
        <w:spacing w:after="0" w:line="139" w:lineRule="exact"/>
        <w:rPr>
          <w:sz w:val="24"/>
          <w:szCs w:val="24"/>
          <w:color w:val="auto"/>
        </w:rPr>
      </w:pPr>
    </w:p>
    <w:p>
      <w:pPr>
        <w:ind w:left="112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38"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Filed by a Party other than the Registrant o</w:t>
      </w:r>
    </w:p>
    <w:p>
      <w:pPr>
        <w:spacing w:after="0" w:line="187"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Check the appropriate box:</w:t>
      </w:r>
    </w:p>
    <w:p>
      <w:pPr>
        <w:spacing w:after="0" w:line="199" w:lineRule="exact"/>
        <w:rPr>
          <w:sz w:val="24"/>
          <w:szCs w:val="24"/>
          <w:color w:val="auto"/>
        </w:rPr>
      </w:pPr>
    </w:p>
    <w:p>
      <w:pPr>
        <w:ind w:left="1440" w:hanging="323"/>
        <w:spacing w:after="0"/>
        <w:tabs>
          <w:tab w:leader="none" w:pos="14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192" w:lineRule="exact"/>
        <w:rPr>
          <w:rFonts w:ascii="Arial" w:cs="Arial" w:eastAsia="Arial" w:hAnsi="Arial"/>
          <w:sz w:val="15"/>
          <w:szCs w:val="15"/>
          <w:color w:val="auto"/>
        </w:rPr>
      </w:pPr>
    </w:p>
    <w:p>
      <w:pPr>
        <w:ind w:left="1440" w:hanging="323"/>
        <w:spacing w:after="0"/>
        <w:tabs>
          <w:tab w:leader="none" w:pos="144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29" w:lineRule="exact"/>
        <w:rPr>
          <w:sz w:val="24"/>
          <w:szCs w:val="24"/>
          <w:color w:val="auto"/>
        </w:rPr>
      </w:pPr>
    </w:p>
    <w:p>
      <w:pPr>
        <w:ind w:left="1440" w:hanging="323"/>
        <w:spacing w:after="0"/>
        <w:tabs>
          <w:tab w:leader="none" w:pos="144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211" w:lineRule="exact"/>
        <w:rPr>
          <w:sz w:val="24"/>
          <w:szCs w:val="24"/>
          <w:color w:val="auto"/>
        </w:rPr>
      </w:pPr>
    </w:p>
    <w:p>
      <w:pPr>
        <w:ind w:left="1440" w:hanging="323"/>
        <w:spacing w:after="0"/>
        <w:tabs>
          <w:tab w:leader="none" w:pos="144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210" w:lineRule="exact"/>
        <w:rPr>
          <w:rFonts w:ascii="Arial" w:cs="Arial" w:eastAsia="Arial" w:hAnsi="Arial"/>
          <w:sz w:val="15"/>
          <w:szCs w:val="15"/>
          <w:color w:val="auto"/>
        </w:rPr>
      </w:pPr>
    </w:p>
    <w:p>
      <w:pPr>
        <w:ind w:left="1440" w:hanging="323"/>
        <w:spacing w:after="0"/>
        <w:tabs>
          <w:tab w:leader="none" w:pos="144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pacing w:after="0" w:line="3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709295</wp:posOffset>
            </wp:positionH>
            <wp:positionV relativeFrom="paragraph">
              <wp:posOffset>64770</wp:posOffset>
            </wp:positionV>
            <wp:extent cx="57384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8495" cy="6985"/>
                    </a:xfrm>
                    <a:prstGeom prst="rect">
                      <a:avLst/>
                    </a:prstGeom>
                    <a:noFill/>
                  </pic:spPr>
                </pic:pic>
              </a:graphicData>
            </a:graphic>
          </wp:anchor>
        </w:drawing>
      </w:r>
    </w:p>
    <w:p>
      <w:pPr>
        <w:spacing w:after="0" w:line="164" w:lineRule="exact"/>
        <w:rPr>
          <w:sz w:val="24"/>
          <w:szCs w:val="24"/>
          <w:color w:val="auto"/>
        </w:rPr>
      </w:pPr>
    </w:p>
    <w:p>
      <w:pPr>
        <w:ind w:left="4080"/>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709295</wp:posOffset>
            </wp:positionH>
            <wp:positionV relativeFrom="paragraph">
              <wp:posOffset>282575</wp:posOffset>
            </wp:positionV>
            <wp:extent cx="57384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8495" cy="698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3300"/>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66"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Payment of Filing Fee (Check the appropriate box):</w:t>
      </w:r>
    </w:p>
    <w:p>
      <w:pPr>
        <w:spacing w:after="0" w:line="199" w:lineRule="exact"/>
        <w:rPr>
          <w:sz w:val="24"/>
          <w:szCs w:val="24"/>
          <w:color w:val="auto"/>
        </w:rPr>
      </w:pPr>
    </w:p>
    <w:p>
      <w:pPr>
        <w:ind w:left="1440" w:hanging="323"/>
        <w:spacing w:after="0"/>
        <w:tabs>
          <w:tab w:leader="none" w:pos="144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1" w:lineRule="exact"/>
        <w:rPr>
          <w:sz w:val="24"/>
          <w:szCs w:val="24"/>
          <w:color w:val="auto"/>
        </w:rPr>
      </w:pPr>
    </w:p>
    <w:p>
      <w:pPr>
        <w:ind w:left="1440" w:hanging="323"/>
        <w:spacing w:after="0"/>
        <w:tabs>
          <w:tab w:leader="none" w:pos="1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210"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10"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10" w:lineRule="exact"/>
        <w:rPr>
          <w:rFonts w:ascii="Arial" w:cs="Arial" w:eastAsia="Arial" w:hAnsi="Arial"/>
          <w:sz w:val="15"/>
          <w:szCs w:val="15"/>
          <w:color w:val="auto"/>
        </w:rPr>
      </w:pPr>
    </w:p>
    <w:p>
      <w:pPr>
        <w:ind w:left="1800" w:right="219"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376"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10"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13" w:lineRule="exact"/>
        <w:rPr>
          <w:rFonts w:ascii="Arial" w:cs="Arial" w:eastAsia="Arial" w:hAnsi="Arial"/>
          <w:sz w:val="15"/>
          <w:szCs w:val="15"/>
          <w:color w:val="auto"/>
        </w:rPr>
      </w:pPr>
    </w:p>
    <w:p>
      <w:pPr>
        <w:ind w:left="1440" w:hanging="323"/>
        <w:spacing w:after="0"/>
        <w:tabs>
          <w:tab w:leader="none" w:pos="1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0" w:lineRule="exact"/>
        <w:rPr>
          <w:rFonts w:ascii="Arial" w:cs="Arial" w:eastAsia="Arial" w:hAnsi="Arial"/>
          <w:sz w:val="15"/>
          <w:szCs w:val="15"/>
          <w:color w:val="auto"/>
        </w:rPr>
      </w:pPr>
    </w:p>
    <w:p>
      <w:pPr>
        <w:ind w:left="1440" w:right="19" w:hanging="323"/>
        <w:spacing w:after="0" w:line="275"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1" w:lineRule="exact"/>
        <w:rPr>
          <w:rFonts w:ascii="Arial" w:cs="Arial" w:eastAsia="Arial" w:hAnsi="Arial"/>
          <w:sz w:val="14"/>
          <w:szCs w:val="14"/>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10"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10"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10"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396875</wp:posOffset>
            </wp:positionV>
            <wp:extent cx="71551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410845</wp:posOffset>
            </wp:positionV>
            <wp:extent cx="715518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180" cy="2857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551180</wp:posOffset>
            </wp:positionV>
            <wp:extent cx="716026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-2750820</wp:posOffset>
            </wp:positionV>
            <wp:extent cx="528764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-2507615</wp:posOffset>
            </wp:positionV>
            <wp:extent cx="52876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-2049780</wp:posOffset>
            </wp:positionV>
            <wp:extent cx="52876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-1806575</wp:posOffset>
            </wp:positionV>
            <wp:extent cx="528764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-1562735</wp:posOffset>
            </wp:positionV>
            <wp:extent cx="528764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-604520</wp:posOffset>
            </wp:positionV>
            <wp:extent cx="528764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-361315</wp:posOffset>
            </wp:positionV>
            <wp:extent cx="528764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-117475</wp:posOffset>
            </wp:positionV>
            <wp:extent cx="528764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125095</wp:posOffset>
            </wp:positionV>
            <wp:extent cx="528764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7645" cy="6985"/>
                    </a:xfrm>
                    <a:prstGeom prst="rect">
                      <a:avLst/>
                    </a:prstGeom>
                    <a:noFill/>
                  </pic:spPr>
                </pic:pic>
              </a:graphicData>
            </a:graphic>
          </wp:anchor>
        </w:drawing>
      </w:r>
    </w:p>
    <w:p>
      <w:pPr>
        <w:sectPr>
          <w:pgSz w:w="11900" w:h="16838" w:orient="portrait"/>
          <w:cols w:equalWidth="0" w:num="1">
            <w:col w:w="10139"/>
          </w:cols>
          <w:pgMar w:left="320" w:top="594" w:right="1440" w:bottom="1440" w:gutter="0" w:footer="0" w:header="0"/>
        </w:sectPr>
      </w:pPr>
    </w:p>
    <w:bookmarkStart w:id="1" w:name="page2"/>
    <w:bookmarkEnd w:id="1"/>
    <w:p>
      <w:pPr>
        <w:ind w:left="1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2025015" cy="751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5015" cy="751205"/>
                    </a:xfrm>
                    <a:prstGeom prst="rect">
                      <a:avLst/>
                    </a:prstGeom>
                    <a:noFill/>
                  </pic:spPr>
                </pic:pic>
              </a:graphicData>
            </a:graphic>
          </wp:anchor>
        </w:drawing>
      </w:r>
    </w:p>
    <w:p>
      <w:pPr>
        <w:sectPr>
          <w:pgSz w:w="11900" w:h="16838" w:orient="portrait"/>
          <w:cols w:equalWidth="0" w:num="1">
            <w:col w:w="11270"/>
          </w:cols>
          <w:pgMar w:left="310" w:top="14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 w:right="80"/>
        <w:spacing w:after="0" w:line="267" w:lineRule="auto"/>
        <w:rPr>
          <w:sz w:val="20"/>
          <w:szCs w:val="20"/>
          <w:color w:val="auto"/>
        </w:rPr>
      </w:pPr>
      <w:r>
        <w:rPr>
          <w:rFonts w:ascii="Arial" w:cs="Arial" w:eastAsia="Arial" w:hAnsi="Arial"/>
          <w:sz w:val="35"/>
          <w:szCs w:val="35"/>
          <w:color w:val="477157"/>
        </w:rPr>
        <w:t>NOTICE OF ANNUAL MEETING OF STOCKHOLDERS</w:t>
      </w:r>
    </w:p>
    <w:p>
      <w:pPr>
        <w:spacing w:after="0" w:line="283"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477157"/>
        </w:rPr>
        <w:t>Date and Time:</w:t>
      </w:r>
    </w:p>
    <w:p>
      <w:pPr>
        <w:spacing w:after="0" w:line="195" w:lineRule="exact"/>
        <w:rPr>
          <w:sz w:val="20"/>
          <w:szCs w:val="20"/>
          <w:color w:val="auto"/>
        </w:rPr>
      </w:pPr>
    </w:p>
    <w:p>
      <w:pPr>
        <w:ind w:left="10"/>
        <w:spacing w:after="0"/>
        <w:rPr>
          <w:sz w:val="20"/>
          <w:szCs w:val="20"/>
          <w:color w:val="auto"/>
        </w:rPr>
      </w:pPr>
      <w:r>
        <w:rPr>
          <w:rFonts w:ascii="Arial" w:cs="Arial" w:eastAsia="Arial" w:hAnsi="Arial"/>
          <w:sz w:val="15"/>
          <w:szCs w:val="15"/>
          <w:color w:val="auto"/>
        </w:rPr>
        <w:t>May 12, 2020 at 11:00 a.m., Central Time</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477157"/>
        </w:rPr>
        <w:t>Place:*</w:t>
      </w:r>
    </w:p>
    <w:p>
      <w:pPr>
        <w:spacing w:after="0" w:line="191"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Maury Myers Conference Center</w:t>
      </w:r>
    </w:p>
    <w:p>
      <w:pPr>
        <w:ind w:left="10"/>
        <w:spacing w:after="0" w:line="235" w:lineRule="auto"/>
        <w:rPr>
          <w:sz w:val="20"/>
          <w:szCs w:val="20"/>
          <w:color w:val="auto"/>
        </w:rPr>
      </w:pPr>
      <w:r>
        <w:rPr>
          <w:rFonts w:ascii="Arial" w:cs="Arial" w:eastAsia="Arial" w:hAnsi="Arial"/>
          <w:sz w:val="15"/>
          <w:szCs w:val="15"/>
          <w:color w:val="auto"/>
        </w:rPr>
        <w:t>Waste Management, Inc.</w:t>
      </w:r>
    </w:p>
    <w:p>
      <w:pPr>
        <w:ind w:left="10"/>
        <w:spacing w:after="0" w:line="235" w:lineRule="auto"/>
        <w:rPr>
          <w:sz w:val="20"/>
          <w:szCs w:val="20"/>
          <w:color w:val="auto"/>
        </w:rPr>
      </w:pPr>
      <w:r>
        <w:rPr>
          <w:rFonts w:ascii="Arial" w:cs="Arial" w:eastAsia="Arial" w:hAnsi="Arial"/>
          <w:sz w:val="15"/>
          <w:szCs w:val="15"/>
          <w:color w:val="auto"/>
        </w:rPr>
        <w:t>1021 Main Street</w:t>
      </w:r>
    </w:p>
    <w:p>
      <w:pPr>
        <w:ind w:left="10"/>
        <w:spacing w:after="0"/>
        <w:rPr>
          <w:sz w:val="20"/>
          <w:szCs w:val="20"/>
          <w:color w:val="auto"/>
        </w:rPr>
      </w:pPr>
      <w:r>
        <w:rPr>
          <w:rFonts w:ascii="Arial" w:cs="Arial" w:eastAsia="Arial" w:hAnsi="Arial"/>
          <w:sz w:val="15"/>
          <w:szCs w:val="15"/>
          <w:color w:val="auto"/>
        </w:rPr>
        <w:t>Houston, Texas 77002</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477157"/>
        </w:rPr>
        <w:t>Purpose:</w:t>
      </w:r>
    </w:p>
    <w:p>
      <w:pPr>
        <w:spacing w:after="0" w:line="195" w:lineRule="exact"/>
        <w:rPr>
          <w:sz w:val="20"/>
          <w:szCs w:val="20"/>
          <w:color w:val="auto"/>
        </w:rPr>
      </w:pPr>
    </w:p>
    <w:p>
      <w:pPr>
        <w:ind w:left="450" w:right="60" w:hanging="450"/>
        <w:spacing w:after="0"/>
        <w:tabs>
          <w:tab w:leader="none" w:pos="450" w:val="left"/>
        </w:tabs>
        <w:numPr>
          <w:ilvl w:val="0"/>
          <w:numId w:val="6"/>
        </w:numPr>
        <w:rPr>
          <w:rFonts w:ascii="Arial" w:cs="Arial" w:eastAsia="Arial" w:hAnsi="Arial"/>
          <w:sz w:val="15"/>
          <w:szCs w:val="15"/>
          <w:color w:val="477157"/>
        </w:rPr>
      </w:pPr>
      <w:r>
        <w:rPr>
          <w:rFonts w:ascii="Arial" w:cs="Arial" w:eastAsia="Arial" w:hAnsi="Arial"/>
          <w:sz w:val="15"/>
          <w:szCs w:val="15"/>
          <w:color w:val="auto"/>
        </w:rPr>
        <w:t>To elect the eight nominees named in the attached proxy statement for election as directors;</w:t>
      </w:r>
    </w:p>
    <w:p>
      <w:pPr>
        <w:spacing w:after="0" w:line="173" w:lineRule="exact"/>
        <w:rPr>
          <w:rFonts w:ascii="Arial" w:cs="Arial" w:eastAsia="Arial" w:hAnsi="Arial"/>
          <w:sz w:val="15"/>
          <w:szCs w:val="15"/>
          <w:color w:val="477157"/>
        </w:rPr>
      </w:pPr>
    </w:p>
    <w:p>
      <w:pPr>
        <w:jc w:val="both"/>
        <w:ind w:left="450" w:right="60" w:hanging="450"/>
        <w:spacing w:after="0" w:line="238" w:lineRule="auto"/>
        <w:tabs>
          <w:tab w:leader="none" w:pos="450" w:val="left"/>
        </w:tabs>
        <w:numPr>
          <w:ilvl w:val="0"/>
          <w:numId w:val="6"/>
        </w:numPr>
        <w:rPr>
          <w:rFonts w:ascii="Arial" w:cs="Arial" w:eastAsia="Arial" w:hAnsi="Arial"/>
          <w:sz w:val="15"/>
          <w:szCs w:val="15"/>
          <w:color w:val="477157"/>
        </w:rPr>
      </w:pPr>
      <w:r>
        <w:rPr>
          <w:rFonts w:ascii="Arial" w:cs="Arial" w:eastAsia="Arial" w:hAnsi="Arial"/>
          <w:sz w:val="15"/>
          <w:szCs w:val="15"/>
          <w:color w:val="auto"/>
        </w:rPr>
        <w:t>To vote on a proposal to ratify the appointment of Ernst &amp; Young LLP as our independent registered public accounting firm for the fiscal year ending December 31, 2020;</w:t>
      </w:r>
    </w:p>
    <w:p>
      <w:pPr>
        <w:spacing w:after="0" w:line="162" w:lineRule="exact"/>
        <w:rPr>
          <w:rFonts w:ascii="Arial" w:cs="Arial" w:eastAsia="Arial" w:hAnsi="Arial"/>
          <w:sz w:val="15"/>
          <w:szCs w:val="15"/>
          <w:color w:val="477157"/>
        </w:rPr>
      </w:pPr>
    </w:p>
    <w:p>
      <w:pPr>
        <w:ind w:left="450" w:right="60" w:hanging="450"/>
        <w:spacing w:after="0"/>
        <w:tabs>
          <w:tab w:leader="none" w:pos="450" w:val="left"/>
        </w:tabs>
        <w:numPr>
          <w:ilvl w:val="0"/>
          <w:numId w:val="6"/>
        </w:numPr>
        <w:rPr>
          <w:rFonts w:ascii="Arial" w:cs="Arial" w:eastAsia="Arial" w:hAnsi="Arial"/>
          <w:sz w:val="15"/>
          <w:szCs w:val="15"/>
          <w:color w:val="477157"/>
        </w:rPr>
      </w:pPr>
      <w:r>
        <w:rPr>
          <w:rFonts w:ascii="Arial" w:cs="Arial" w:eastAsia="Arial" w:hAnsi="Arial"/>
          <w:sz w:val="15"/>
          <w:szCs w:val="15"/>
          <w:color w:val="auto"/>
        </w:rPr>
        <w:t>To vote on a non-binding, advisory proposal to approve our executive compensation;</w:t>
      </w:r>
    </w:p>
    <w:p>
      <w:pPr>
        <w:spacing w:after="0" w:line="162" w:lineRule="exact"/>
        <w:rPr>
          <w:rFonts w:ascii="Arial" w:cs="Arial" w:eastAsia="Arial" w:hAnsi="Arial"/>
          <w:sz w:val="15"/>
          <w:szCs w:val="15"/>
          <w:color w:val="477157"/>
        </w:rPr>
      </w:pPr>
    </w:p>
    <w:p>
      <w:pPr>
        <w:jc w:val="both"/>
        <w:ind w:left="450" w:right="60" w:hanging="450"/>
        <w:spacing w:after="0" w:line="238" w:lineRule="auto"/>
        <w:tabs>
          <w:tab w:leader="none" w:pos="450" w:val="left"/>
        </w:tabs>
        <w:numPr>
          <w:ilvl w:val="0"/>
          <w:numId w:val="6"/>
        </w:numPr>
        <w:rPr>
          <w:rFonts w:ascii="Arial" w:cs="Arial" w:eastAsia="Arial" w:hAnsi="Arial"/>
          <w:sz w:val="15"/>
          <w:szCs w:val="15"/>
          <w:color w:val="477157"/>
        </w:rPr>
      </w:pPr>
      <w:r>
        <w:rPr>
          <w:rFonts w:ascii="Arial" w:cs="Arial" w:eastAsia="Arial" w:hAnsi="Arial"/>
          <w:sz w:val="15"/>
          <w:szCs w:val="15"/>
          <w:color w:val="auto"/>
        </w:rPr>
        <w:t>To vote on a proposal to amend and restate our Employee Stock Purchase Plan (the "ESPP") to increase the number of shares authorized for issuance under the ESPP; and</w:t>
      </w:r>
    </w:p>
    <w:p>
      <w:pPr>
        <w:spacing w:after="0" w:line="174" w:lineRule="exact"/>
        <w:rPr>
          <w:rFonts w:ascii="Arial" w:cs="Arial" w:eastAsia="Arial" w:hAnsi="Arial"/>
          <w:sz w:val="15"/>
          <w:szCs w:val="15"/>
          <w:color w:val="477157"/>
        </w:rPr>
      </w:pPr>
    </w:p>
    <w:p>
      <w:pPr>
        <w:ind w:left="450" w:hanging="450"/>
        <w:spacing w:after="0"/>
        <w:tabs>
          <w:tab w:leader="none" w:pos="450" w:val="left"/>
        </w:tabs>
        <w:numPr>
          <w:ilvl w:val="0"/>
          <w:numId w:val="6"/>
        </w:numPr>
        <w:rPr>
          <w:rFonts w:ascii="Arial" w:cs="Arial" w:eastAsia="Arial" w:hAnsi="Arial"/>
          <w:sz w:val="15"/>
          <w:szCs w:val="15"/>
          <w:color w:val="477157"/>
        </w:rPr>
      </w:pPr>
      <w:r>
        <w:rPr>
          <w:rFonts w:ascii="Arial" w:cs="Arial" w:eastAsia="Arial" w:hAnsi="Arial"/>
          <w:sz w:val="15"/>
          <w:szCs w:val="15"/>
          <w:color w:val="auto"/>
        </w:rPr>
        <w:t>To conduct other business that is properly raised at the meeting.</w:t>
      </w:r>
    </w:p>
    <w:p>
      <w:pPr>
        <w:spacing w:after="0" w:line="177" w:lineRule="exact"/>
        <w:rPr>
          <w:sz w:val="20"/>
          <w:szCs w:val="20"/>
          <w:color w:val="auto"/>
        </w:rPr>
      </w:pPr>
    </w:p>
    <w:p>
      <w:pPr>
        <w:ind w:left="10"/>
        <w:spacing w:after="0"/>
        <w:rPr>
          <w:sz w:val="20"/>
          <w:szCs w:val="20"/>
          <w:color w:val="auto"/>
        </w:rPr>
      </w:pPr>
      <w:r>
        <w:rPr>
          <w:rFonts w:ascii="Arial" w:cs="Arial" w:eastAsia="Arial" w:hAnsi="Arial"/>
          <w:sz w:val="15"/>
          <w:szCs w:val="15"/>
          <w:color w:val="auto"/>
        </w:rPr>
        <w:t>Only stockholders of record on March 16, 2020 may vote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477157"/>
        </w:rPr>
        <w:t>IMPORTANT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-278130</wp:posOffset>
            </wp:positionV>
            <wp:extent cx="3362960" cy="3542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2960" cy="354203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5"/>
          <w:szCs w:val="15"/>
          <w:b w:val="1"/>
          <w:bCs w:val="1"/>
          <w:color w:val="477157"/>
        </w:rPr>
        <w:t>OF PROXY MATERIALS:</w:t>
      </w:r>
    </w:p>
    <w:p>
      <w:pPr>
        <w:spacing w:after="0" w:line="159" w:lineRule="exact"/>
        <w:rPr>
          <w:sz w:val="20"/>
          <w:szCs w:val="20"/>
          <w:color w:val="auto"/>
        </w:rPr>
      </w:pPr>
    </w:p>
    <w:p>
      <w:pPr>
        <w:jc w:val="both"/>
        <w:ind w:right="100"/>
        <w:spacing w:after="0" w:line="250" w:lineRule="auto"/>
        <w:rPr>
          <w:sz w:val="20"/>
          <w:szCs w:val="20"/>
          <w:color w:val="auto"/>
        </w:rPr>
      </w:pPr>
      <w:r>
        <w:rPr>
          <w:rFonts w:ascii="Arial" w:cs="Arial" w:eastAsia="Arial" w:hAnsi="Arial"/>
          <w:sz w:val="15"/>
          <w:szCs w:val="15"/>
          <w:b w:val="1"/>
          <w:bCs w:val="1"/>
          <w:color w:val="auto"/>
        </w:rPr>
        <w:t>This Notice of Annual Meeting and Proxy Statement and the Company's Annual Report on Form 10-K for the year ended December 31, 2019 are available on the "Investors" webpage at www.wm.com.</w:t>
      </w:r>
    </w:p>
    <w:p>
      <w:pPr>
        <w:spacing w:after="0" w:line="166" w:lineRule="exact"/>
        <w:rPr>
          <w:sz w:val="20"/>
          <w:szCs w:val="20"/>
          <w:color w:val="auto"/>
        </w:rPr>
      </w:pPr>
    </w:p>
    <w:p>
      <w:pPr>
        <w:jc w:val="both"/>
        <w:ind w:left="1300" w:right="620"/>
        <w:spacing w:after="0" w:line="237" w:lineRule="auto"/>
        <w:rPr>
          <w:sz w:val="20"/>
          <w:szCs w:val="20"/>
          <w:color w:val="auto"/>
        </w:rPr>
      </w:pPr>
      <w:r>
        <w:rPr>
          <w:rFonts w:ascii="Arial" w:cs="Arial" w:eastAsia="Arial" w:hAnsi="Arial"/>
          <w:sz w:val="15"/>
          <w:szCs w:val="15"/>
          <w:color w:val="auto"/>
        </w:rPr>
        <w:t>You may vote via the Internet by following the instructions provided in the Notice or, if you received printed copies of the proxy materials, on your proxy card.</w:t>
      </w:r>
    </w:p>
    <w:p>
      <w:pPr>
        <w:spacing w:after="0" w:line="198" w:lineRule="exact"/>
        <w:rPr>
          <w:sz w:val="20"/>
          <w:szCs w:val="20"/>
          <w:color w:val="auto"/>
        </w:rPr>
      </w:pPr>
    </w:p>
    <w:p>
      <w:pPr>
        <w:jc w:val="both"/>
        <w:ind w:left="1300" w:right="620"/>
        <w:spacing w:after="0" w:line="236" w:lineRule="auto"/>
        <w:rPr>
          <w:sz w:val="20"/>
          <w:szCs w:val="20"/>
          <w:color w:val="auto"/>
        </w:rPr>
      </w:pPr>
      <w:r>
        <w:rPr>
          <w:rFonts w:ascii="Arial" w:cs="Arial" w:eastAsia="Arial" w:hAnsi="Arial"/>
          <w:sz w:val="15"/>
          <w:szCs w:val="15"/>
          <w:color w:val="auto"/>
        </w:rPr>
        <w:t>If you received printed copies of the materials in accordance with the instructions in the Notice, you also have the option to vote by telephone by calling the toll-free number listed on your proxy card. Telephone voting is available 24 hours per day until 11:59 p.m., Eastern Time, on May 11, 2020.</w:t>
      </w:r>
    </w:p>
    <w:p>
      <w:pPr>
        <w:spacing w:after="0" w:line="199" w:lineRule="exact"/>
        <w:rPr>
          <w:sz w:val="20"/>
          <w:szCs w:val="20"/>
          <w:color w:val="auto"/>
        </w:rPr>
      </w:pPr>
    </w:p>
    <w:p>
      <w:pPr>
        <w:jc w:val="both"/>
        <w:ind w:left="1300" w:right="620"/>
        <w:spacing w:after="0" w:line="237" w:lineRule="auto"/>
        <w:rPr>
          <w:sz w:val="20"/>
          <w:szCs w:val="20"/>
          <w:color w:val="auto"/>
        </w:rPr>
      </w:pPr>
      <w:r>
        <w:rPr>
          <w:rFonts w:ascii="Arial" w:cs="Arial" w:eastAsia="Arial" w:hAnsi="Arial"/>
          <w:sz w:val="15"/>
          <w:szCs w:val="15"/>
          <w:color w:val="auto"/>
        </w:rPr>
        <w:t>If you received printed copies of the proxy materials in accordance with the instructions in the Notice and would like to vote by mail, please mark, sign and date your proxy card and return it promptly in the postage-paid envelope provided.</w:t>
      </w:r>
    </w:p>
    <w:p>
      <w:pPr>
        <w:spacing w:after="0" w:line="174" w:lineRule="exact"/>
        <w:rPr>
          <w:sz w:val="20"/>
          <w:szCs w:val="20"/>
          <w:color w:val="auto"/>
        </w:rPr>
      </w:pPr>
    </w:p>
    <w:p>
      <w:pPr>
        <w:jc w:val="both"/>
        <w:ind w:right="120"/>
        <w:spacing w:after="0" w:line="238" w:lineRule="auto"/>
        <w:rPr>
          <w:sz w:val="20"/>
          <w:szCs w:val="20"/>
          <w:color w:val="auto"/>
        </w:rPr>
      </w:pPr>
      <w:r>
        <w:rPr>
          <w:rFonts w:ascii="Arial" w:cs="Arial" w:eastAsia="Arial" w:hAnsi="Arial"/>
          <w:sz w:val="15"/>
          <w:szCs w:val="15"/>
          <w:color w:val="auto"/>
        </w:rPr>
        <w:t>If your shares of Common Stock are held in street name, you will receive instructions from your broker, bank or other nominee that you must follow in order to have your shares of Common Stock voted.</w:t>
      </w:r>
    </w:p>
    <w:p>
      <w:pPr>
        <w:spacing w:after="0" w:line="200" w:lineRule="exact"/>
        <w:rPr>
          <w:sz w:val="20"/>
          <w:szCs w:val="20"/>
          <w:color w:val="auto"/>
        </w:rPr>
      </w:pPr>
    </w:p>
    <w:p>
      <w:pPr>
        <w:sectPr>
          <w:pgSz w:w="11900" w:h="16838" w:orient="portrait"/>
          <w:cols w:equalWidth="0" w:num="2">
            <w:col w:w="5350" w:space="720"/>
            <w:col w:w="5200"/>
          </w:cols>
          <w:pgMar w:left="310" w:top="142" w:right="319" w:bottom="1440" w:gutter="0" w:footer="0" w:header="0"/>
          <w:type w:val="continuous"/>
        </w:sectPr>
      </w:pPr>
    </w:p>
    <w:p>
      <w:pPr>
        <w:spacing w:after="0" w:line="267" w:lineRule="exact"/>
        <w:rPr>
          <w:sz w:val="20"/>
          <w:szCs w:val="20"/>
          <w:color w:val="auto"/>
        </w:rPr>
      </w:pPr>
    </w:p>
    <w:p>
      <w:pPr>
        <w:ind w:left="10"/>
        <w:spacing w:after="0"/>
        <w:rPr>
          <w:sz w:val="20"/>
          <w:szCs w:val="20"/>
          <w:color w:val="auto"/>
        </w:rPr>
      </w:pPr>
      <w:r>
        <w:rPr>
          <w:rFonts w:ascii="Arial" w:cs="Arial" w:eastAsia="Arial" w:hAnsi="Arial"/>
          <w:sz w:val="15"/>
          <w:szCs w:val="15"/>
          <w:color w:val="auto"/>
        </w:rPr>
        <w:t>Your vote is important. We urge you to promptly submit your proxy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245235" cy="429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5235" cy="42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
        <w:spacing w:after="0"/>
        <w:rPr>
          <w:sz w:val="20"/>
          <w:szCs w:val="20"/>
          <w:color w:val="auto"/>
        </w:rPr>
      </w:pPr>
      <w:r>
        <w:rPr>
          <w:rFonts w:ascii="Arial" w:cs="Arial" w:eastAsia="Arial" w:hAnsi="Arial"/>
          <w:sz w:val="15"/>
          <w:szCs w:val="15"/>
          <w:color w:val="auto"/>
        </w:rPr>
        <w:t>COURTNEY A. TIPPY</w:t>
      </w:r>
    </w:p>
    <w:p>
      <w:pPr>
        <w:ind w:left="10"/>
        <w:spacing w:after="0"/>
        <w:rPr>
          <w:sz w:val="20"/>
          <w:szCs w:val="20"/>
          <w:color w:val="auto"/>
        </w:rPr>
      </w:pPr>
      <w:r>
        <w:rPr>
          <w:rFonts w:ascii="Arial" w:cs="Arial" w:eastAsia="Arial" w:hAnsi="Arial"/>
          <w:sz w:val="15"/>
          <w:szCs w:val="15"/>
          <w:i w:val="1"/>
          <w:iCs w:val="1"/>
          <w:color w:val="auto"/>
        </w:rPr>
        <w:t>Corporate Secretary</w:t>
      </w:r>
    </w:p>
    <w:p>
      <w:pPr>
        <w:spacing w:after="0" w:line="177" w:lineRule="exact"/>
        <w:rPr>
          <w:sz w:val="20"/>
          <w:szCs w:val="20"/>
          <w:color w:val="auto"/>
        </w:rPr>
      </w:pPr>
    </w:p>
    <w:p>
      <w:pPr>
        <w:ind w:left="10"/>
        <w:spacing w:after="0"/>
        <w:rPr>
          <w:sz w:val="20"/>
          <w:szCs w:val="20"/>
          <w:color w:val="auto"/>
        </w:rPr>
      </w:pPr>
      <w:r>
        <w:rPr>
          <w:rFonts w:ascii="Arial" w:cs="Arial" w:eastAsia="Arial" w:hAnsi="Arial"/>
          <w:sz w:val="15"/>
          <w:szCs w:val="15"/>
          <w:color w:val="auto"/>
        </w:rPr>
        <w:t>March 27, 2020</w:t>
      </w:r>
    </w:p>
    <w:p>
      <w:pPr>
        <w:spacing w:after="0" w:line="357" w:lineRule="exact"/>
        <w:rPr>
          <w:sz w:val="20"/>
          <w:szCs w:val="20"/>
          <w:color w:val="auto"/>
        </w:rPr>
      </w:pPr>
    </w:p>
    <w:p>
      <w:pPr>
        <w:jc w:val="both"/>
        <w:ind w:left="450" w:hanging="450"/>
        <w:spacing w:after="0" w:line="185" w:lineRule="auto"/>
        <w:tabs>
          <w:tab w:leader="none" w:pos="450" w:val="left"/>
        </w:tabs>
        <w:numPr>
          <w:ilvl w:val="0"/>
          <w:numId w:val="7"/>
        </w:numPr>
        <w:rPr>
          <w:rFonts w:ascii="Arial" w:cs="Arial" w:eastAsia="Arial" w:hAnsi="Arial"/>
          <w:sz w:val="35"/>
          <w:szCs w:val="35"/>
          <w:color w:val="auto"/>
          <w:vertAlign w:val="subscript"/>
        </w:rPr>
      </w:pPr>
      <w:r>
        <w:rPr>
          <w:rFonts w:ascii="Arial" w:cs="Arial" w:eastAsia="Arial" w:hAnsi="Arial"/>
          <w:sz w:val="14"/>
          <w:szCs w:val="14"/>
          <w:color w:val="auto"/>
        </w:rPr>
        <w:t>We intend to hold our annual meeting in person. However, we are actively monitoring the public health and travel concerns relating to COVID-19 (coronavirus). In the event it is not possible or advisable to hold the annual meeting as planned, we will announce alternative arrangements for the meeting, which may include holding the meeting solely by means of remote communication. Any alternative arrangements for the meeting will be publicly announced in a press release available on the Company's "Investors" webpage at www.wm.com and filed with the SEC. As always, we encourage you to vote your shares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-548640</wp:posOffset>
            </wp:positionV>
            <wp:extent cx="165989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5989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6026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70"/>
          </w:cols>
          <w:pgMar w:left="310" w:top="142" w:right="319" w:bottom="1440" w:gutter="0" w:footer="0" w:header="0"/>
          <w:type w:val="continuous"/>
        </w:sectPr>
      </w:pPr>
    </w:p>
    <w:bookmarkStart w:id="2" w:name="page3"/>
    <w:bookmarkEnd w:id="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36"/>
          <w:szCs w:val="36"/>
          <w:color w:val="477157"/>
        </w:rPr>
        <w:t>TABLE OF CONTENTS</w:t>
      </w:r>
    </w:p>
    <w:p>
      <w:pPr>
        <w:spacing w:after="0" w:line="376" w:lineRule="exact"/>
        <w:rPr>
          <w:sz w:val="20"/>
          <w:szCs w:val="20"/>
          <w:color w:val="auto"/>
        </w:rPr>
      </w:pPr>
    </w:p>
    <w:tbl>
      <w:tblPr>
        <w:tblLayout w:type="fixed"/>
        <w:tblInd w:w="520" w:type="dxa"/>
        <w:tblCellMar>
          <w:top w:w="0" w:type="dxa"/>
          <w:left w:w="0" w:type="dxa"/>
          <w:bottom w:w="0" w:type="dxa"/>
          <w:right w:w="0" w:type="dxa"/>
        </w:tblCellMar>
      </w:tblPr>
      <w:tr>
        <w:trPr>
          <w:trHeight w:val="145"/>
        </w:trPr>
        <w:tc>
          <w:tcPr>
            <w:tcW w:w="3940" w:type="dxa"/>
            <w:vAlign w:val="bottom"/>
            <w:gridSpan w:val="27"/>
            <w:vMerge w:val="restart"/>
          </w:tcPr>
          <w:p>
            <w:pPr>
              <w:spacing w:after="0"/>
              <w:rPr>
                <w:sz w:val="20"/>
                <w:szCs w:val="20"/>
                <w:color w:val="auto"/>
              </w:rPr>
            </w:pPr>
            <w:r>
              <w:rPr>
                <w:rFonts w:ascii="Arial" w:cs="Arial" w:eastAsia="Arial" w:hAnsi="Arial"/>
                <w:sz w:val="15"/>
                <w:szCs w:val="15"/>
                <w:b w:val="1"/>
                <w:bCs w:val="1"/>
                <w:color w:val="477157"/>
              </w:rPr>
              <w:t>GENERAL INFORMATION</w:t>
            </w:r>
          </w:p>
        </w:tc>
        <w:tc>
          <w:tcPr>
            <w:tcW w:w="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w w:val="90"/>
              </w:rPr>
              <w:t>Page</w:t>
            </w:r>
          </w:p>
        </w:tc>
        <w:tc>
          <w:tcPr>
            <w:tcW w:w="0" w:type="dxa"/>
            <w:vAlign w:val="bottom"/>
          </w:tcPr>
          <w:p>
            <w:pPr>
              <w:spacing w:after="0"/>
              <w:rPr>
                <w:sz w:val="1"/>
                <w:szCs w:val="1"/>
                <w:color w:val="auto"/>
              </w:rPr>
            </w:pPr>
          </w:p>
        </w:tc>
      </w:tr>
      <w:tr>
        <w:trPr>
          <w:trHeight w:val="145"/>
        </w:trPr>
        <w:tc>
          <w:tcPr>
            <w:tcW w:w="3940" w:type="dxa"/>
            <w:vAlign w:val="bottom"/>
            <w:gridSpan w:val="27"/>
            <w:vMerge w:val="continue"/>
          </w:tcPr>
          <w:p>
            <w:pPr>
              <w:spacing w:after="0"/>
              <w:rPr>
                <w:sz w:val="12"/>
                <w:szCs w:val="12"/>
                <w:color w:val="auto"/>
              </w:rPr>
            </w:pPr>
          </w:p>
        </w:tc>
        <w:tc>
          <w:tcPr>
            <w:tcW w:w="300" w:type="dxa"/>
            <w:vAlign w:val="bottom"/>
            <w:gridSpan w:val="3"/>
          </w:tcPr>
          <w:p>
            <w:pPr>
              <w:jc w:val="right"/>
              <w:spacing w:after="0" w:line="145"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3940" w:type="dxa"/>
            <w:vAlign w:val="bottom"/>
            <w:gridSpan w:val="27"/>
          </w:tcPr>
          <w:p>
            <w:pPr>
              <w:spacing w:after="0" w:line="162" w:lineRule="exact"/>
              <w:rPr>
                <w:rFonts w:ascii="Arial" w:cs="Arial" w:eastAsia="Arial" w:hAnsi="Arial"/>
                <w:sz w:val="15"/>
                <w:szCs w:val="15"/>
                <w:b w:val="1"/>
                <w:bCs w:val="1"/>
                <w:color w:val="477157"/>
              </w:rPr>
            </w:pPr>
            <w:hyperlink w:anchor="page8">
              <w:r>
                <w:rPr>
                  <w:rFonts w:ascii="Arial" w:cs="Arial" w:eastAsia="Arial" w:hAnsi="Arial"/>
                  <w:sz w:val="15"/>
                  <w:szCs w:val="15"/>
                  <w:b w:val="1"/>
                  <w:bCs w:val="1"/>
                  <w:color w:val="477157"/>
                </w:rPr>
                <w:t>BOARD OF DIRECTORS</w:t>
              </w:r>
            </w:hyperlink>
          </w:p>
        </w:tc>
        <w:tc>
          <w:tcPr>
            <w:tcW w:w="300" w:type="dxa"/>
            <w:vAlign w:val="bottom"/>
            <w:gridSpan w:val="3"/>
          </w:tcPr>
          <w:p>
            <w:pPr>
              <w:jc w:val="right"/>
              <w:spacing w:after="0" w:line="162" w:lineRule="exact"/>
              <w:rPr>
                <w:rFonts w:ascii="Arial" w:cs="Arial" w:eastAsia="Arial" w:hAnsi="Arial"/>
                <w:sz w:val="15"/>
                <w:szCs w:val="15"/>
                <w:color w:val="0000EE"/>
              </w:rPr>
            </w:pPr>
            <w:hyperlink w:anchor="page8">
              <w:r>
                <w:rPr>
                  <w:rFonts w:ascii="Arial" w:cs="Arial" w:eastAsia="Arial" w:hAnsi="Arial"/>
                  <w:sz w:val="15"/>
                  <w:szCs w:val="15"/>
                  <w:color w:val="0000EE"/>
                </w:rPr>
                <w:t>5</w:t>
              </w:r>
            </w:hyperlink>
          </w:p>
        </w:tc>
        <w:tc>
          <w:tcPr>
            <w:tcW w:w="0" w:type="dxa"/>
            <w:vAlign w:val="bottom"/>
          </w:tcPr>
          <w:p>
            <w:pPr>
              <w:spacing w:after="0"/>
              <w:rPr>
                <w:sz w:val="1"/>
                <w:szCs w:val="1"/>
                <w:color w:val="auto"/>
              </w:rPr>
            </w:pPr>
          </w:p>
        </w:tc>
      </w:tr>
      <w:tr>
        <w:trPr>
          <w:trHeight w:val="20"/>
        </w:trPr>
        <w:tc>
          <w:tcPr>
            <w:tcW w:w="140" w:type="dxa"/>
            <w:vAlign w:val="bottom"/>
            <w:shd w:val="clear" w:color="auto" w:fill="477157"/>
          </w:tcPr>
          <w:p>
            <w:pPr>
              <w:spacing w:after="0" w:line="20" w:lineRule="exact"/>
              <w:rPr>
                <w:sz w:val="1"/>
                <w:szCs w:val="1"/>
                <w:color w:val="auto"/>
              </w:rPr>
            </w:pPr>
          </w:p>
        </w:tc>
        <w:tc>
          <w:tcPr>
            <w:tcW w:w="140" w:type="dxa"/>
            <w:vAlign w:val="bottom"/>
            <w:shd w:val="clear" w:color="auto" w:fill="477157"/>
          </w:tcPr>
          <w:p>
            <w:pPr>
              <w:spacing w:after="0" w:line="20" w:lineRule="exact"/>
              <w:rPr>
                <w:sz w:val="1"/>
                <w:szCs w:val="1"/>
                <w:color w:val="auto"/>
              </w:rPr>
            </w:pPr>
          </w:p>
        </w:tc>
        <w:tc>
          <w:tcPr>
            <w:tcW w:w="120" w:type="dxa"/>
            <w:vAlign w:val="bottom"/>
            <w:shd w:val="clear" w:color="auto" w:fill="477157"/>
          </w:tcPr>
          <w:p>
            <w:pPr>
              <w:spacing w:after="0" w:line="20" w:lineRule="exact"/>
              <w:rPr>
                <w:sz w:val="1"/>
                <w:szCs w:val="1"/>
                <w:color w:val="auto"/>
              </w:rPr>
            </w:pPr>
          </w:p>
        </w:tc>
        <w:tc>
          <w:tcPr>
            <w:tcW w:w="400" w:type="dxa"/>
            <w:vAlign w:val="bottom"/>
            <w:shd w:val="clear" w:color="auto" w:fill="477157"/>
          </w:tcPr>
          <w:p>
            <w:pPr>
              <w:spacing w:after="0" w:line="20" w:lineRule="exact"/>
              <w:rPr>
                <w:sz w:val="1"/>
                <w:szCs w:val="1"/>
                <w:color w:val="auto"/>
              </w:rPr>
            </w:pPr>
          </w:p>
        </w:tc>
        <w:tc>
          <w:tcPr>
            <w:tcW w:w="100" w:type="dxa"/>
            <w:vAlign w:val="bottom"/>
            <w:shd w:val="clear" w:color="auto" w:fill="477157"/>
          </w:tcPr>
          <w:p>
            <w:pPr>
              <w:spacing w:after="0" w:line="20" w:lineRule="exact"/>
              <w:rPr>
                <w:sz w:val="1"/>
                <w:szCs w:val="1"/>
                <w:color w:val="auto"/>
              </w:rPr>
            </w:pPr>
          </w:p>
        </w:tc>
        <w:tc>
          <w:tcPr>
            <w:tcW w:w="80" w:type="dxa"/>
            <w:vAlign w:val="bottom"/>
            <w:shd w:val="clear" w:color="auto" w:fill="477157"/>
          </w:tcPr>
          <w:p>
            <w:pPr>
              <w:spacing w:after="0" w:line="20" w:lineRule="exact"/>
              <w:rPr>
                <w:sz w:val="1"/>
                <w:szCs w:val="1"/>
                <w:color w:val="auto"/>
              </w:rPr>
            </w:pPr>
          </w:p>
        </w:tc>
        <w:tc>
          <w:tcPr>
            <w:tcW w:w="60" w:type="dxa"/>
            <w:vAlign w:val="bottom"/>
            <w:shd w:val="clear" w:color="auto" w:fill="477157"/>
          </w:tcPr>
          <w:p>
            <w:pPr>
              <w:spacing w:after="0" w:line="20" w:lineRule="exact"/>
              <w:rPr>
                <w:sz w:val="1"/>
                <w:szCs w:val="1"/>
                <w:color w:val="auto"/>
              </w:rPr>
            </w:pPr>
          </w:p>
        </w:tc>
        <w:tc>
          <w:tcPr>
            <w:tcW w:w="180" w:type="dxa"/>
            <w:vAlign w:val="bottom"/>
            <w:tcBorders>
              <w:left w:val="single" w:sz="8" w:color="477157"/>
            </w:tcBorders>
            <w:shd w:val="clear" w:color="auto" w:fill="477157"/>
          </w:tcPr>
          <w:p>
            <w:pPr>
              <w:spacing w:after="0" w:line="20" w:lineRule="exact"/>
              <w:rPr>
                <w:sz w:val="1"/>
                <w:szCs w:val="1"/>
                <w:color w:val="auto"/>
              </w:rPr>
            </w:pPr>
          </w:p>
        </w:tc>
        <w:tc>
          <w:tcPr>
            <w:tcW w:w="280" w:type="dxa"/>
            <w:vAlign w:val="bottom"/>
            <w:shd w:val="clear" w:color="auto" w:fill="477157"/>
          </w:tcPr>
          <w:p>
            <w:pPr>
              <w:spacing w:after="0" w:line="20" w:lineRule="exact"/>
              <w:rPr>
                <w:sz w:val="1"/>
                <w:szCs w:val="1"/>
                <w:color w:val="auto"/>
              </w:rPr>
            </w:pPr>
          </w:p>
        </w:tc>
        <w:tc>
          <w:tcPr>
            <w:tcW w:w="80" w:type="dxa"/>
            <w:vAlign w:val="bottom"/>
            <w:shd w:val="clear" w:color="auto" w:fill="477157"/>
          </w:tcPr>
          <w:p>
            <w:pPr>
              <w:spacing w:after="0" w:line="20" w:lineRule="exact"/>
              <w:rPr>
                <w:sz w:val="1"/>
                <w:szCs w:val="1"/>
                <w:color w:val="auto"/>
              </w:rPr>
            </w:pPr>
          </w:p>
        </w:tc>
        <w:tc>
          <w:tcPr>
            <w:tcW w:w="100" w:type="dxa"/>
            <w:vAlign w:val="bottom"/>
            <w:tcBorders>
              <w:left w:val="single" w:sz="8" w:color="477157"/>
            </w:tcBorders>
            <w:shd w:val="clear" w:color="auto" w:fill="47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1360" w:type="dxa"/>
            <w:vAlign w:val="bottom"/>
            <w:gridSpan w:val="8"/>
          </w:tcPr>
          <w:p>
            <w:pPr>
              <w:spacing w:after="0" w:line="149" w:lineRule="exact"/>
              <w:rPr>
                <w:rFonts w:ascii="Arial" w:cs="Arial" w:eastAsia="Arial" w:hAnsi="Arial"/>
                <w:sz w:val="15"/>
                <w:szCs w:val="15"/>
                <w:color w:val="0000EE"/>
                <w:w w:val="96"/>
              </w:rPr>
            </w:pPr>
            <w:hyperlink w:anchor="page8">
              <w:r>
                <w:rPr>
                  <w:rFonts w:ascii="Arial" w:cs="Arial" w:eastAsia="Arial" w:hAnsi="Arial"/>
                  <w:sz w:val="15"/>
                  <w:szCs w:val="15"/>
                  <w:color w:val="0000EE"/>
                  <w:w w:val="96"/>
                </w:rPr>
                <w:t>Leadership Structure</w:t>
              </w:r>
            </w:hyperlink>
          </w:p>
        </w:tc>
        <w:tc>
          <w:tcPr>
            <w:tcW w:w="180" w:type="dxa"/>
            <w:vAlign w:val="bottom"/>
            <w:gridSpan w:val="2"/>
          </w:tcPr>
          <w:p>
            <w:pPr>
              <w:spacing w:after="0"/>
              <w:rPr>
                <w:sz w:val="12"/>
                <w:szCs w:val="12"/>
                <w:color w:val="auto"/>
              </w:rPr>
            </w:pPr>
          </w:p>
        </w:tc>
        <w:tc>
          <w:tcPr>
            <w:tcW w:w="2260" w:type="dxa"/>
            <w:vAlign w:val="bottom"/>
            <w:gridSpan w:val="16"/>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8">
              <w:r>
                <w:rPr>
                  <w:rFonts w:ascii="Arial" w:cs="Arial" w:eastAsia="Arial" w:hAnsi="Arial"/>
                  <w:sz w:val="15"/>
                  <w:szCs w:val="15"/>
                  <w:color w:val="0000EE"/>
                </w:rPr>
                <w:t>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1440" w:type="dxa"/>
            <w:vAlign w:val="bottom"/>
            <w:gridSpan w:val="9"/>
          </w:tcPr>
          <w:p>
            <w:pPr>
              <w:spacing w:after="0" w:line="149" w:lineRule="exact"/>
              <w:rPr>
                <w:rFonts w:ascii="Arial" w:cs="Arial" w:eastAsia="Arial" w:hAnsi="Arial"/>
                <w:sz w:val="15"/>
                <w:szCs w:val="15"/>
                <w:color w:val="0000EE"/>
                <w:w w:val="94"/>
              </w:rPr>
            </w:pPr>
            <w:hyperlink w:anchor="page8">
              <w:r>
                <w:rPr>
                  <w:rFonts w:ascii="Arial" w:cs="Arial" w:eastAsia="Arial" w:hAnsi="Arial"/>
                  <w:sz w:val="15"/>
                  <w:szCs w:val="15"/>
                  <w:color w:val="0000EE"/>
                  <w:w w:val="94"/>
                </w:rPr>
                <w:t>Role in Risk Oversight</w:t>
              </w:r>
            </w:hyperlink>
          </w:p>
        </w:tc>
        <w:tc>
          <w:tcPr>
            <w:tcW w:w="2360" w:type="dxa"/>
            <w:vAlign w:val="bottom"/>
            <w:gridSpan w:val="17"/>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8">
              <w:r>
                <w:rPr>
                  <w:rFonts w:ascii="Arial" w:cs="Arial" w:eastAsia="Arial" w:hAnsi="Arial"/>
                  <w:sz w:val="15"/>
                  <w:szCs w:val="15"/>
                  <w:color w:val="0000EE"/>
                </w:rPr>
                <w:t>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2160" w:type="dxa"/>
            <w:vAlign w:val="bottom"/>
            <w:gridSpan w:val="15"/>
          </w:tcPr>
          <w:p>
            <w:pPr>
              <w:spacing w:after="0" w:line="149" w:lineRule="exact"/>
              <w:rPr>
                <w:rFonts w:ascii="Arial" w:cs="Arial" w:eastAsia="Arial" w:hAnsi="Arial"/>
                <w:sz w:val="15"/>
                <w:szCs w:val="15"/>
                <w:color w:val="0000EE"/>
                <w:w w:val="95"/>
              </w:rPr>
            </w:pPr>
            <w:hyperlink w:anchor="page9">
              <w:r>
                <w:rPr>
                  <w:rFonts w:ascii="Arial" w:cs="Arial" w:eastAsia="Arial" w:hAnsi="Arial"/>
                  <w:sz w:val="15"/>
                  <w:szCs w:val="15"/>
                  <w:color w:val="0000EE"/>
                  <w:w w:val="95"/>
                </w:rPr>
                <w:t>Independence of Board Members</w:t>
              </w:r>
            </w:hyperlink>
          </w:p>
        </w:tc>
        <w:tc>
          <w:tcPr>
            <w:tcW w:w="1640" w:type="dxa"/>
            <w:vAlign w:val="bottom"/>
            <w:gridSpan w:val="11"/>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9">
              <w:r>
                <w:rPr>
                  <w:rFonts w:ascii="Arial" w:cs="Arial" w:eastAsia="Arial" w:hAnsi="Arial"/>
                  <w:sz w:val="15"/>
                  <w:szCs w:val="15"/>
                  <w:color w:val="0000EE"/>
                </w:rPr>
                <w:t>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2160" w:type="dxa"/>
            <w:vAlign w:val="bottom"/>
            <w:gridSpan w:val="15"/>
          </w:tcPr>
          <w:p>
            <w:pPr>
              <w:spacing w:after="0" w:line="149" w:lineRule="exact"/>
              <w:rPr>
                <w:rFonts w:ascii="Arial" w:cs="Arial" w:eastAsia="Arial" w:hAnsi="Arial"/>
                <w:sz w:val="15"/>
                <w:szCs w:val="15"/>
                <w:color w:val="0000EE"/>
                <w:w w:val="97"/>
              </w:rPr>
            </w:pPr>
            <w:hyperlink w:anchor="page9">
              <w:r>
                <w:rPr>
                  <w:rFonts w:ascii="Arial" w:cs="Arial" w:eastAsia="Arial" w:hAnsi="Arial"/>
                  <w:sz w:val="15"/>
                  <w:szCs w:val="15"/>
                  <w:color w:val="0000EE"/>
                  <w:w w:val="97"/>
                </w:rPr>
                <w:t>Meetings and Board Committees</w:t>
              </w:r>
            </w:hyperlink>
          </w:p>
        </w:tc>
        <w:tc>
          <w:tcPr>
            <w:tcW w:w="1640" w:type="dxa"/>
            <w:vAlign w:val="bottom"/>
            <w:gridSpan w:val="11"/>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9">
              <w:r>
                <w:rPr>
                  <w:rFonts w:ascii="Arial" w:cs="Arial" w:eastAsia="Arial" w:hAnsi="Arial"/>
                  <w:sz w:val="15"/>
                  <w:szCs w:val="15"/>
                  <w:color w:val="0000EE"/>
                </w:rPr>
                <w:t>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1080" w:type="dxa"/>
            <w:vAlign w:val="bottom"/>
            <w:gridSpan w:val="7"/>
          </w:tcPr>
          <w:p>
            <w:pPr>
              <w:spacing w:after="0" w:line="149" w:lineRule="exact"/>
              <w:rPr>
                <w:rFonts w:ascii="Arial" w:cs="Arial" w:eastAsia="Arial" w:hAnsi="Arial"/>
                <w:sz w:val="15"/>
                <w:szCs w:val="15"/>
                <w:color w:val="0000EE"/>
                <w:w w:val="95"/>
              </w:rPr>
            </w:pPr>
            <w:hyperlink w:anchor="page10">
              <w:r>
                <w:rPr>
                  <w:rFonts w:ascii="Arial" w:cs="Arial" w:eastAsia="Arial" w:hAnsi="Arial"/>
                  <w:sz w:val="15"/>
                  <w:szCs w:val="15"/>
                  <w:color w:val="0000EE"/>
                  <w:w w:val="95"/>
                </w:rPr>
                <w:t>Audit Committee</w:t>
              </w:r>
            </w:hyperlink>
          </w:p>
        </w:tc>
        <w:tc>
          <w:tcPr>
            <w:tcW w:w="1040" w:type="dxa"/>
            <w:vAlign w:val="bottom"/>
            <w:gridSpan w:val="7"/>
          </w:tcPr>
          <w:p>
            <w:pPr>
              <w:spacing w:after="0"/>
              <w:rPr>
                <w:sz w:val="12"/>
                <w:szCs w:val="12"/>
                <w:color w:val="auto"/>
              </w:rPr>
            </w:pPr>
          </w:p>
        </w:tc>
        <w:tc>
          <w:tcPr>
            <w:tcW w:w="1680" w:type="dxa"/>
            <w:vAlign w:val="bottom"/>
            <w:gridSpan w:val="12"/>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10">
              <w:r>
                <w:rPr>
                  <w:rFonts w:ascii="Arial" w:cs="Arial" w:eastAsia="Arial" w:hAnsi="Arial"/>
                  <w:sz w:val="15"/>
                  <w:szCs w:val="15"/>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1560" w:type="dxa"/>
            <w:vAlign w:val="bottom"/>
            <w:gridSpan w:val="11"/>
          </w:tcPr>
          <w:p>
            <w:pPr>
              <w:spacing w:after="0" w:line="149" w:lineRule="exact"/>
              <w:rPr>
                <w:rFonts w:ascii="Arial" w:cs="Arial" w:eastAsia="Arial" w:hAnsi="Arial"/>
                <w:sz w:val="15"/>
                <w:szCs w:val="15"/>
                <w:color w:val="0000EE"/>
                <w:w w:val="96"/>
              </w:rPr>
            </w:pPr>
            <w:hyperlink w:anchor="page12">
              <w:r>
                <w:rPr>
                  <w:rFonts w:ascii="Arial" w:cs="Arial" w:eastAsia="Arial" w:hAnsi="Arial"/>
                  <w:sz w:val="15"/>
                  <w:szCs w:val="15"/>
                  <w:color w:val="0000EE"/>
                  <w:w w:val="96"/>
                </w:rPr>
                <w:t>Audit Committee Report</w:t>
              </w:r>
            </w:hyperlink>
          </w:p>
        </w:tc>
        <w:tc>
          <w:tcPr>
            <w:tcW w:w="2240" w:type="dxa"/>
            <w:vAlign w:val="bottom"/>
            <w:gridSpan w:val="15"/>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12">
              <w:r>
                <w:rPr>
                  <w:rFonts w:ascii="Arial" w:cs="Arial" w:eastAsia="Arial" w:hAnsi="Arial"/>
                  <w:sz w:val="15"/>
                  <w:szCs w:val="15"/>
                  <w:color w:val="0000EE"/>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3800" w:type="dxa"/>
            <w:vAlign w:val="bottom"/>
            <w:gridSpan w:val="26"/>
          </w:tcPr>
          <w:p>
            <w:pPr>
              <w:spacing w:after="0" w:line="149" w:lineRule="exact"/>
              <w:rPr>
                <w:rFonts w:ascii="Arial" w:cs="Arial" w:eastAsia="Arial" w:hAnsi="Arial"/>
                <w:sz w:val="15"/>
                <w:szCs w:val="15"/>
                <w:color w:val="0000EE"/>
              </w:rPr>
            </w:pPr>
            <w:hyperlink w:anchor="page14">
              <w:r>
                <w:rPr>
                  <w:rFonts w:ascii="Arial" w:cs="Arial" w:eastAsia="Arial" w:hAnsi="Arial"/>
                  <w:sz w:val="15"/>
                  <w:szCs w:val="15"/>
                  <w:color w:val="0000EE"/>
                </w:rPr>
                <w:t>Management Development and Compensation</w:t>
              </w:r>
            </w:hyperlink>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700" w:type="dxa"/>
            <w:vAlign w:val="bottom"/>
            <w:tcBorders>
              <w:top w:val="single" w:sz="8" w:color="0000EE"/>
            </w:tcBorders>
            <w:gridSpan w:val="4"/>
          </w:tcPr>
          <w:p>
            <w:pPr>
              <w:spacing w:after="0" w:line="149" w:lineRule="exact"/>
              <w:rPr>
                <w:rFonts w:ascii="Arial" w:cs="Arial" w:eastAsia="Arial" w:hAnsi="Arial"/>
                <w:sz w:val="15"/>
                <w:szCs w:val="15"/>
                <w:color w:val="0000EE"/>
                <w:w w:val="93"/>
              </w:rPr>
            </w:pPr>
            <w:hyperlink w:anchor="page14">
              <w:r>
                <w:rPr>
                  <w:rFonts w:ascii="Arial" w:cs="Arial" w:eastAsia="Arial" w:hAnsi="Arial"/>
                  <w:sz w:val="15"/>
                  <w:szCs w:val="15"/>
                  <w:color w:val="0000EE"/>
                  <w:w w:val="93"/>
                </w:rPr>
                <w:t>Committee</w:t>
              </w:r>
            </w:hyperlink>
          </w:p>
        </w:tc>
        <w:tc>
          <w:tcPr>
            <w:tcW w:w="2180" w:type="dxa"/>
            <w:vAlign w:val="bottom"/>
            <w:tcBorders>
              <w:top w:val="single" w:sz="8" w:color="0000EE"/>
            </w:tcBorders>
            <w:gridSpan w:val="15"/>
          </w:tcPr>
          <w:p>
            <w:pPr>
              <w:spacing w:after="0"/>
              <w:rPr>
                <w:sz w:val="12"/>
                <w:szCs w:val="12"/>
                <w:color w:val="auto"/>
              </w:rPr>
            </w:pPr>
          </w:p>
        </w:tc>
        <w:tc>
          <w:tcPr>
            <w:tcW w:w="780" w:type="dxa"/>
            <w:vAlign w:val="bottom"/>
            <w:gridSpan w:val="6"/>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14">
              <w:r>
                <w:rPr>
                  <w:rFonts w:ascii="Arial" w:cs="Arial" w:eastAsia="Arial" w:hAnsi="Arial"/>
                  <w:sz w:val="15"/>
                  <w:szCs w:val="15"/>
                  <w:color w:val="0000EE"/>
                </w:rPr>
                <w:t>11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3800" w:type="dxa"/>
            <w:vAlign w:val="bottom"/>
            <w:gridSpan w:val="26"/>
          </w:tcPr>
          <w:p>
            <w:pPr>
              <w:spacing w:after="0" w:line="149" w:lineRule="exact"/>
              <w:rPr>
                <w:rFonts w:ascii="Arial" w:cs="Arial" w:eastAsia="Arial" w:hAnsi="Arial"/>
                <w:sz w:val="15"/>
                <w:szCs w:val="15"/>
                <w:color w:val="0000EE"/>
              </w:rPr>
            </w:pPr>
            <w:hyperlink w:anchor="page15">
              <w:r>
                <w:rPr>
                  <w:rFonts w:ascii="Arial" w:cs="Arial" w:eastAsia="Arial" w:hAnsi="Arial"/>
                  <w:sz w:val="15"/>
                  <w:szCs w:val="15"/>
                  <w:color w:val="0000EE"/>
                </w:rPr>
                <w:t>Compensation Committee Report</w:t>
              </w:r>
            </w:hyperlink>
          </w:p>
        </w:tc>
        <w:tc>
          <w:tcPr>
            <w:tcW w:w="300" w:type="dxa"/>
            <w:vAlign w:val="bottom"/>
            <w:gridSpan w:val="3"/>
          </w:tcPr>
          <w:p>
            <w:pPr>
              <w:jc w:val="right"/>
              <w:spacing w:after="0" w:line="149" w:lineRule="exact"/>
              <w:rPr>
                <w:rFonts w:ascii="Arial" w:cs="Arial" w:eastAsia="Arial" w:hAnsi="Arial"/>
                <w:sz w:val="15"/>
                <w:szCs w:val="15"/>
                <w:color w:val="0000EE"/>
              </w:rPr>
            </w:pPr>
            <w:hyperlink w:anchor="page15">
              <w:r>
                <w:rPr>
                  <w:rFonts w:ascii="Arial" w:cs="Arial" w:eastAsia="Arial" w:hAnsi="Arial"/>
                  <w:sz w:val="15"/>
                  <w:szCs w:val="15"/>
                  <w:color w:val="0000EE"/>
                </w:rPr>
                <w:t>12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3800" w:type="dxa"/>
            <w:vAlign w:val="bottom"/>
            <w:gridSpan w:val="26"/>
          </w:tcPr>
          <w:p>
            <w:pPr>
              <w:spacing w:after="0" w:line="149" w:lineRule="exact"/>
              <w:rPr>
                <w:rFonts w:ascii="Arial" w:cs="Arial" w:eastAsia="Arial" w:hAnsi="Arial"/>
                <w:sz w:val="15"/>
                <w:szCs w:val="15"/>
                <w:color w:val="0000EE"/>
              </w:rPr>
            </w:pPr>
            <w:hyperlink w:anchor="page15">
              <w:r>
                <w:rPr>
                  <w:rFonts w:ascii="Arial" w:cs="Arial" w:eastAsia="Arial" w:hAnsi="Arial"/>
                  <w:sz w:val="15"/>
                  <w:szCs w:val="15"/>
                  <w:color w:val="0000EE"/>
                </w:rPr>
                <w:t>Compensation Committee Interlocks and Insider</w:t>
              </w:r>
            </w:hyperlink>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760" w:type="dxa"/>
            <w:vAlign w:val="bottom"/>
            <w:tcBorders>
              <w:top w:val="single" w:sz="8" w:color="0000EE"/>
            </w:tcBorders>
            <w:gridSpan w:val="5"/>
          </w:tcPr>
          <w:p>
            <w:pPr>
              <w:spacing w:after="0" w:line="149" w:lineRule="exact"/>
              <w:rPr>
                <w:rFonts w:ascii="Arial" w:cs="Arial" w:eastAsia="Arial" w:hAnsi="Arial"/>
                <w:sz w:val="15"/>
                <w:szCs w:val="15"/>
                <w:color w:val="0000EE"/>
                <w:w w:val="87"/>
              </w:rPr>
            </w:pPr>
            <w:hyperlink w:anchor="page15">
              <w:r>
                <w:rPr>
                  <w:rFonts w:ascii="Arial" w:cs="Arial" w:eastAsia="Arial" w:hAnsi="Arial"/>
                  <w:sz w:val="15"/>
                  <w:szCs w:val="15"/>
                  <w:color w:val="0000EE"/>
                  <w:w w:val="87"/>
                </w:rPr>
                <w:t>Participation</w:t>
              </w:r>
            </w:hyperlink>
          </w:p>
        </w:tc>
        <w:tc>
          <w:tcPr>
            <w:tcW w:w="2220" w:type="dxa"/>
            <w:vAlign w:val="bottom"/>
            <w:tcBorders>
              <w:top w:val="single" w:sz="8" w:color="0000EE"/>
            </w:tcBorders>
            <w:gridSpan w:val="15"/>
          </w:tcPr>
          <w:p>
            <w:pPr>
              <w:spacing w:after="0"/>
              <w:rPr>
                <w:sz w:val="12"/>
                <w:szCs w:val="12"/>
                <w:color w:val="auto"/>
              </w:rPr>
            </w:pPr>
          </w:p>
        </w:tc>
        <w:tc>
          <w:tcPr>
            <w:tcW w:w="680" w:type="dxa"/>
            <w:vAlign w:val="bottom"/>
            <w:gridSpan w:val="5"/>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15">
              <w:r>
                <w:rPr>
                  <w:rFonts w:ascii="Arial" w:cs="Arial" w:eastAsia="Arial" w:hAnsi="Arial"/>
                  <w:sz w:val="15"/>
                  <w:szCs w:val="15"/>
                  <w:color w:val="0000EE"/>
                </w:rPr>
                <w:t>12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3800" w:type="dxa"/>
            <w:vAlign w:val="bottom"/>
            <w:gridSpan w:val="26"/>
          </w:tcPr>
          <w:p>
            <w:pPr>
              <w:spacing w:after="0" w:line="149" w:lineRule="exact"/>
              <w:rPr>
                <w:rFonts w:ascii="Arial" w:cs="Arial" w:eastAsia="Arial" w:hAnsi="Arial"/>
                <w:sz w:val="15"/>
                <w:szCs w:val="15"/>
                <w:color w:val="0000EE"/>
              </w:rPr>
            </w:pPr>
            <w:hyperlink w:anchor="page16">
              <w:r>
                <w:rPr>
                  <w:rFonts w:ascii="Arial" w:cs="Arial" w:eastAsia="Arial" w:hAnsi="Arial"/>
                  <w:sz w:val="15"/>
                  <w:szCs w:val="15"/>
                  <w:color w:val="0000EE"/>
                </w:rPr>
                <w:t>Nominating and Governance Committee</w:t>
              </w:r>
            </w:hyperlink>
          </w:p>
        </w:tc>
        <w:tc>
          <w:tcPr>
            <w:tcW w:w="300" w:type="dxa"/>
            <w:vAlign w:val="bottom"/>
            <w:gridSpan w:val="3"/>
          </w:tcPr>
          <w:p>
            <w:pPr>
              <w:jc w:val="right"/>
              <w:spacing w:after="0" w:line="149" w:lineRule="exact"/>
              <w:rPr>
                <w:rFonts w:ascii="Arial" w:cs="Arial" w:eastAsia="Arial" w:hAnsi="Arial"/>
                <w:sz w:val="15"/>
                <w:szCs w:val="15"/>
                <w:color w:val="0000EE"/>
              </w:rPr>
            </w:pPr>
            <w:hyperlink w:anchor="page16">
              <w:r>
                <w:rPr>
                  <w:rFonts w:ascii="Arial" w:cs="Arial" w:eastAsia="Arial" w:hAnsi="Arial"/>
                  <w:sz w:val="15"/>
                  <w:szCs w:val="15"/>
                  <w:color w:val="0000EE"/>
                </w:rPr>
                <w:t>13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1760" w:type="dxa"/>
            <w:vAlign w:val="bottom"/>
            <w:gridSpan w:val="12"/>
          </w:tcPr>
          <w:p>
            <w:pPr>
              <w:spacing w:after="0" w:line="149" w:lineRule="exact"/>
              <w:rPr>
                <w:rFonts w:ascii="Arial" w:cs="Arial" w:eastAsia="Arial" w:hAnsi="Arial"/>
                <w:sz w:val="15"/>
                <w:szCs w:val="15"/>
                <w:color w:val="0000EE"/>
                <w:w w:val="96"/>
              </w:rPr>
            </w:pPr>
            <w:hyperlink w:anchor="page17">
              <w:r>
                <w:rPr>
                  <w:rFonts w:ascii="Arial" w:cs="Arial" w:eastAsia="Arial" w:hAnsi="Arial"/>
                  <w:sz w:val="15"/>
                  <w:szCs w:val="15"/>
                  <w:color w:val="0000EE"/>
                  <w:w w:val="96"/>
                </w:rPr>
                <w:t>Related Party Transactions</w:t>
              </w:r>
            </w:hyperlink>
          </w:p>
        </w:tc>
        <w:tc>
          <w:tcPr>
            <w:tcW w:w="840" w:type="dxa"/>
            <w:vAlign w:val="bottom"/>
            <w:gridSpan w:val="5"/>
          </w:tcPr>
          <w:p>
            <w:pPr>
              <w:spacing w:after="0"/>
              <w:rPr>
                <w:sz w:val="12"/>
                <w:szCs w:val="12"/>
                <w:color w:val="auto"/>
              </w:rPr>
            </w:pPr>
          </w:p>
        </w:tc>
        <w:tc>
          <w:tcPr>
            <w:tcW w:w="1200" w:type="dxa"/>
            <w:vAlign w:val="bottom"/>
            <w:gridSpan w:val="9"/>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17">
              <w:r>
                <w:rPr>
                  <w:rFonts w:ascii="Arial" w:cs="Arial" w:eastAsia="Arial" w:hAnsi="Arial"/>
                  <w:sz w:val="15"/>
                  <w:szCs w:val="15"/>
                  <w:color w:val="0000EE"/>
                </w:rPr>
                <w:t>14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2660" w:type="dxa"/>
            <w:vAlign w:val="bottom"/>
            <w:gridSpan w:val="18"/>
          </w:tcPr>
          <w:p>
            <w:pPr>
              <w:spacing w:after="0" w:line="149" w:lineRule="exact"/>
              <w:rPr>
                <w:rFonts w:ascii="Arial" w:cs="Arial" w:eastAsia="Arial" w:hAnsi="Arial"/>
                <w:sz w:val="15"/>
                <w:szCs w:val="15"/>
                <w:color w:val="0000EE"/>
                <w:w w:val="95"/>
              </w:rPr>
            </w:pPr>
            <w:hyperlink w:anchor="page18">
              <w:r>
                <w:rPr>
                  <w:rFonts w:ascii="Arial" w:cs="Arial" w:eastAsia="Arial" w:hAnsi="Arial"/>
                  <w:sz w:val="15"/>
                  <w:szCs w:val="15"/>
                  <w:color w:val="0000EE"/>
                  <w:w w:val="95"/>
                </w:rPr>
                <w:t>Board of Directors Governing Documents</w:t>
              </w:r>
            </w:hyperlink>
          </w:p>
        </w:tc>
        <w:tc>
          <w:tcPr>
            <w:tcW w:w="1140" w:type="dxa"/>
            <w:vAlign w:val="bottom"/>
            <w:gridSpan w:val="8"/>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18">
              <w:r>
                <w:rPr>
                  <w:rFonts w:ascii="Arial" w:cs="Arial" w:eastAsia="Arial" w:hAnsi="Arial"/>
                  <w:sz w:val="15"/>
                  <w:szCs w:val="15"/>
                  <w:color w:val="0000EE"/>
                </w:rPr>
                <w:t>15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2660" w:type="dxa"/>
            <w:vAlign w:val="bottom"/>
            <w:gridSpan w:val="18"/>
          </w:tcPr>
          <w:p>
            <w:pPr>
              <w:spacing w:after="0" w:line="149" w:lineRule="exact"/>
              <w:rPr>
                <w:rFonts w:ascii="Arial" w:cs="Arial" w:eastAsia="Arial" w:hAnsi="Arial"/>
                <w:sz w:val="15"/>
                <w:szCs w:val="15"/>
                <w:color w:val="0000EE"/>
              </w:rPr>
            </w:pPr>
            <w:hyperlink w:anchor="page18">
              <w:r>
                <w:rPr>
                  <w:rFonts w:ascii="Arial" w:cs="Arial" w:eastAsia="Arial" w:hAnsi="Arial"/>
                  <w:sz w:val="15"/>
                  <w:szCs w:val="15"/>
                  <w:color w:val="0000EE"/>
                </w:rPr>
                <w:t>Non-Employee Director Compensation</w:t>
              </w:r>
            </w:hyperlink>
          </w:p>
        </w:tc>
        <w:tc>
          <w:tcPr>
            <w:tcW w:w="1140" w:type="dxa"/>
            <w:vAlign w:val="bottom"/>
            <w:gridSpan w:val="8"/>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18">
              <w:r>
                <w:rPr>
                  <w:rFonts w:ascii="Arial" w:cs="Arial" w:eastAsia="Arial" w:hAnsi="Arial"/>
                  <w:sz w:val="15"/>
                  <w:szCs w:val="15"/>
                  <w:color w:val="0000EE"/>
                </w:rPr>
                <w:t>15</w:t>
              </w:r>
            </w:hyperlink>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300" w:type="dxa"/>
            <w:vAlign w:val="bottom"/>
            <w:gridSpan w:val="10"/>
            <w:vMerge w:val="restart"/>
          </w:tcPr>
          <w:p>
            <w:pPr>
              <w:ind w:left="20"/>
              <w:spacing w:after="0" w:line="169" w:lineRule="exact"/>
              <w:rPr>
                <w:rFonts w:ascii="Arial" w:cs="Arial" w:eastAsia="Arial" w:hAnsi="Arial"/>
                <w:sz w:val="15"/>
                <w:szCs w:val="15"/>
                <w:b w:val="1"/>
                <w:bCs w:val="1"/>
                <w:color w:val="477157"/>
              </w:rPr>
            </w:pPr>
            <w:hyperlink w:anchor="page20">
              <w:r>
                <w:rPr>
                  <w:rFonts w:ascii="Arial" w:cs="Arial" w:eastAsia="Arial" w:hAnsi="Arial"/>
                  <w:sz w:val="15"/>
                  <w:szCs w:val="15"/>
                  <w:b w:val="1"/>
                  <w:bCs w:val="1"/>
                  <w:color w:val="477157"/>
                </w:rPr>
                <w:t>the Proxy Card)</w:t>
              </w:r>
            </w:hyperlink>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vMerge w:val="continue"/>
          </w:tcPr>
          <w:p>
            <w:pPr>
              <w:spacing w:after="0"/>
              <w:rPr>
                <w:sz w:val="12"/>
                <w:szCs w:val="12"/>
                <w:color w:val="auto"/>
              </w:rPr>
            </w:pPr>
          </w:p>
        </w:tc>
        <w:tc>
          <w:tcPr>
            <w:tcW w:w="2500" w:type="dxa"/>
            <w:vAlign w:val="bottom"/>
            <w:gridSpan w:val="16"/>
          </w:tcPr>
          <w:p>
            <w:pPr>
              <w:spacing w:after="0" w:line="149" w:lineRule="exact"/>
              <w:rPr>
                <w:rFonts w:ascii="Arial" w:cs="Arial" w:eastAsia="Arial" w:hAnsi="Arial"/>
                <w:sz w:val="15"/>
                <w:szCs w:val="15"/>
                <w:b w:val="1"/>
                <w:bCs w:val="1"/>
                <w:color w:val="477157"/>
                <w:w w:val="92"/>
              </w:rPr>
            </w:pPr>
            <w:hyperlink w:anchor="page20">
              <w:r>
                <w:rPr>
                  <w:rFonts w:ascii="Arial" w:cs="Arial" w:eastAsia="Arial" w:hAnsi="Arial"/>
                  <w:sz w:val="15"/>
                  <w:szCs w:val="15"/>
                  <w:b w:val="1"/>
                  <w:bCs w:val="1"/>
                  <w:color w:val="477157"/>
                  <w:w w:val="92"/>
                </w:rPr>
                <w:t>ELECTION OF DIRECTORS (Item 1 on</w:t>
              </w:r>
            </w:hyperlink>
          </w:p>
        </w:tc>
        <w:tc>
          <w:tcPr>
            <w:tcW w:w="1300" w:type="dxa"/>
            <w:vAlign w:val="bottom"/>
            <w:gridSpan w:val="10"/>
            <w:vMerge w:val="continue"/>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20">
              <w:r>
                <w:rPr>
                  <w:rFonts w:ascii="Arial" w:cs="Arial" w:eastAsia="Arial" w:hAnsi="Arial"/>
                  <w:sz w:val="15"/>
                  <w:szCs w:val="15"/>
                  <w:color w:val="0000EE"/>
                </w:rPr>
                <w:t>17</w:t>
              </w:r>
            </w:hyperlink>
          </w:p>
        </w:tc>
        <w:tc>
          <w:tcPr>
            <w:tcW w:w="0" w:type="dxa"/>
            <w:vAlign w:val="bottom"/>
          </w:tcPr>
          <w:p>
            <w:pPr>
              <w:spacing w:after="0"/>
              <w:rPr>
                <w:sz w:val="1"/>
                <w:szCs w:val="1"/>
                <w:color w:val="auto"/>
              </w:rPr>
            </w:pPr>
          </w:p>
        </w:tc>
      </w:tr>
      <w:tr>
        <w:trPr>
          <w:trHeight w:val="20"/>
        </w:trPr>
        <w:tc>
          <w:tcPr>
            <w:tcW w:w="400" w:type="dxa"/>
            <w:vAlign w:val="bottom"/>
            <w:gridSpan w:val="3"/>
            <w:shd w:val="clear" w:color="auto" w:fill="477157"/>
          </w:tcPr>
          <w:p>
            <w:pPr>
              <w:spacing w:after="0" w:line="20" w:lineRule="exact"/>
              <w:rPr>
                <w:sz w:val="1"/>
                <w:szCs w:val="1"/>
                <w:color w:val="auto"/>
              </w:rPr>
            </w:pPr>
          </w:p>
        </w:tc>
        <w:tc>
          <w:tcPr>
            <w:tcW w:w="400" w:type="dxa"/>
            <w:vAlign w:val="bottom"/>
            <w:shd w:val="clear" w:color="auto" w:fill="477157"/>
          </w:tcPr>
          <w:p>
            <w:pPr>
              <w:spacing w:after="0" w:line="20" w:lineRule="exact"/>
              <w:rPr>
                <w:sz w:val="1"/>
                <w:szCs w:val="1"/>
                <w:color w:val="auto"/>
              </w:rPr>
            </w:pPr>
          </w:p>
        </w:tc>
        <w:tc>
          <w:tcPr>
            <w:tcW w:w="100" w:type="dxa"/>
            <w:vAlign w:val="bottom"/>
            <w:shd w:val="clear" w:color="auto" w:fill="477157"/>
          </w:tcPr>
          <w:p>
            <w:pPr>
              <w:spacing w:after="0" w:line="20" w:lineRule="exact"/>
              <w:rPr>
                <w:sz w:val="1"/>
                <w:szCs w:val="1"/>
                <w:color w:val="auto"/>
              </w:rPr>
            </w:pPr>
          </w:p>
        </w:tc>
        <w:tc>
          <w:tcPr>
            <w:tcW w:w="140" w:type="dxa"/>
            <w:vAlign w:val="bottom"/>
            <w:gridSpan w:val="2"/>
            <w:shd w:val="clear" w:color="auto" w:fill="477157"/>
          </w:tcPr>
          <w:p>
            <w:pPr>
              <w:spacing w:after="0" w:line="20" w:lineRule="exact"/>
              <w:rPr>
                <w:sz w:val="1"/>
                <w:szCs w:val="1"/>
                <w:color w:val="auto"/>
              </w:rPr>
            </w:pPr>
          </w:p>
        </w:tc>
        <w:tc>
          <w:tcPr>
            <w:tcW w:w="540" w:type="dxa"/>
            <w:vAlign w:val="bottom"/>
            <w:tcBorders>
              <w:left w:val="single" w:sz="8" w:color="477157"/>
            </w:tcBorders>
            <w:gridSpan w:val="3"/>
            <w:shd w:val="clear" w:color="auto" w:fill="477157"/>
          </w:tcPr>
          <w:p>
            <w:pPr>
              <w:spacing w:after="0" w:line="20" w:lineRule="exact"/>
              <w:rPr>
                <w:sz w:val="1"/>
                <w:szCs w:val="1"/>
                <w:color w:val="auto"/>
              </w:rPr>
            </w:pPr>
          </w:p>
        </w:tc>
        <w:tc>
          <w:tcPr>
            <w:tcW w:w="480" w:type="dxa"/>
            <w:vAlign w:val="bottom"/>
            <w:tcBorders>
              <w:left w:val="single" w:sz="8" w:color="477157"/>
            </w:tcBorders>
            <w:gridSpan w:val="4"/>
            <w:shd w:val="clear" w:color="auto" w:fill="477157"/>
          </w:tcPr>
          <w:p>
            <w:pPr>
              <w:spacing w:after="0" w:line="20" w:lineRule="exact"/>
              <w:rPr>
                <w:sz w:val="1"/>
                <w:szCs w:val="1"/>
                <w:color w:val="auto"/>
              </w:rPr>
            </w:pPr>
          </w:p>
        </w:tc>
        <w:tc>
          <w:tcPr>
            <w:tcW w:w="740" w:type="dxa"/>
            <w:vAlign w:val="bottom"/>
            <w:gridSpan w:val="5"/>
            <w:shd w:val="clear" w:color="auto" w:fill="477157"/>
          </w:tcPr>
          <w:p>
            <w:pPr>
              <w:spacing w:after="0" w:line="20" w:lineRule="exact"/>
              <w:rPr>
                <w:sz w:val="1"/>
                <w:szCs w:val="1"/>
                <w:color w:val="auto"/>
              </w:rPr>
            </w:pPr>
          </w:p>
        </w:tc>
        <w:tc>
          <w:tcPr>
            <w:tcW w:w="120" w:type="dxa"/>
            <w:vAlign w:val="bottom"/>
            <w:tcBorders>
              <w:left w:val="single" w:sz="8" w:color="477157"/>
            </w:tcBorders>
            <w:shd w:val="clear" w:color="auto" w:fill="477157"/>
          </w:tcPr>
          <w:p>
            <w:pPr>
              <w:spacing w:after="0" w:line="20" w:lineRule="exact"/>
              <w:rPr>
                <w:sz w:val="1"/>
                <w:szCs w:val="1"/>
                <w:color w:val="auto"/>
              </w:rPr>
            </w:pPr>
          </w:p>
        </w:tc>
        <w:tc>
          <w:tcPr>
            <w:tcW w:w="380" w:type="dxa"/>
            <w:vAlign w:val="bottom"/>
            <w:gridSpan w:val="3"/>
            <w:shd w:val="clear" w:color="auto" w:fill="477157"/>
          </w:tcPr>
          <w:p>
            <w:pPr>
              <w:spacing w:after="0" w:line="20" w:lineRule="exact"/>
              <w:rPr>
                <w:sz w:val="1"/>
                <w:szCs w:val="1"/>
                <w:color w:val="auto"/>
              </w:rPr>
            </w:pPr>
          </w:p>
        </w:tc>
        <w:tc>
          <w:tcPr>
            <w:tcW w:w="220" w:type="dxa"/>
            <w:vAlign w:val="bottom"/>
            <w:shd w:val="clear" w:color="auto" w:fill="477157"/>
          </w:tcPr>
          <w:p>
            <w:pPr>
              <w:spacing w:after="0" w:line="20" w:lineRule="exact"/>
              <w:rPr>
                <w:sz w:val="1"/>
                <w:szCs w:val="1"/>
                <w:color w:val="auto"/>
              </w:rPr>
            </w:pPr>
          </w:p>
        </w:tc>
        <w:tc>
          <w:tcPr>
            <w:tcW w:w="140" w:type="dxa"/>
            <w:vAlign w:val="bottom"/>
            <w:shd w:val="clear" w:color="auto" w:fill="477157"/>
          </w:tcPr>
          <w:p>
            <w:pPr>
              <w:spacing w:after="0" w:line="20" w:lineRule="exact"/>
              <w:rPr>
                <w:sz w:val="1"/>
                <w:szCs w:val="1"/>
                <w:color w:val="auto"/>
              </w:rPr>
            </w:pPr>
          </w:p>
        </w:tc>
        <w:tc>
          <w:tcPr>
            <w:tcW w:w="80" w:type="dxa"/>
            <w:vAlign w:val="bottom"/>
            <w:shd w:val="clear" w:color="auto" w:fill="477157"/>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00" w:type="dxa"/>
            <w:vAlign w:val="bottom"/>
            <w:gridSpan w:val="23"/>
          </w:tcPr>
          <w:p>
            <w:pPr>
              <w:spacing w:after="0" w:line="149" w:lineRule="exact"/>
              <w:rPr>
                <w:rFonts w:ascii="Arial" w:cs="Arial" w:eastAsia="Arial" w:hAnsi="Arial"/>
                <w:sz w:val="15"/>
                <w:szCs w:val="15"/>
                <w:b w:val="1"/>
                <w:bCs w:val="1"/>
                <w:color w:val="477157"/>
                <w:w w:val="96"/>
              </w:rPr>
            </w:pPr>
            <w:hyperlink w:anchor="page25">
              <w:r>
                <w:rPr>
                  <w:rFonts w:ascii="Arial" w:cs="Arial" w:eastAsia="Arial" w:hAnsi="Arial"/>
                  <w:sz w:val="15"/>
                  <w:szCs w:val="15"/>
                  <w:b w:val="1"/>
                  <w:bCs w:val="1"/>
                  <w:color w:val="477157"/>
                  <w:w w:val="96"/>
                </w:rPr>
                <w:t>DIRECTOR AND OFFICER STOCK OWNERSHIP</w:t>
              </w:r>
            </w:hyperlink>
          </w:p>
        </w:tc>
        <w:tc>
          <w:tcPr>
            <w:tcW w:w="440" w:type="dxa"/>
            <w:vAlign w:val="bottom"/>
            <w:gridSpan w:val="3"/>
          </w:tcPr>
          <w:p>
            <w:pPr>
              <w:spacing w:after="0"/>
              <w:rPr>
                <w:sz w:val="12"/>
                <w:szCs w:val="12"/>
                <w:color w:val="auto"/>
              </w:rPr>
            </w:pPr>
          </w:p>
        </w:tc>
        <w:tc>
          <w:tcPr>
            <w:tcW w:w="200" w:type="dxa"/>
            <w:vAlign w:val="bottom"/>
            <w:vMerge w:val="continue"/>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25">
              <w:r>
                <w:rPr>
                  <w:rFonts w:ascii="Arial" w:cs="Arial" w:eastAsia="Arial" w:hAnsi="Arial"/>
                  <w:sz w:val="15"/>
                  <w:szCs w:val="15"/>
                  <w:color w:val="0000EE"/>
                </w:rPr>
                <w:t>22</w:t>
              </w:r>
            </w:hyperlink>
          </w:p>
        </w:tc>
        <w:tc>
          <w:tcPr>
            <w:tcW w:w="0" w:type="dxa"/>
            <w:vAlign w:val="bottom"/>
          </w:tcPr>
          <w:p>
            <w:pPr>
              <w:spacing w:after="0"/>
              <w:rPr>
                <w:sz w:val="1"/>
                <w:szCs w:val="1"/>
                <w:color w:val="auto"/>
              </w:rPr>
            </w:pPr>
          </w:p>
        </w:tc>
      </w:tr>
      <w:tr>
        <w:trPr>
          <w:trHeight w:val="20"/>
        </w:trPr>
        <w:tc>
          <w:tcPr>
            <w:tcW w:w="400" w:type="dxa"/>
            <w:vAlign w:val="bottom"/>
            <w:gridSpan w:val="3"/>
            <w:shd w:val="clear" w:color="auto" w:fill="477157"/>
          </w:tcPr>
          <w:p>
            <w:pPr>
              <w:spacing w:after="0" w:line="20" w:lineRule="exact"/>
              <w:rPr>
                <w:sz w:val="1"/>
                <w:szCs w:val="1"/>
                <w:color w:val="auto"/>
              </w:rPr>
            </w:pPr>
          </w:p>
        </w:tc>
        <w:tc>
          <w:tcPr>
            <w:tcW w:w="400" w:type="dxa"/>
            <w:vAlign w:val="bottom"/>
            <w:shd w:val="clear" w:color="auto" w:fill="477157"/>
          </w:tcPr>
          <w:p>
            <w:pPr>
              <w:spacing w:after="0" w:line="20" w:lineRule="exact"/>
              <w:rPr>
                <w:sz w:val="1"/>
                <w:szCs w:val="1"/>
                <w:color w:val="auto"/>
              </w:rPr>
            </w:pPr>
          </w:p>
        </w:tc>
        <w:tc>
          <w:tcPr>
            <w:tcW w:w="100" w:type="dxa"/>
            <w:vAlign w:val="bottom"/>
            <w:shd w:val="clear" w:color="auto" w:fill="477157"/>
          </w:tcPr>
          <w:p>
            <w:pPr>
              <w:spacing w:after="0" w:line="20" w:lineRule="exact"/>
              <w:rPr>
                <w:sz w:val="1"/>
                <w:szCs w:val="1"/>
                <w:color w:val="auto"/>
              </w:rPr>
            </w:pPr>
          </w:p>
        </w:tc>
        <w:tc>
          <w:tcPr>
            <w:tcW w:w="140" w:type="dxa"/>
            <w:vAlign w:val="bottom"/>
            <w:gridSpan w:val="2"/>
            <w:shd w:val="clear" w:color="auto" w:fill="477157"/>
          </w:tcPr>
          <w:p>
            <w:pPr>
              <w:spacing w:after="0" w:line="20" w:lineRule="exact"/>
              <w:rPr>
                <w:sz w:val="1"/>
                <w:szCs w:val="1"/>
                <w:color w:val="auto"/>
              </w:rPr>
            </w:pPr>
          </w:p>
        </w:tc>
        <w:tc>
          <w:tcPr>
            <w:tcW w:w="540" w:type="dxa"/>
            <w:vAlign w:val="bottom"/>
            <w:tcBorders>
              <w:left w:val="single" w:sz="8" w:color="477157"/>
            </w:tcBorders>
            <w:gridSpan w:val="3"/>
            <w:shd w:val="clear" w:color="auto" w:fill="477157"/>
          </w:tcPr>
          <w:p>
            <w:pPr>
              <w:spacing w:after="0" w:line="20" w:lineRule="exact"/>
              <w:rPr>
                <w:sz w:val="1"/>
                <w:szCs w:val="1"/>
                <w:color w:val="auto"/>
              </w:rPr>
            </w:pPr>
          </w:p>
        </w:tc>
        <w:tc>
          <w:tcPr>
            <w:tcW w:w="480" w:type="dxa"/>
            <w:vAlign w:val="bottom"/>
            <w:tcBorders>
              <w:left w:val="single" w:sz="8" w:color="477157"/>
            </w:tcBorders>
            <w:gridSpan w:val="4"/>
            <w:shd w:val="clear" w:color="auto" w:fill="477157"/>
          </w:tcPr>
          <w:p>
            <w:pPr>
              <w:spacing w:after="0" w:line="20" w:lineRule="exact"/>
              <w:rPr>
                <w:sz w:val="1"/>
                <w:szCs w:val="1"/>
                <w:color w:val="auto"/>
              </w:rPr>
            </w:pPr>
          </w:p>
        </w:tc>
        <w:tc>
          <w:tcPr>
            <w:tcW w:w="740" w:type="dxa"/>
            <w:vAlign w:val="bottom"/>
            <w:gridSpan w:val="5"/>
            <w:shd w:val="clear" w:color="auto" w:fill="477157"/>
          </w:tcPr>
          <w:p>
            <w:pPr>
              <w:spacing w:after="0" w:line="20" w:lineRule="exact"/>
              <w:rPr>
                <w:sz w:val="1"/>
                <w:szCs w:val="1"/>
                <w:color w:val="auto"/>
              </w:rPr>
            </w:pPr>
          </w:p>
        </w:tc>
        <w:tc>
          <w:tcPr>
            <w:tcW w:w="120" w:type="dxa"/>
            <w:vAlign w:val="bottom"/>
            <w:tcBorders>
              <w:left w:val="single" w:sz="8" w:color="477157"/>
            </w:tcBorders>
            <w:shd w:val="clear" w:color="auto" w:fill="477157"/>
          </w:tcPr>
          <w:p>
            <w:pPr>
              <w:spacing w:after="0" w:line="20" w:lineRule="exact"/>
              <w:rPr>
                <w:sz w:val="1"/>
                <w:szCs w:val="1"/>
                <w:color w:val="auto"/>
              </w:rPr>
            </w:pPr>
          </w:p>
        </w:tc>
        <w:tc>
          <w:tcPr>
            <w:tcW w:w="380" w:type="dxa"/>
            <w:vAlign w:val="bottom"/>
            <w:gridSpan w:val="3"/>
            <w:shd w:val="clear" w:color="auto" w:fill="47715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40" w:type="dxa"/>
            <w:vAlign w:val="bottom"/>
            <w:gridSpan w:val="27"/>
          </w:tcPr>
          <w:p>
            <w:pPr>
              <w:spacing w:after="0" w:line="149" w:lineRule="exact"/>
              <w:rPr>
                <w:rFonts w:ascii="Arial" w:cs="Arial" w:eastAsia="Arial" w:hAnsi="Arial"/>
                <w:sz w:val="15"/>
                <w:szCs w:val="15"/>
                <w:b w:val="1"/>
                <w:bCs w:val="1"/>
                <w:color w:val="477157"/>
              </w:rPr>
            </w:pPr>
            <w:hyperlink w:anchor="page27">
              <w:r>
                <w:rPr>
                  <w:rFonts w:ascii="Arial" w:cs="Arial" w:eastAsia="Arial" w:hAnsi="Arial"/>
                  <w:sz w:val="15"/>
                  <w:szCs w:val="15"/>
                  <w:b w:val="1"/>
                  <w:bCs w:val="1"/>
                  <w:color w:val="477157"/>
                </w:rPr>
                <w:t>SECURITY OWNERSHIP OF CERTAIN BENEFICIAL</w:t>
              </w:r>
            </w:hyperlink>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top w:val="single" w:sz="8" w:color="477157"/>
            </w:tcBorders>
          </w:tcPr>
          <w:p>
            <w:pPr>
              <w:spacing w:after="0"/>
              <w:rPr>
                <w:sz w:val="12"/>
                <w:szCs w:val="12"/>
                <w:color w:val="auto"/>
              </w:rPr>
            </w:pPr>
          </w:p>
        </w:tc>
        <w:tc>
          <w:tcPr>
            <w:tcW w:w="660" w:type="dxa"/>
            <w:vAlign w:val="bottom"/>
            <w:tcBorders>
              <w:top w:val="single" w:sz="8" w:color="477157"/>
            </w:tcBorders>
            <w:gridSpan w:val="3"/>
          </w:tcPr>
          <w:p>
            <w:pPr>
              <w:spacing w:after="0" w:line="149" w:lineRule="exact"/>
              <w:rPr>
                <w:rFonts w:ascii="Arial" w:cs="Arial" w:eastAsia="Arial" w:hAnsi="Arial"/>
                <w:sz w:val="15"/>
                <w:szCs w:val="15"/>
                <w:b w:val="1"/>
                <w:bCs w:val="1"/>
                <w:color w:val="477157"/>
                <w:w w:val="94"/>
              </w:rPr>
            </w:pPr>
            <w:hyperlink w:anchor="page27">
              <w:r>
                <w:rPr>
                  <w:rFonts w:ascii="Arial" w:cs="Arial" w:eastAsia="Arial" w:hAnsi="Arial"/>
                  <w:sz w:val="15"/>
                  <w:szCs w:val="15"/>
                  <w:b w:val="1"/>
                  <w:bCs w:val="1"/>
                  <w:color w:val="477157"/>
                  <w:w w:val="94"/>
                </w:rPr>
                <w:t>OWNERS</w:t>
              </w:r>
            </w:hyperlink>
          </w:p>
        </w:tc>
        <w:tc>
          <w:tcPr>
            <w:tcW w:w="2720" w:type="dxa"/>
            <w:vAlign w:val="bottom"/>
            <w:tcBorders>
              <w:top w:val="single" w:sz="8" w:color="477157"/>
            </w:tcBorders>
            <w:gridSpan w:val="20"/>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27">
              <w:r>
                <w:rPr>
                  <w:rFonts w:ascii="Arial" w:cs="Arial" w:eastAsia="Arial" w:hAnsi="Arial"/>
                  <w:sz w:val="15"/>
                  <w:szCs w:val="15"/>
                  <w:color w:val="0000EE"/>
                </w:rPr>
                <w:t>24</w:t>
              </w:r>
            </w:hyperlink>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60" w:type="dxa"/>
            <w:vAlign w:val="bottom"/>
            <w:gridSpan w:val="2"/>
            <w:shd w:val="clear" w:color="auto" w:fill="477157"/>
          </w:tcPr>
          <w:p>
            <w:pPr>
              <w:spacing w:after="0" w:line="20" w:lineRule="exact"/>
              <w:rPr>
                <w:sz w:val="1"/>
                <w:szCs w:val="1"/>
                <w:color w:val="auto"/>
              </w:rPr>
            </w:pPr>
          </w:p>
        </w:tc>
        <w:tc>
          <w:tcPr>
            <w:tcW w:w="400" w:type="dxa"/>
            <w:vAlign w:val="bottom"/>
            <w:shd w:val="clear" w:color="auto" w:fill="477157"/>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900" w:type="dxa"/>
            <w:vAlign w:val="bottom"/>
            <w:gridSpan w:val="14"/>
            <w:vMerge w:val="restart"/>
          </w:tcPr>
          <w:p>
            <w:pPr>
              <w:ind w:left="100"/>
              <w:spacing w:after="0" w:line="169" w:lineRule="exact"/>
              <w:rPr>
                <w:rFonts w:ascii="Arial" w:cs="Arial" w:eastAsia="Arial" w:hAnsi="Arial"/>
                <w:sz w:val="15"/>
                <w:szCs w:val="15"/>
                <w:b w:val="1"/>
                <w:bCs w:val="1"/>
                <w:color w:val="477157"/>
                <w:w w:val="95"/>
              </w:rPr>
            </w:pPr>
            <w:hyperlink w:anchor="page27">
              <w:r>
                <w:rPr>
                  <w:rFonts w:ascii="Arial" w:cs="Arial" w:eastAsia="Arial" w:hAnsi="Arial"/>
                  <w:sz w:val="15"/>
                  <w:szCs w:val="15"/>
                  <w:b w:val="1"/>
                  <w:bCs w:val="1"/>
                  <w:color w:val="477157"/>
                  <w:w w:val="95"/>
                </w:rPr>
                <w:t>SECTION 16(A) REPORTS</w:t>
              </w:r>
            </w:hyperlink>
          </w:p>
        </w:tc>
        <w:tc>
          <w:tcPr>
            <w:tcW w:w="1140" w:type="dxa"/>
            <w:vAlign w:val="bottom"/>
            <w:gridSpan w:val="8"/>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vMerge w:val="continue"/>
          </w:tcPr>
          <w:p>
            <w:pPr>
              <w:spacing w:after="0"/>
              <w:rPr>
                <w:sz w:val="12"/>
                <w:szCs w:val="12"/>
                <w:color w:val="auto"/>
              </w:rPr>
            </w:pPr>
          </w:p>
        </w:tc>
        <w:tc>
          <w:tcPr>
            <w:tcW w:w="660" w:type="dxa"/>
            <w:vAlign w:val="bottom"/>
            <w:gridSpan w:val="3"/>
          </w:tcPr>
          <w:p>
            <w:pPr>
              <w:spacing w:after="0" w:line="149" w:lineRule="exact"/>
              <w:rPr>
                <w:rFonts w:ascii="Arial" w:cs="Arial" w:eastAsia="Arial" w:hAnsi="Arial"/>
                <w:sz w:val="14"/>
                <w:szCs w:val="14"/>
                <w:b w:val="1"/>
                <w:bCs w:val="1"/>
                <w:color w:val="477157"/>
                <w:w w:val="70"/>
              </w:rPr>
            </w:pPr>
            <w:hyperlink w:anchor="page27">
              <w:r>
                <w:rPr>
                  <w:rFonts w:ascii="Arial" w:cs="Arial" w:eastAsia="Arial" w:hAnsi="Arial"/>
                  <w:sz w:val="14"/>
                  <w:szCs w:val="14"/>
                  <w:b w:val="1"/>
                  <w:bCs w:val="1"/>
                  <w:color w:val="477157"/>
                  <w:w w:val="70"/>
                </w:rPr>
                <w:t>DELINQUENT</w:t>
              </w:r>
            </w:hyperlink>
          </w:p>
        </w:tc>
        <w:tc>
          <w:tcPr>
            <w:tcW w:w="100" w:type="dxa"/>
            <w:vAlign w:val="bottom"/>
            <w:vMerge w:val="continue"/>
          </w:tcPr>
          <w:p>
            <w:pPr>
              <w:spacing w:after="0"/>
              <w:rPr>
                <w:sz w:val="12"/>
                <w:szCs w:val="12"/>
                <w:color w:val="auto"/>
              </w:rPr>
            </w:pPr>
          </w:p>
        </w:tc>
        <w:tc>
          <w:tcPr>
            <w:tcW w:w="1900" w:type="dxa"/>
            <w:vAlign w:val="bottom"/>
            <w:gridSpan w:val="14"/>
            <w:vMerge w:val="continue"/>
          </w:tcPr>
          <w:p>
            <w:pPr>
              <w:spacing w:after="0"/>
              <w:rPr>
                <w:sz w:val="12"/>
                <w:szCs w:val="12"/>
                <w:color w:val="auto"/>
              </w:rPr>
            </w:pPr>
          </w:p>
        </w:tc>
        <w:tc>
          <w:tcPr>
            <w:tcW w:w="1140" w:type="dxa"/>
            <w:vAlign w:val="bottom"/>
            <w:gridSpan w:val="8"/>
            <w:vMerge w:val="continue"/>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27">
              <w:r>
                <w:rPr>
                  <w:rFonts w:ascii="Arial" w:cs="Arial" w:eastAsia="Arial" w:hAnsi="Arial"/>
                  <w:sz w:val="15"/>
                  <w:szCs w:val="15"/>
                  <w:color w:val="0000EE"/>
                </w:rPr>
                <w:t>24</w:t>
              </w:r>
            </w:hyperlink>
          </w:p>
        </w:tc>
        <w:tc>
          <w:tcPr>
            <w:tcW w:w="0" w:type="dxa"/>
            <w:vAlign w:val="bottom"/>
          </w:tcPr>
          <w:p>
            <w:pPr>
              <w:spacing w:after="0"/>
              <w:rPr>
                <w:sz w:val="1"/>
                <w:szCs w:val="1"/>
                <w:color w:val="auto"/>
              </w:rPr>
            </w:pPr>
          </w:p>
        </w:tc>
      </w:tr>
      <w:tr>
        <w:trPr>
          <w:trHeight w:val="20"/>
        </w:trPr>
        <w:tc>
          <w:tcPr>
            <w:tcW w:w="400" w:type="dxa"/>
            <w:vAlign w:val="bottom"/>
            <w:gridSpan w:val="3"/>
            <w:shd w:val="clear" w:color="auto" w:fill="477157"/>
          </w:tcPr>
          <w:p>
            <w:pPr>
              <w:spacing w:after="0" w:line="20" w:lineRule="exact"/>
              <w:rPr>
                <w:sz w:val="1"/>
                <w:szCs w:val="1"/>
                <w:color w:val="auto"/>
              </w:rPr>
            </w:pPr>
          </w:p>
        </w:tc>
        <w:tc>
          <w:tcPr>
            <w:tcW w:w="500" w:type="dxa"/>
            <w:vAlign w:val="bottom"/>
            <w:gridSpan w:val="2"/>
            <w:shd w:val="clear" w:color="auto" w:fill="477157"/>
          </w:tcPr>
          <w:p>
            <w:pPr>
              <w:spacing w:after="0" w:line="20" w:lineRule="exact"/>
              <w:rPr>
                <w:sz w:val="1"/>
                <w:szCs w:val="1"/>
                <w:color w:val="auto"/>
              </w:rPr>
            </w:pPr>
          </w:p>
        </w:tc>
        <w:tc>
          <w:tcPr>
            <w:tcW w:w="140" w:type="dxa"/>
            <w:vAlign w:val="bottom"/>
            <w:gridSpan w:val="2"/>
            <w:shd w:val="clear" w:color="auto" w:fill="477157"/>
          </w:tcPr>
          <w:p>
            <w:pPr>
              <w:spacing w:after="0" w:line="20" w:lineRule="exact"/>
              <w:rPr>
                <w:sz w:val="1"/>
                <w:szCs w:val="1"/>
                <w:color w:val="auto"/>
              </w:rPr>
            </w:pPr>
          </w:p>
        </w:tc>
        <w:tc>
          <w:tcPr>
            <w:tcW w:w="540" w:type="dxa"/>
            <w:vAlign w:val="bottom"/>
            <w:tcBorders>
              <w:left w:val="single" w:sz="8" w:color="477157"/>
            </w:tcBorders>
            <w:gridSpan w:val="3"/>
            <w:shd w:val="clear" w:color="auto" w:fill="477157"/>
          </w:tcPr>
          <w:p>
            <w:pPr>
              <w:spacing w:after="0" w:line="20" w:lineRule="exact"/>
              <w:rPr>
                <w:sz w:val="1"/>
                <w:szCs w:val="1"/>
                <w:color w:val="auto"/>
              </w:rPr>
            </w:pPr>
          </w:p>
        </w:tc>
        <w:tc>
          <w:tcPr>
            <w:tcW w:w="480" w:type="dxa"/>
            <w:vAlign w:val="bottom"/>
            <w:tcBorders>
              <w:left w:val="single" w:sz="8" w:color="477157"/>
            </w:tcBorders>
            <w:gridSpan w:val="4"/>
            <w:shd w:val="clear" w:color="auto" w:fill="477157"/>
          </w:tcPr>
          <w:p>
            <w:pPr>
              <w:spacing w:after="0" w:line="20" w:lineRule="exact"/>
              <w:rPr>
                <w:sz w:val="1"/>
                <w:szCs w:val="1"/>
                <w:color w:val="auto"/>
              </w:rPr>
            </w:pPr>
          </w:p>
        </w:tc>
        <w:tc>
          <w:tcPr>
            <w:tcW w:w="740" w:type="dxa"/>
            <w:vAlign w:val="bottom"/>
            <w:gridSpan w:val="5"/>
            <w:shd w:val="clear" w:color="auto" w:fill="477157"/>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40" w:type="dxa"/>
            <w:vAlign w:val="bottom"/>
            <w:gridSpan w:val="5"/>
            <w:vMerge w:val="restart"/>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gridSpan w:val="10"/>
          </w:tcPr>
          <w:p>
            <w:pPr>
              <w:spacing w:after="0" w:line="149" w:lineRule="exact"/>
              <w:rPr>
                <w:rFonts w:ascii="Arial" w:cs="Arial" w:eastAsia="Arial" w:hAnsi="Arial"/>
                <w:sz w:val="15"/>
                <w:szCs w:val="15"/>
                <w:b w:val="1"/>
                <w:bCs w:val="1"/>
                <w:color w:val="477157"/>
                <w:w w:val="93"/>
              </w:rPr>
            </w:pPr>
            <w:hyperlink w:anchor="page28">
              <w:r>
                <w:rPr>
                  <w:rFonts w:ascii="Arial" w:cs="Arial" w:eastAsia="Arial" w:hAnsi="Arial"/>
                  <w:sz w:val="15"/>
                  <w:szCs w:val="15"/>
                  <w:b w:val="1"/>
                  <w:bCs w:val="1"/>
                  <w:color w:val="477157"/>
                  <w:w w:val="93"/>
                </w:rPr>
                <w:t>EXECUTIVE OFFICERS</w:t>
              </w:r>
            </w:hyperlink>
          </w:p>
        </w:tc>
        <w:tc>
          <w:tcPr>
            <w:tcW w:w="1220" w:type="dxa"/>
            <w:vAlign w:val="bottom"/>
            <w:gridSpan w:val="9"/>
          </w:tcPr>
          <w:p>
            <w:pPr>
              <w:spacing w:after="0"/>
              <w:rPr>
                <w:sz w:val="12"/>
                <w:szCs w:val="12"/>
                <w:color w:val="auto"/>
              </w:rPr>
            </w:pPr>
          </w:p>
        </w:tc>
        <w:tc>
          <w:tcPr>
            <w:tcW w:w="120" w:type="dxa"/>
            <w:vAlign w:val="bottom"/>
            <w:vMerge w:val="continue"/>
          </w:tcPr>
          <w:p>
            <w:pPr>
              <w:spacing w:after="0"/>
              <w:rPr>
                <w:sz w:val="12"/>
                <w:szCs w:val="12"/>
                <w:color w:val="auto"/>
              </w:rPr>
            </w:pPr>
          </w:p>
        </w:tc>
        <w:tc>
          <w:tcPr>
            <w:tcW w:w="740" w:type="dxa"/>
            <w:vAlign w:val="bottom"/>
            <w:gridSpan w:val="5"/>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28">
              <w:r>
                <w:rPr>
                  <w:rFonts w:ascii="Arial" w:cs="Arial" w:eastAsia="Arial" w:hAnsi="Arial"/>
                  <w:sz w:val="15"/>
                  <w:szCs w:val="15"/>
                  <w:color w:val="0000EE"/>
                </w:rPr>
                <w:t>25</w:t>
              </w:r>
            </w:hyperlink>
          </w:p>
        </w:tc>
        <w:tc>
          <w:tcPr>
            <w:tcW w:w="0" w:type="dxa"/>
            <w:vAlign w:val="bottom"/>
          </w:tcPr>
          <w:p>
            <w:pPr>
              <w:spacing w:after="0"/>
              <w:rPr>
                <w:sz w:val="1"/>
                <w:szCs w:val="1"/>
                <w:color w:val="auto"/>
              </w:rPr>
            </w:pPr>
          </w:p>
        </w:tc>
      </w:tr>
      <w:tr>
        <w:trPr>
          <w:trHeight w:val="20"/>
        </w:trPr>
        <w:tc>
          <w:tcPr>
            <w:tcW w:w="400" w:type="dxa"/>
            <w:vAlign w:val="bottom"/>
            <w:gridSpan w:val="3"/>
            <w:shd w:val="clear" w:color="auto" w:fill="477157"/>
          </w:tcPr>
          <w:p>
            <w:pPr>
              <w:spacing w:after="0" w:line="20" w:lineRule="exact"/>
              <w:rPr>
                <w:sz w:val="1"/>
                <w:szCs w:val="1"/>
                <w:color w:val="auto"/>
              </w:rPr>
            </w:pPr>
          </w:p>
        </w:tc>
        <w:tc>
          <w:tcPr>
            <w:tcW w:w="500" w:type="dxa"/>
            <w:vAlign w:val="bottom"/>
            <w:gridSpan w:val="2"/>
            <w:shd w:val="clear" w:color="auto" w:fill="477157"/>
          </w:tcPr>
          <w:p>
            <w:pPr>
              <w:spacing w:after="0" w:line="20" w:lineRule="exact"/>
              <w:rPr>
                <w:sz w:val="1"/>
                <w:szCs w:val="1"/>
                <w:color w:val="auto"/>
              </w:rPr>
            </w:pPr>
          </w:p>
        </w:tc>
        <w:tc>
          <w:tcPr>
            <w:tcW w:w="140" w:type="dxa"/>
            <w:vAlign w:val="bottom"/>
            <w:gridSpan w:val="2"/>
            <w:shd w:val="clear" w:color="auto" w:fill="477157"/>
          </w:tcPr>
          <w:p>
            <w:pPr>
              <w:spacing w:after="0" w:line="20" w:lineRule="exact"/>
              <w:rPr>
                <w:sz w:val="1"/>
                <w:szCs w:val="1"/>
                <w:color w:val="auto"/>
              </w:rPr>
            </w:pPr>
          </w:p>
        </w:tc>
        <w:tc>
          <w:tcPr>
            <w:tcW w:w="540" w:type="dxa"/>
            <w:vAlign w:val="bottom"/>
            <w:tcBorders>
              <w:left w:val="single" w:sz="8" w:color="477157"/>
            </w:tcBorders>
            <w:gridSpan w:val="3"/>
            <w:shd w:val="clear" w:color="auto" w:fill="477157"/>
          </w:tcPr>
          <w:p>
            <w:pPr>
              <w:spacing w:after="0" w:line="20" w:lineRule="exact"/>
              <w:rPr>
                <w:sz w:val="1"/>
                <w:szCs w:val="1"/>
                <w:color w:val="auto"/>
              </w:rPr>
            </w:pPr>
          </w:p>
        </w:tc>
        <w:tc>
          <w:tcPr>
            <w:tcW w:w="480" w:type="dxa"/>
            <w:vAlign w:val="bottom"/>
            <w:tcBorders>
              <w:left w:val="single" w:sz="8" w:color="477157"/>
            </w:tcBorders>
            <w:gridSpan w:val="4"/>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60" w:type="dxa"/>
            <w:vAlign w:val="bottom"/>
            <w:gridSpan w:val="14"/>
          </w:tcPr>
          <w:p>
            <w:pPr>
              <w:spacing w:after="0" w:line="149" w:lineRule="exact"/>
              <w:rPr>
                <w:rFonts w:ascii="Arial" w:cs="Arial" w:eastAsia="Arial" w:hAnsi="Arial"/>
                <w:sz w:val="15"/>
                <w:szCs w:val="15"/>
                <w:b w:val="1"/>
                <w:bCs w:val="1"/>
                <w:color w:val="477157"/>
                <w:w w:val="96"/>
              </w:rPr>
            </w:pPr>
            <w:hyperlink w:anchor="page29">
              <w:r>
                <w:rPr>
                  <w:rFonts w:ascii="Arial" w:cs="Arial" w:eastAsia="Arial" w:hAnsi="Arial"/>
                  <w:sz w:val="15"/>
                  <w:szCs w:val="15"/>
                  <w:b w:val="1"/>
                  <w:bCs w:val="1"/>
                  <w:color w:val="477157"/>
                  <w:w w:val="96"/>
                </w:rPr>
                <w:t>EXECUTIVE COMPENSATION</w:t>
              </w:r>
            </w:hyperlink>
          </w:p>
        </w:tc>
        <w:tc>
          <w:tcPr>
            <w:tcW w:w="1880" w:type="dxa"/>
            <w:vAlign w:val="bottom"/>
            <w:gridSpan w:val="13"/>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29">
              <w:r>
                <w:rPr>
                  <w:rFonts w:ascii="Arial" w:cs="Arial" w:eastAsia="Arial" w:hAnsi="Arial"/>
                  <w:sz w:val="15"/>
                  <w:szCs w:val="15"/>
                  <w:color w:val="0000EE"/>
                </w:rPr>
                <w:t>26</w:t>
              </w:r>
            </w:hyperlink>
          </w:p>
        </w:tc>
        <w:tc>
          <w:tcPr>
            <w:tcW w:w="0" w:type="dxa"/>
            <w:vAlign w:val="bottom"/>
          </w:tcPr>
          <w:p>
            <w:pPr>
              <w:spacing w:after="0"/>
              <w:rPr>
                <w:sz w:val="1"/>
                <w:szCs w:val="1"/>
                <w:color w:val="auto"/>
              </w:rPr>
            </w:pPr>
          </w:p>
        </w:tc>
      </w:tr>
      <w:tr>
        <w:trPr>
          <w:trHeight w:val="20"/>
        </w:trPr>
        <w:tc>
          <w:tcPr>
            <w:tcW w:w="140" w:type="dxa"/>
            <w:vAlign w:val="bottom"/>
            <w:shd w:val="clear" w:color="auto" w:fill="477157"/>
          </w:tcPr>
          <w:p>
            <w:pPr>
              <w:spacing w:after="0" w:line="20" w:lineRule="exact"/>
              <w:rPr>
                <w:sz w:val="1"/>
                <w:szCs w:val="1"/>
                <w:color w:val="auto"/>
              </w:rPr>
            </w:pPr>
          </w:p>
        </w:tc>
        <w:tc>
          <w:tcPr>
            <w:tcW w:w="260" w:type="dxa"/>
            <w:vAlign w:val="bottom"/>
            <w:gridSpan w:val="2"/>
            <w:shd w:val="clear" w:color="auto" w:fill="477157"/>
          </w:tcPr>
          <w:p>
            <w:pPr>
              <w:spacing w:after="0" w:line="20" w:lineRule="exact"/>
              <w:rPr>
                <w:sz w:val="1"/>
                <w:szCs w:val="1"/>
                <w:color w:val="auto"/>
              </w:rPr>
            </w:pPr>
          </w:p>
        </w:tc>
        <w:tc>
          <w:tcPr>
            <w:tcW w:w="500" w:type="dxa"/>
            <w:vAlign w:val="bottom"/>
            <w:gridSpan w:val="2"/>
            <w:shd w:val="clear" w:color="auto" w:fill="477157"/>
          </w:tcPr>
          <w:p>
            <w:pPr>
              <w:spacing w:after="0" w:line="20" w:lineRule="exact"/>
              <w:rPr>
                <w:sz w:val="1"/>
                <w:szCs w:val="1"/>
                <w:color w:val="auto"/>
              </w:rPr>
            </w:pPr>
          </w:p>
        </w:tc>
        <w:tc>
          <w:tcPr>
            <w:tcW w:w="140" w:type="dxa"/>
            <w:vAlign w:val="bottom"/>
            <w:gridSpan w:val="2"/>
            <w:shd w:val="clear" w:color="auto" w:fill="477157"/>
          </w:tcPr>
          <w:p>
            <w:pPr>
              <w:spacing w:after="0" w:line="20" w:lineRule="exact"/>
              <w:rPr>
                <w:sz w:val="1"/>
                <w:szCs w:val="1"/>
                <w:color w:val="auto"/>
              </w:rPr>
            </w:pPr>
          </w:p>
        </w:tc>
        <w:tc>
          <w:tcPr>
            <w:tcW w:w="540" w:type="dxa"/>
            <w:vAlign w:val="bottom"/>
            <w:tcBorders>
              <w:left w:val="single" w:sz="8" w:color="477157"/>
            </w:tcBorders>
            <w:gridSpan w:val="3"/>
            <w:shd w:val="clear" w:color="auto" w:fill="477157"/>
          </w:tcPr>
          <w:p>
            <w:pPr>
              <w:spacing w:after="0" w:line="20" w:lineRule="exact"/>
              <w:rPr>
                <w:sz w:val="1"/>
                <w:szCs w:val="1"/>
                <w:color w:val="auto"/>
              </w:rPr>
            </w:pPr>
          </w:p>
        </w:tc>
        <w:tc>
          <w:tcPr>
            <w:tcW w:w="480" w:type="dxa"/>
            <w:vAlign w:val="bottom"/>
            <w:tcBorders>
              <w:left w:val="single" w:sz="8" w:color="477157"/>
            </w:tcBorders>
            <w:gridSpan w:val="4"/>
            <w:shd w:val="clear" w:color="auto" w:fill="477157"/>
          </w:tcPr>
          <w:p>
            <w:pPr>
              <w:spacing w:after="0" w:line="20" w:lineRule="exact"/>
              <w:rPr>
                <w:sz w:val="1"/>
                <w:szCs w:val="1"/>
                <w:color w:val="auto"/>
              </w:rPr>
            </w:pPr>
          </w:p>
        </w:tc>
        <w:tc>
          <w:tcPr>
            <w:tcW w:w="860" w:type="dxa"/>
            <w:vAlign w:val="bottom"/>
            <w:gridSpan w:val="6"/>
            <w:vMerge w:val="restart"/>
          </w:tcPr>
          <w:p>
            <w:pPr>
              <w:spacing w:after="0" w:line="169" w:lineRule="exact"/>
              <w:rPr>
                <w:rFonts w:ascii="Arial" w:cs="Arial" w:eastAsia="Arial" w:hAnsi="Arial"/>
                <w:sz w:val="15"/>
                <w:szCs w:val="15"/>
                <w:b w:val="1"/>
                <w:bCs w:val="1"/>
                <w:color w:val="477157"/>
                <w:w w:val="90"/>
              </w:rPr>
            </w:pPr>
            <w:hyperlink w:anchor="page29">
              <w:r>
                <w:rPr>
                  <w:rFonts w:ascii="Arial" w:cs="Arial" w:eastAsia="Arial" w:hAnsi="Arial"/>
                  <w:sz w:val="15"/>
                  <w:szCs w:val="15"/>
                  <w:b w:val="1"/>
                  <w:bCs w:val="1"/>
                  <w:color w:val="477157"/>
                  <w:w w:val="90"/>
                </w:rPr>
                <w:t>and Analysis</w:t>
              </w:r>
            </w:hyperlink>
          </w:p>
        </w:tc>
        <w:tc>
          <w:tcPr>
            <w:tcW w:w="1020" w:type="dxa"/>
            <w:vAlign w:val="bottom"/>
            <w:gridSpan w:val="7"/>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1920" w:type="dxa"/>
            <w:vAlign w:val="bottom"/>
            <w:gridSpan w:val="13"/>
          </w:tcPr>
          <w:p>
            <w:pPr>
              <w:spacing w:after="0" w:line="149" w:lineRule="exact"/>
              <w:rPr>
                <w:rFonts w:ascii="Arial" w:cs="Arial" w:eastAsia="Arial" w:hAnsi="Arial"/>
                <w:sz w:val="15"/>
                <w:szCs w:val="15"/>
                <w:b w:val="1"/>
                <w:bCs w:val="1"/>
                <w:color w:val="477157"/>
              </w:rPr>
            </w:pPr>
            <w:hyperlink w:anchor="page29">
              <w:r>
                <w:rPr>
                  <w:rFonts w:ascii="Arial" w:cs="Arial" w:eastAsia="Arial" w:hAnsi="Arial"/>
                  <w:sz w:val="15"/>
                  <w:szCs w:val="15"/>
                  <w:b w:val="1"/>
                  <w:bCs w:val="1"/>
                  <w:color w:val="477157"/>
                </w:rPr>
                <w:t>Compensation Discussion</w:t>
              </w:r>
            </w:hyperlink>
          </w:p>
        </w:tc>
        <w:tc>
          <w:tcPr>
            <w:tcW w:w="860" w:type="dxa"/>
            <w:vAlign w:val="bottom"/>
            <w:gridSpan w:val="6"/>
            <w:vMerge w:val="continue"/>
          </w:tcPr>
          <w:p>
            <w:pPr>
              <w:spacing w:after="0"/>
              <w:rPr>
                <w:sz w:val="12"/>
                <w:szCs w:val="12"/>
                <w:color w:val="auto"/>
              </w:rPr>
            </w:pPr>
          </w:p>
        </w:tc>
        <w:tc>
          <w:tcPr>
            <w:tcW w:w="1020" w:type="dxa"/>
            <w:vAlign w:val="bottom"/>
            <w:gridSpan w:val="7"/>
            <w:vMerge w:val="continue"/>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29">
              <w:r>
                <w:rPr>
                  <w:rFonts w:ascii="Arial" w:cs="Arial" w:eastAsia="Arial" w:hAnsi="Arial"/>
                  <w:sz w:val="15"/>
                  <w:szCs w:val="15"/>
                  <w:color w:val="0000EE"/>
                </w:rPr>
                <w:t>26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477157"/>
          </w:tcPr>
          <w:p>
            <w:pPr>
              <w:spacing w:after="0" w:line="20" w:lineRule="exact"/>
              <w:rPr>
                <w:sz w:val="1"/>
                <w:szCs w:val="1"/>
                <w:color w:val="auto"/>
              </w:rPr>
            </w:pPr>
          </w:p>
        </w:tc>
        <w:tc>
          <w:tcPr>
            <w:tcW w:w="120" w:type="dxa"/>
            <w:vAlign w:val="bottom"/>
            <w:shd w:val="clear" w:color="auto" w:fill="477157"/>
          </w:tcPr>
          <w:p>
            <w:pPr>
              <w:spacing w:after="0" w:line="20" w:lineRule="exact"/>
              <w:rPr>
                <w:sz w:val="1"/>
                <w:szCs w:val="1"/>
                <w:color w:val="auto"/>
              </w:rPr>
            </w:pPr>
          </w:p>
        </w:tc>
        <w:tc>
          <w:tcPr>
            <w:tcW w:w="500" w:type="dxa"/>
            <w:vAlign w:val="bottom"/>
            <w:gridSpan w:val="2"/>
            <w:shd w:val="clear" w:color="auto" w:fill="477157"/>
          </w:tcPr>
          <w:p>
            <w:pPr>
              <w:spacing w:after="0" w:line="20" w:lineRule="exact"/>
              <w:rPr>
                <w:sz w:val="1"/>
                <w:szCs w:val="1"/>
                <w:color w:val="auto"/>
              </w:rPr>
            </w:pPr>
          </w:p>
        </w:tc>
        <w:tc>
          <w:tcPr>
            <w:tcW w:w="140" w:type="dxa"/>
            <w:vAlign w:val="bottom"/>
            <w:gridSpan w:val="2"/>
            <w:shd w:val="clear" w:color="auto" w:fill="477157"/>
          </w:tcPr>
          <w:p>
            <w:pPr>
              <w:spacing w:after="0" w:line="20" w:lineRule="exact"/>
              <w:rPr>
                <w:sz w:val="1"/>
                <w:szCs w:val="1"/>
                <w:color w:val="auto"/>
              </w:rPr>
            </w:pPr>
          </w:p>
        </w:tc>
        <w:tc>
          <w:tcPr>
            <w:tcW w:w="540" w:type="dxa"/>
            <w:vAlign w:val="bottom"/>
            <w:tcBorders>
              <w:left w:val="single" w:sz="8" w:color="477157"/>
            </w:tcBorders>
            <w:gridSpan w:val="3"/>
            <w:shd w:val="clear" w:color="auto" w:fill="477157"/>
          </w:tcPr>
          <w:p>
            <w:pPr>
              <w:spacing w:after="0" w:line="20" w:lineRule="exact"/>
              <w:rPr>
                <w:sz w:val="1"/>
                <w:szCs w:val="1"/>
                <w:color w:val="auto"/>
              </w:rPr>
            </w:pPr>
          </w:p>
        </w:tc>
        <w:tc>
          <w:tcPr>
            <w:tcW w:w="1340" w:type="dxa"/>
            <w:vAlign w:val="bottom"/>
            <w:tcBorders>
              <w:left w:val="single" w:sz="8" w:color="477157"/>
            </w:tcBorders>
            <w:gridSpan w:val="10"/>
            <w:shd w:val="clear" w:color="auto" w:fill="477157"/>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5"/>
          </w:tcPr>
          <w:p>
            <w:pPr>
              <w:spacing w:after="0" w:line="149" w:lineRule="exact"/>
              <w:rPr>
                <w:rFonts w:ascii="Arial" w:cs="Arial" w:eastAsia="Arial" w:hAnsi="Arial"/>
                <w:sz w:val="15"/>
                <w:szCs w:val="15"/>
                <w:color w:val="0000EE"/>
                <w:w w:val="91"/>
              </w:rPr>
            </w:pPr>
            <w:hyperlink w:anchor="page29">
              <w:r>
                <w:rPr>
                  <w:rFonts w:ascii="Arial" w:cs="Arial" w:eastAsia="Arial" w:hAnsi="Arial"/>
                  <w:sz w:val="15"/>
                  <w:szCs w:val="15"/>
                  <w:color w:val="0000EE"/>
                  <w:w w:val="91"/>
                </w:rPr>
                <w:t>Introduction</w:t>
              </w:r>
            </w:hyperlink>
          </w:p>
        </w:tc>
        <w:tc>
          <w:tcPr>
            <w:tcW w:w="1880" w:type="dxa"/>
            <w:vAlign w:val="bottom"/>
            <w:gridSpan w:val="13"/>
          </w:tcPr>
          <w:p>
            <w:pPr>
              <w:spacing w:after="0"/>
              <w:rPr>
                <w:sz w:val="12"/>
                <w:szCs w:val="12"/>
                <w:color w:val="auto"/>
              </w:rPr>
            </w:pPr>
          </w:p>
        </w:tc>
        <w:tc>
          <w:tcPr>
            <w:tcW w:w="1020" w:type="dxa"/>
            <w:vAlign w:val="bottom"/>
            <w:gridSpan w:val="7"/>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29">
              <w:r>
                <w:rPr>
                  <w:rFonts w:ascii="Arial" w:cs="Arial" w:eastAsia="Arial" w:hAnsi="Arial"/>
                  <w:sz w:val="15"/>
                  <w:szCs w:val="15"/>
                  <w:color w:val="0000EE"/>
                </w:rPr>
                <w:t>26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80" w:type="dxa"/>
            <w:vAlign w:val="bottom"/>
            <w:gridSpan w:val="1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8"/>
          </w:tcPr>
          <w:p>
            <w:pPr>
              <w:spacing w:after="0" w:line="149" w:lineRule="exact"/>
              <w:rPr>
                <w:rFonts w:ascii="Arial" w:cs="Arial" w:eastAsia="Arial" w:hAnsi="Arial"/>
                <w:sz w:val="15"/>
                <w:szCs w:val="15"/>
                <w:color w:val="0000EE"/>
                <w:w w:val="94"/>
              </w:rPr>
            </w:pPr>
            <w:hyperlink w:anchor="page29">
              <w:r>
                <w:rPr>
                  <w:rFonts w:ascii="Arial" w:cs="Arial" w:eastAsia="Arial" w:hAnsi="Arial"/>
                  <w:sz w:val="15"/>
                  <w:szCs w:val="15"/>
                  <w:color w:val="0000EE"/>
                  <w:w w:val="94"/>
                </w:rPr>
                <w:t>Executive Summary</w:t>
              </w:r>
            </w:hyperlink>
          </w:p>
        </w:tc>
        <w:tc>
          <w:tcPr>
            <w:tcW w:w="2360" w:type="dxa"/>
            <w:vAlign w:val="bottom"/>
            <w:gridSpan w:val="17"/>
          </w:tcPr>
          <w:p>
            <w:pPr>
              <w:spacing w:after="0"/>
              <w:rPr>
                <w:sz w:val="12"/>
                <w:szCs w:val="12"/>
                <w:color w:val="auto"/>
              </w:rPr>
            </w:pPr>
          </w:p>
        </w:tc>
        <w:tc>
          <w:tcPr>
            <w:tcW w:w="300" w:type="dxa"/>
            <w:vAlign w:val="bottom"/>
            <w:gridSpan w:val="3"/>
          </w:tcPr>
          <w:p>
            <w:pPr>
              <w:jc w:val="right"/>
              <w:spacing w:after="0" w:line="149" w:lineRule="exact"/>
              <w:rPr>
                <w:rFonts w:ascii="Arial" w:cs="Arial" w:eastAsia="Arial" w:hAnsi="Arial"/>
                <w:sz w:val="15"/>
                <w:szCs w:val="15"/>
                <w:color w:val="0000EE"/>
              </w:rPr>
            </w:pPr>
            <w:hyperlink w:anchor="page29">
              <w:r>
                <w:rPr>
                  <w:rFonts w:ascii="Arial" w:cs="Arial" w:eastAsia="Arial" w:hAnsi="Arial"/>
                  <w:sz w:val="15"/>
                  <w:szCs w:val="15"/>
                  <w:color w:val="0000EE"/>
                </w:rPr>
                <w:t>26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80" w:type="dxa"/>
            <w:vAlign w:val="bottom"/>
            <w:gridSpan w:val="1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80" w:type="dxa"/>
            <w:vAlign w:val="bottom"/>
            <w:tcBorders>
              <w:bottom w:val="single" w:sz="8" w:color="0000EE"/>
            </w:tcBorders>
            <w:gridSpan w:val="23"/>
          </w:tcPr>
          <w:p>
            <w:pPr>
              <w:spacing w:after="0" w:line="149" w:lineRule="exact"/>
              <w:rPr>
                <w:rFonts w:ascii="Arial" w:cs="Arial" w:eastAsia="Arial" w:hAnsi="Arial"/>
                <w:sz w:val="15"/>
                <w:szCs w:val="15"/>
                <w:color w:val="0000EE"/>
                <w:w w:val="96"/>
              </w:rPr>
            </w:pPr>
            <w:hyperlink w:anchor="page31">
              <w:r>
                <w:rPr>
                  <w:rFonts w:ascii="Arial" w:cs="Arial" w:eastAsia="Arial" w:hAnsi="Arial"/>
                  <w:sz w:val="15"/>
                  <w:szCs w:val="15"/>
                  <w:color w:val="0000EE"/>
                  <w:w w:val="96"/>
                </w:rPr>
                <w:t>Our Compensation Philosophy for Named Executive</w:t>
              </w:r>
            </w:hyperlink>
          </w:p>
        </w:tc>
        <w:tc>
          <w:tcPr>
            <w:tcW w:w="2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40" w:type="dxa"/>
            <w:vAlign w:val="bottom"/>
            <w:gridSpan w:val="24"/>
          </w:tcPr>
          <w:p>
            <w:pPr>
              <w:spacing w:after="0" w:line="149" w:lineRule="exact"/>
              <w:rPr>
                <w:rFonts w:ascii="Arial" w:cs="Arial" w:eastAsia="Arial" w:hAnsi="Arial"/>
                <w:sz w:val="15"/>
                <w:szCs w:val="15"/>
                <w:color w:val="0000EE"/>
              </w:rPr>
            </w:pPr>
            <w:hyperlink w:anchor="page31">
              <w:r>
                <w:rPr>
                  <w:rFonts w:ascii="Arial" w:cs="Arial" w:eastAsia="Arial" w:hAnsi="Arial"/>
                  <w:sz w:val="15"/>
                  <w:szCs w:val="15"/>
                  <w:color w:val="0000EE"/>
                </w:rPr>
                <w:t>Officers</w:t>
              </w:r>
            </w:hyperlink>
          </w:p>
        </w:tc>
        <w:tc>
          <w:tcPr>
            <w:tcW w:w="300" w:type="dxa"/>
            <w:vAlign w:val="bottom"/>
            <w:gridSpan w:val="3"/>
          </w:tcPr>
          <w:p>
            <w:pPr>
              <w:jc w:val="right"/>
              <w:spacing w:after="0" w:line="149" w:lineRule="exact"/>
              <w:rPr>
                <w:rFonts w:ascii="Arial" w:cs="Arial" w:eastAsia="Arial" w:hAnsi="Arial"/>
                <w:sz w:val="15"/>
                <w:szCs w:val="15"/>
                <w:color w:val="0000EE"/>
              </w:rPr>
            </w:pPr>
            <w:hyperlink w:anchor="page31">
              <w:r>
                <w:rPr>
                  <w:rFonts w:ascii="Arial" w:cs="Arial" w:eastAsia="Arial" w:hAnsi="Arial"/>
                  <w:sz w:val="15"/>
                  <w:szCs w:val="15"/>
                  <w:color w:val="0000EE"/>
                </w:rPr>
                <w:t>28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276225</wp:posOffset>
            </wp:positionV>
            <wp:extent cx="716026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7"/>
              </w:rPr>
              <w:t>Page</w:t>
            </w:r>
          </w:p>
        </w:tc>
        <w:tc>
          <w:tcPr>
            <w:tcW w:w="0" w:type="dxa"/>
            <w:vAlign w:val="bottom"/>
          </w:tcPr>
          <w:p>
            <w:pPr>
              <w:spacing w:after="0"/>
              <w:rPr>
                <w:sz w:val="1"/>
                <w:szCs w:val="1"/>
                <w:color w:val="auto"/>
              </w:rPr>
            </w:pPr>
          </w:p>
        </w:tc>
      </w:tr>
      <w:tr>
        <w:trPr>
          <w:trHeight w:val="138"/>
        </w:trPr>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60" w:type="dxa"/>
            <w:vAlign w:val="bottom"/>
            <w:gridSpan w:val="30"/>
          </w:tcPr>
          <w:p>
            <w:pPr>
              <w:spacing w:after="0" w:line="138" w:lineRule="exact"/>
              <w:rPr>
                <w:rFonts w:ascii="Arial" w:cs="Arial" w:eastAsia="Arial" w:hAnsi="Arial"/>
                <w:sz w:val="15"/>
                <w:szCs w:val="15"/>
                <w:color w:val="0000EE"/>
              </w:rPr>
            </w:pPr>
            <w:hyperlink w:anchor="page32">
              <w:r>
                <w:rPr>
                  <w:rFonts w:ascii="Arial" w:cs="Arial" w:eastAsia="Arial" w:hAnsi="Arial"/>
                  <w:sz w:val="15"/>
                  <w:szCs w:val="15"/>
                  <w:color w:val="0000EE"/>
                </w:rPr>
                <w:t>Overview of Elements of Our 2019 Compensation</w:t>
              </w:r>
            </w:hyperlink>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60" w:type="dxa"/>
            <w:vAlign w:val="bottom"/>
            <w:tcBorders>
              <w:top w:val="single" w:sz="8" w:color="0000EE"/>
              <w:bottom w:val="single" w:sz="8" w:color="0000EE"/>
            </w:tcBorders>
            <w:gridSpan w:val="3"/>
          </w:tcPr>
          <w:p>
            <w:pPr>
              <w:spacing w:after="0" w:line="149" w:lineRule="exact"/>
              <w:rPr>
                <w:rFonts w:ascii="Arial" w:cs="Arial" w:eastAsia="Arial" w:hAnsi="Arial"/>
                <w:sz w:val="15"/>
                <w:szCs w:val="15"/>
                <w:color w:val="0000EE"/>
                <w:w w:val="93"/>
              </w:rPr>
            </w:pPr>
            <w:hyperlink w:anchor="page32">
              <w:r>
                <w:rPr>
                  <w:rFonts w:ascii="Arial" w:cs="Arial" w:eastAsia="Arial" w:hAnsi="Arial"/>
                  <w:sz w:val="15"/>
                  <w:szCs w:val="15"/>
                  <w:color w:val="0000EE"/>
                  <w:w w:val="93"/>
                </w:rPr>
                <w:t>Program</w:t>
              </w:r>
            </w:hyperlink>
          </w:p>
        </w:tc>
        <w:tc>
          <w:tcPr>
            <w:tcW w:w="2520" w:type="dxa"/>
            <w:vAlign w:val="bottom"/>
            <w:tcBorders>
              <w:top w:val="single" w:sz="8" w:color="0000EE"/>
            </w:tcBorders>
            <w:gridSpan w:val="19"/>
          </w:tcPr>
          <w:p>
            <w:pPr>
              <w:spacing w:after="0"/>
              <w:rPr>
                <w:sz w:val="12"/>
                <w:szCs w:val="12"/>
                <w:color w:val="auto"/>
              </w:rPr>
            </w:pPr>
          </w:p>
        </w:tc>
        <w:tc>
          <w:tcPr>
            <w:tcW w:w="440" w:type="dxa"/>
            <w:vAlign w:val="bottom"/>
            <w:gridSpan w:val="7"/>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0000EE"/>
            </w:tcBorders>
          </w:tcPr>
          <w:p>
            <w:pPr>
              <w:jc w:val="right"/>
              <w:spacing w:after="0" w:line="149" w:lineRule="exact"/>
              <w:rPr>
                <w:rFonts w:ascii="Arial" w:cs="Arial" w:eastAsia="Arial" w:hAnsi="Arial"/>
                <w:sz w:val="15"/>
                <w:szCs w:val="15"/>
                <w:color w:val="0000EE"/>
                <w:w w:val="83"/>
              </w:rPr>
            </w:pPr>
            <w:hyperlink w:anchor="page32">
              <w:r>
                <w:rPr>
                  <w:rFonts w:ascii="Arial" w:cs="Arial" w:eastAsia="Arial" w:hAnsi="Arial"/>
                  <w:sz w:val="15"/>
                  <w:szCs w:val="15"/>
                  <w:color w:val="0000EE"/>
                  <w:w w:val="83"/>
                </w:rPr>
                <w:t>29</w:t>
              </w:r>
            </w:hyperlink>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tcBorders>
              <w:bottom w:val="single" w:sz="8" w:color="0000EE"/>
            </w:tcBorders>
            <w:gridSpan w:val="21"/>
          </w:tcPr>
          <w:p>
            <w:pPr>
              <w:spacing w:after="0" w:line="149" w:lineRule="exact"/>
              <w:rPr>
                <w:rFonts w:ascii="Arial" w:cs="Arial" w:eastAsia="Arial" w:hAnsi="Arial"/>
                <w:sz w:val="15"/>
                <w:szCs w:val="15"/>
                <w:color w:val="0000EE"/>
                <w:w w:val="97"/>
              </w:rPr>
            </w:pPr>
            <w:hyperlink w:anchor="page33">
              <w:r>
                <w:rPr>
                  <w:rFonts w:ascii="Arial" w:cs="Arial" w:eastAsia="Arial" w:hAnsi="Arial"/>
                  <w:sz w:val="15"/>
                  <w:szCs w:val="15"/>
                  <w:color w:val="0000EE"/>
                  <w:w w:val="97"/>
                </w:rPr>
                <w:t>How Named Executive Officer Compensation</w:t>
              </w:r>
            </w:hyperlink>
          </w:p>
        </w:tc>
        <w:tc>
          <w:tcPr>
            <w:tcW w:w="700" w:type="dxa"/>
            <w:vAlign w:val="bottom"/>
            <w:gridSpan w:val="9"/>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bottom w:val="single" w:sz="8" w:color="0000EE"/>
            </w:tcBorders>
            <w:gridSpan w:val="6"/>
          </w:tcPr>
          <w:p>
            <w:pPr>
              <w:spacing w:after="0" w:line="149" w:lineRule="exact"/>
              <w:rPr>
                <w:rFonts w:ascii="Arial" w:cs="Arial" w:eastAsia="Arial" w:hAnsi="Arial"/>
                <w:sz w:val="15"/>
                <w:szCs w:val="15"/>
                <w:color w:val="0000EE"/>
                <w:w w:val="96"/>
              </w:rPr>
            </w:pPr>
            <w:hyperlink w:anchor="page33">
              <w:r>
                <w:rPr>
                  <w:rFonts w:ascii="Arial" w:cs="Arial" w:eastAsia="Arial" w:hAnsi="Arial"/>
                  <w:sz w:val="15"/>
                  <w:szCs w:val="15"/>
                  <w:color w:val="0000EE"/>
                  <w:w w:val="96"/>
                </w:rPr>
                <w:t>Decisions are Made</w:t>
              </w:r>
            </w:hyperlink>
          </w:p>
        </w:tc>
        <w:tc>
          <w:tcPr>
            <w:tcW w:w="2220" w:type="dxa"/>
            <w:vAlign w:val="bottom"/>
            <w:gridSpan w:val="23"/>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0000EE"/>
            </w:tcBorders>
          </w:tcPr>
          <w:p>
            <w:pPr>
              <w:jc w:val="right"/>
              <w:spacing w:after="0" w:line="149" w:lineRule="exact"/>
              <w:rPr>
                <w:rFonts w:ascii="Arial" w:cs="Arial" w:eastAsia="Arial" w:hAnsi="Arial"/>
                <w:sz w:val="15"/>
                <w:szCs w:val="15"/>
                <w:color w:val="0000EE"/>
                <w:w w:val="83"/>
              </w:rPr>
            </w:pPr>
            <w:hyperlink w:anchor="page33">
              <w:r>
                <w:rPr>
                  <w:rFonts w:ascii="Arial" w:cs="Arial" w:eastAsia="Arial" w:hAnsi="Arial"/>
                  <w:sz w:val="15"/>
                  <w:szCs w:val="15"/>
                  <w:color w:val="0000EE"/>
                  <w:w w:val="83"/>
                </w:rPr>
                <w:t>30</w:t>
              </w:r>
            </w:hyperlink>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00" w:type="dxa"/>
            <w:vAlign w:val="bottom"/>
            <w:tcBorders>
              <w:bottom w:val="single" w:sz="8" w:color="0000EE"/>
            </w:tcBorders>
            <w:gridSpan w:val="29"/>
          </w:tcPr>
          <w:p>
            <w:pPr>
              <w:spacing w:after="0" w:line="149" w:lineRule="exact"/>
              <w:rPr>
                <w:rFonts w:ascii="Arial" w:cs="Arial" w:eastAsia="Arial" w:hAnsi="Arial"/>
                <w:sz w:val="15"/>
                <w:szCs w:val="15"/>
                <w:color w:val="0000EE"/>
                <w:w w:val="97"/>
              </w:rPr>
            </w:pPr>
            <w:hyperlink w:anchor="page37">
              <w:r>
                <w:rPr>
                  <w:rFonts w:ascii="Arial" w:cs="Arial" w:eastAsia="Arial" w:hAnsi="Arial"/>
                  <w:sz w:val="15"/>
                  <w:szCs w:val="15"/>
                  <w:color w:val="0000EE"/>
                  <w:w w:val="97"/>
                </w:rPr>
                <w:t>Named Executives' 2019 Compensation Program and</w:t>
              </w:r>
            </w:hyperlink>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20" w:type="dxa"/>
            <w:vAlign w:val="bottom"/>
            <w:gridSpan w:val="29"/>
          </w:tcPr>
          <w:p>
            <w:pPr>
              <w:spacing w:after="0" w:line="149" w:lineRule="exact"/>
              <w:rPr>
                <w:rFonts w:ascii="Arial" w:cs="Arial" w:eastAsia="Arial" w:hAnsi="Arial"/>
                <w:sz w:val="15"/>
                <w:szCs w:val="15"/>
                <w:color w:val="0000EE"/>
              </w:rPr>
            </w:pPr>
            <w:hyperlink w:anchor="page37">
              <w:r>
                <w:rPr>
                  <w:rFonts w:ascii="Arial" w:cs="Arial" w:eastAsia="Arial" w:hAnsi="Arial"/>
                  <w:sz w:val="15"/>
                  <w:szCs w:val="15"/>
                  <w:color w:val="0000EE"/>
                </w:rPr>
                <w:t>Results</w:t>
              </w:r>
            </w:hyperlink>
          </w:p>
        </w:tc>
        <w:tc>
          <w:tcPr>
            <w:tcW w:w="300" w:type="dxa"/>
            <w:vAlign w:val="bottom"/>
            <w:gridSpan w:val="2"/>
          </w:tcPr>
          <w:p>
            <w:pPr>
              <w:jc w:val="right"/>
              <w:spacing w:after="0" w:line="149" w:lineRule="exact"/>
              <w:rPr>
                <w:rFonts w:ascii="Arial" w:cs="Arial" w:eastAsia="Arial" w:hAnsi="Arial"/>
                <w:sz w:val="15"/>
                <w:szCs w:val="15"/>
                <w:color w:val="0000EE"/>
              </w:rPr>
            </w:pPr>
            <w:hyperlink w:anchor="page37">
              <w:r>
                <w:rPr>
                  <w:rFonts w:ascii="Arial" w:cs="Arial" w:eastAsia="Arial" w:hAnsi="Arial"/>
                  <w:sz w:val="15"/>
                  <w:szCs w:val="15"/>
                  <w:color w:val="0000EE"/>
                </w:rPr>
                <w:t>34</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60" w:type="dxa"/>
            <w:vAlign w:val="bottom"/>
            <w:gridSpan w:val="30"/>
          </w:tcPr>
          <w:p>
            <w:pPr>
              <w:spacing w:after="0" w:line="149" w:lineRule="exact"/>
              <w:rPr>
                <w:rFonts w:ascii="Arial" w:cs="Arial" w:eastAsia="Arial" w:hAnsi="Arial"/>
                <w:sz w:val="15"/>
                <w:szCs w:val="15"/>
                <w:color w:val="0000EE"/>
              </w:rPr>
            </w:pPr>
            <w:hyperlink w:anchor="page41">
              <w:r>
                <w:rPr>
                  <w:rFonts w:ascii="Arial" w:cs="Arial" w:eastAsia="Arial" w:hAnsi="Arial"/>
                  <w:sz w:val="15"/>
                  <w:szCs w:val="15"/>
                  <w:color w:val="0000EE"/>
                </w:rPr>
                <w:t>Post-Employment and Change in Control</w:t>
              </w:r>
            </w:hyperlink>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520" w:type="dxa"/>
            <w:vAlign w:val="bottom"/>
            <w:tcBorders>
              <w:top w:val="single" w:sz="8" w:color="0000EE"/>
            </w:tcBorders>
            <w:gridSpan w:val="15"/>
          </w:tcPr>
          <w:p>
            <w:pPr>
              <w:spacing w:after="0" w:line="149" w:lineRule="exact"/>
              <w:rPr>
                <w:rFonts w:ascii="Arial" w:cs="Arial" w:eastAsia="Arial" w:hAnsi="Arial"/>
                <w:sz w:val="15"/>
                <w:szCs w:val="15"/>
                <w:color w:val="0000EE"/>
              </w:rPr>
            </w:pPr>
            <w:hyperlink w:anchor="page41">
              <w:r>
                <w:rPr>
                  <w:rFonts w:ascii="Arial" w:cs="Arial" w:eastAsia="Arial" w:hAnsi="Arial"/>
                  <w:sz w:val="15"/>
                  <w:szCs w:val="15"/>
                  <w:color w:val="0000EE"/>
                </w:rPr>
                <w:t>Compensation; Clawback Policies</w:t>
              </w:r>
            </w:hyperlink>
          </w:p>
        </w:tc>
        <w:tc>
          <w:tcPr>
            <w:tcW w:w="1000" w:type="dxa"/>
            <w:vAlign w:val="bottom"/>
            <w:gridSpan w:val="14"/>
          </w:tcPr>
          <w:p>
            <w:pPr>
              <w:spacing w:after="0"/>
              <w:rPr>
                <w:sz w:val="12"/>
                <w:szCs w:val="12"/>
                <w:color w:val="auto"/>
              </w:rPr>
            </w:pPr>
          </w:p>
        </w:tc>
        <w:tc>
          <w:tcPr>
            <w:tcW w:w="300" w:type="dxa"/>
            <w:vAlign w:val="bottom"/>
            <w:gridSpan w:val="2"/>
          </w:tcPr>
          <w:p>
            <w:pPr>
              <w:jc w:val="right"/>
              <w:spacing w:after="0" w:line="149" w:lineRule="exact"/>
              <w:rPr>
                <w:rFonts w:ascii="Arial" w:cs="Arial" w:eastAsia="Arial" w:hAnsi="Arial"/>
                <w:sz w:val="15"/>
                <w:szCs w:val="15"/>
                <w:color w:val="0000EE"/>
              </w:rPr>
            </w:pPr>
            <w:hyperlink w:anchor="page41">
              <w:r>
                <w:rPr>
                  <w:rFonts w:ascii="Arial" w:cs="Arial" w:eastAsia="Arial" w:hAnsi="Arial"/>
                  <w:sz w:val="15"/>
                  <w:szCs w:val="15"/>
                  <w:color w:val="0000EE"/>
                </w:rPr>
                <w:t>38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60" w:type="dxa"/>
            <w:vAlign w:val="bottom"/>
            <w:gridSpan w:val="30"/>
          </w:tcPr>
          <w:p>
            <w:pPr>
              <w:spacing w:after="0" w:line="149" w:lineRule="exact"/>
              <w:rPr>
                <w:rFonts w:ascii="Arial" w:cs="Arial" w:eastAsia="Arial" w:hAnsi="Arial"/>
                <w:sz w:val="15"/>
                <w:szCs w:val="15"/>
                <w:color w:val="0000EE"/>
              </w:rPr>
            </w:pPr>
            <w:hyperlink w:anchor="page41">
              <w:r>
                <w:rPr>
                  <w:rFonts w:ascii="Arial" w:cs="Arial" w:eastAsia="Arial" w:hAnsi="Arial"/>
                  <w:sz w:val="15"/>
                  <w:szCs w:val="15"/>
                  <w:color w:val="0000EE"/>
                </w:rPr>
                <w:t>Other Compensation Policies and Practices</w:t>
              </w:r>
            </w:hyperlink>
          </w:p>
        </w:tc>
        <w:tc>
          <w:tcPr>
            <w:tcW w:w="300" w:type="dxa"/>
            <w:vAlign w:val="bottom"/>
            <w:gridSpan w:val="2"/>
          </w:tcPr>
          <w:p>
            <w:pPr>
              <w:jc w:val="right"/>
              <w:spacing w:after="0" w:line="149" w:lineRule="exact"/>
              <w:rPr>
                <w:rFonts w:ascii="Arial" w:cs="Arial" w:eastAsia="Arial" w:hAnsi="Arial"/>
                <w:sz w:val="15"/>
                <w:szCs w:val="15"/>
                <w:color w:val="0000EE"/>
              </w:rPr>
            </w:pPr>
            <w:hyperlink w:anchor="page41">
              <w:r>
                <w:rPr>
                  <w:rFonts w:ascii="Arial" w:cs="Arial" w:eastAsia="Arial" w:hAnsi="Arial"/>
                  <w:sz w:val="15"/>
                  <w:szCs w:val="15"/>
                  <w:color w:val="0000EE"/>
                </w:rPr>
                <w:t>38</w:t>
              </w:r>
            </w:hyperlink>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20" w:type="dxa"/>
            <w:vAlign w:val="bottom"/>
            <w:tcBorders>
              <w:top w:val="single" w:sz="8" w:color="0000EE"/>
            </w:tcBorders>
            <w:gridSpan w:val="18"/>
          </w:tcPr>
          <w:p>
            <w:pPr>
              <w:spacing w:after="0" w:line="149" w:lineRule="exact"/>
              <w:rPr>
                <w:rFonts w:ascii="Arial" w:cs="Arial" w:eastAsia="Arial" w:hAnsi="Arial"/>
                <w:sz w:val="15"/>
                <w:szCs w:val="15"/>
                <w:b w:val="1"/>
                <w:bCs w:val="1"/>
                <w:color w:val="477157"/>
              </w:rPr>
            </w:pPr>
            <w:hyperlink w:anchor="page43">
              <w:r>
                <w:rPr>
                  <w:rFonts w:ascii="Arial" w:cs="Arial" w:eastAsia="Arial" w:hAnsi="Arial"/>
                  <w:sz w:val="15"/>
                  <w:szCs w:val="15"/>
                  <w:b w:val="1"/>
                  <w:bCs w:val="1"/>
                  <w:color w:val="477157"/>
                </w:rPr>
                <w:t>Executive Compensation Tables</w:t>
              </w:r>
            </w:hyperlink>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0000EE"/>
            </w:tcBorders>
          </w:tcPr>
          <w:p>
            <w:pPr>
              <w:jc w:val="right"/>
              <w:spacing w:after="0" w:line="149" w:lineRule="exact"/>
              <w:rPr>
                <w:rFonts w:ascii="Arial" w:cs="Arial" w:eastAsia="Arial" w:hAnsi="Arial"/>
                <w:sz w:val="15"/>
                <w:szCs w:val="15"/>
                <w:color w:val="0000EE"/>
                <w:w w:val="83"/>
              </w:rPr>
            </w:pPr>
            <w:hyperlink w:anchor="page43">
              <w:r>
                <w:rPr>
                  <w:rFonts w:ascii="Arial" w:cs="Arial" w:eastAsia="Arial" w:hAnsi="Arial"/>
                  <w:sz w:val="15"/>
                  <w:szCs w:val="15"/>
                  <w:color w:val="0000EE"/>
                  <w:w w:val="83"/>
                </w:rPr>
                <w:t>40</w:t>
              </w:r>
            </w:hyperlink>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Borders>
              <w:top w:val="single" w:sz="8" w:color="477157"/>
            </w:tcBorders>
          </w:tcPr>
          <w:p>
            <w:pPr>
              <w:spacing w:after="0"/>
              <w:rPr>
                <w:sz w:val="12"/>
                <w:szCs w:val="12"/>
                <w:color w:val="auto"/>
              </w:rPr>
            </w:pPr>
          </w:p>
        </w:tc>
        <w:tc>
          <w:tcPr>
            <w:tcW w:w="2100" w:type="dxa"/>
            <w:vAlign w:val="bottom"/>
            <w:tcBorders>
              <w:top w:val="single" w:sz="8" w:color="477157"/>
            </w:tcBorders>
            <w:gridSpan w:val="11"/>
          </w:tcPr>
          <w:p>
            <w:pPr>
              <w:spacing w:after="0" w:line="149" w:lineRule="exact"/>
              <w:rPr>
                <w:rFonts w:ascii="Arial" w:cs="Arial" w:eastAsia="Arial" w:hAnsi="Arial"/>
                <w:sz w:val="15"/>
                <w:szCs w:val="15"/>
                <w:color w:val="0000EE"/>
              </w:rPr>
            </w:pPr>
            <w:hyperlink w:anchor="page43">
              <w:r>
                <w:rPr>
                  <w:rFonts w:ascii="Arial" w:cs="Arial" w:eastAsia="Arial" w:hAnsi="Arial"/>
                  <w:sz w:val="15"/>
                  <w:szCs w:val="15"/>
                  <w:color w:val="0000EE"/>
                </w:rPr>
                <w:t>Summary Compensation Table</w:t>
              </w:r>
            </w:hyperlink>
          </w:p>
        </w:tc>
        <w:tc>
          <w:tcPr>
            <w:tcW w:w="1560" w:type="dxa"/>
            <w:vAlign w:val="bottom"/>
            <w:gridSpan w:val="19"/>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0000EE"/>
            </w:tcBorders>
          </w:tcPr>
          <w:p>
            <w:pPr>
              <w:jc w:val="right"/>
              <w:spacing w:after="0" w:line="149" w:lineRule="exact"/>
              <w:rPr>
                <w:rFonts w:ascii="Arial" w:cs="Arial" w:eastAsia="Arial" w:hAnsi="Arial"/>
                <w:sz w:val="15"/>
                <w:szCs w:val="15"/>
                <w:color w:val="0000EE"/>
                <w:w w:val="83"/>
              </w:rPr>
            </w:pPr>
            <w:hyperlink w:anchor="page43">
              <w:r>
                <w:rPr>
                  <w:rFonts w:ascii="Arial" w:cs="Arial" w:eastAsia="Arial" w:hAnsi="Arial"/>
                  <w:sz w:val="15"/>
                  <w:szCs w:val="15"/>
                  <w:color w:val="0000EE"/>
                  <w:w w:val="83"/>
                </w:rPr>
                <w:t>40</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tcBorders>
              <w:bottom w:val="single" w:sz="8" w:color="0000EE"/>
            </w:tcBorders>
            <w:gridSpan w:val="15"/>
          </w:tcPr>
          <w:p>
            <w:pPr>
              <w:spacing w:after="0" w:line="149" w:lineRule="exact"/>
              <w:rPr>
                <w:rFonts w:ascii="Arial" w:cs="Arial" w:eastAsia="Arial" w:hAnsi="Arial"/>
                <w:sz w:val="15"/>
                <w:szCs w:val="15"/>
                <w:color w:val="0000EE"/>
                <w:w w:val="96"/>
              </w:rPr>
            </w:pPr>
            <w:hyperlink w:anchor="page45">
              <w:r>
                <w:rPr>
                  <w:rFonts w:ascii="Arial" w:cs="Arial" w:eastAsia="Arial" w:hAnsi="Arial"/>
                  <w:sz w:val="15"/>
                  <w:szCs w:val="15"/>
                  <w:color w:val="0000EE"/>
                  <w:w w:val="96"/>
                </w:rPr>
                <w:t>Grant of Plan-Based Awards in 2019</w:t>
              </w:r>
            </w:hyperlink>
          </w:p>
        </w:tc>
        <w:tc>
          <w:tcPr>
            <w:tcW w:w="1280" w:type="dxa"/>
            <w:vAlign w:val="bottom"/>
            <w:gridSpan w:val="15"/>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0000EE"/>
            </w:tcBorders>
          </w:tcPr>
          <w:p>
            <w:pPr>
              <w:jc w:val="right"/>
              <w:spacing w:after="0" w:line="149" w:lineRule="exact"/>
              <w:rPr>
                <w:rFonts w:ascii="Arial" w:cs="Arial" w:eastAsia="Arial" w:hAnsi="Arial"/>
                <w:sz w:val="15"/>
                <w:szCs w:val="15"/>
                <w:color w:val="0000EE"/>
                <w:w w:val="83"/>
              </w:rPr>
            </w:pPr>
            <w:hyperlink w:anchor="page45">
              <w:r>
                <w:rPr>
                  <w:rFonts w:ascii="Arial" w:cs="Arial" w:eastAsia="Arial" w:hAnsi="Arial"/>
                  <w:sz w:val="15"/>
                  <w:szCs w:val="15"/>
                  <w:color w:val="0000EE"/>
                  <w:w w:val="83"/>
                </w:rPr>
                <w:t>42</w:t>
              </w:r>
            </w:hyperlink>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60" w:type="dxa"/>
            <w:vAlign w:val="bottom"/>
            <w:tcBorders>
              <w:bottom w:val="single" w:sz="8" w:color="0000EE"/>
            </w:tcBorders>
            <w:gridSpan w:val="28"/>
          </w:tcPr>
          <w:p>
            <w:pPr>
              <w:spacing w:after="0" w:line="149" w:lineRule="exact"/>
              <w:rPr>
                <w:rFonts w:ascii="Arial" w:cs="Arial" w:eastAsia="Arial" w:hAnsi="Arial"/>
                <w:sz w:val="15"/>
                <w:szCs w:val="15"/>
                <w:color w:val="0000EE"/>
                <w:w w:val="97"/>
              </w:rPr>
            </w:pPr>
            <w:hyperlink w:anchor="page47">
              <w:r>
                <w:rPr>
                  <w:rFonts w:ascii="Arial" w:cs="Arial" w:eastAsia="Arial" w:hAnsi="Arial"/>
                  <w:sz w:val="15"/>
                  <w:szCs w:val="15"/>
                  <w:color w:val="0000EE"/>
                  <w:w w:val="97"/>
                </w:rPr>
                <w:t>Outstanding Equity Awards as of December 31, 2019</w:t>
              </w:r>
            </w:hyperlink>
          </w:p>
        </w:tc>
        <w:tc>
          <w:tcPr>
            <w:tcW w:w="2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0000EE"/>
            </w:tcBorders>
          </w:tcPr>
          <w:p>
            <w:pPr>
              <w:jc w:val="right"/>
              <w:spacing w:after="0" w:line="149" w:lineRule="exact"/>
              <w:rPr>
                <w:rFonts w:ascii="Arial" w:cs="Arial" w:eastAsia="Arial" w:hAnsi="Arial"/>
                <w:sz w:val="15"/>
                <w:szCs w:val="15"/>
                <w:color w:val="0000EE"/>
                <w:w w:val="83"/>
              </w:rPr>
            </w:pPr>
            <w:hyperlink w:anchor="page47">
              <w:r>
                <w:rPr>
                  <w:rFonts w:ascii="Arial" w:cs="Arial" w:eastAsia="Arial" w:hAnsi="Arial"/>
                  <w:sz w:val="15"/>
                  <w:szCs w:val="15"/>
                  <w:color w:val="0000EE"/>
                  <w:w w:val="83"/>
                </w:rPr>
                <w:t>44</w:t>
              </w:r>
            </w:hyperlink>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Borders>
              <w:bottom w:val="single" w:sz="8" w:color="0000EE"/>
            </w:tcBorders>
            <w:gridSpan w:val="14"/>
          </w:tcPr>
          <w:p>
            <w:pPr>
              <w:spacing w:after="0" w:line="149" w:lineRule="exact"/>
              <w:rPr>
                <w:rFonts w:ascii="Arial" w:cs="Arial" w:eastAsia="Arial" w:hAnsi="Arial"/>
                <w:sz w:val="15"/>
                <w:szCs w:val="15"/>
                <w:color w:val="0000EE"/>
                <w:w w:val="97"/>
              </w:rPr>
            </w:pPr>
            <w:hyperlink w:anchor="page48">
              <w:r>
                <w:rPr>
                  <w:rFonts w:ascii="Arial" w:cs="Arial" w:eastAsia="Arial" w:hAnsi="Arial"/>
                  <w:sz w:val="15"/>
                  <w:szCs w:val="15"/>
                  <w:color w:val="0000EE"/>
                  <w:w w:val="97"/>
                </w:rPr>
                <w:t>Option Exercises and Stock Vested</w:t>
              </w:r>
            </w:hyperlink>
          </w:p>
        </w:tc>
        <w:tc>
          <w:tcPr>
            <w:tcW w:w="1320" w:type="dxa"/>
            <w:vAlign w:val="bottom"/>
            <w:gridSpan w:val="16"/>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0000EE"/>
            </w:tcBorders>
          </w:tcPr>
          <w:p>
            <w:pPr>
              <w:jc w:val="right"/>
              <w:spacing w:after="0" w:line="149" w:lineRule="exact"/>
              <w:rPr>
                <w:rFonts w:ascii="Arial" w:cs="Arial" w:eastAsia="Arial" w:hAnsi="Arial"/>
                <w:sz w:val="15"/>
                <w:szCs w:val="15"/>
                <w:color w:val="0000EE"/>
                <w:w w:val="83"/>
              </w:rPr>
            </w:pPr>
            <w:hyperlink w:anchor="page48">
              <w:r>
                <w:rPr>
                  <w:rFonts w:ascii="Arial" w:cs="Arial" w:eastAsia="Arial" w:hAnsi="Arial"/>
                  <w:sz w:val="15"/>
                  <w:szCs w:val="15"/>
                  <w:color w:val="0000EE"/>
                  <w:w w:val="83"/>
                </w:rPr>
                <w:t>45</w:t>
              </w:r>
            </w:hyperlink>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40" w:type="dxa"/>
            <w:vAlign w:val="bottom"/>
            <w:tcBorders>
              <w:bottom w:val="single" w:sz="8" w:color="0000EE"/>
            </w:tcBorders>
            <w:gridSpan w:val="20"/>
          </w:tcPr>
          <w:p>
            <w:pPr>
              <w:spacing w:after="0" w:line="149" w:lineRule="exact"/>
              <w:rPr>
                <w:rFonts w:ascii="Arial" w:cs="Arial" w:eastAsia="Arial" w:hAnsi="Arial"/>
                <w:sz w:val="15"/>
                <w:szCs w:val="15"/>
                <w:color w:val="0000EE"/>
                <w:w w:val="97"/>
              </w:rPr>
            </w:pPr>
            <w:hyperlink w:anchor="page49">
              <w:r>
                <w:rPr>
                  <w:rFonts w:ascii="Arial" w:cs="Arial" w:eastAsia="Arial" w:hAnsi="Arial"/>
                  <w:sz w:val="15"/>
                  <w:szCs w:val="15"/>
                  <w:color w:val="0000EE"/>
                  <w:w w:val="97"/>
                </w:rPr>
                <w:t>Nonqualified Deferred Compensation in 2019</w:t>
              </w:r>
            </w:hyperlink>
          </w:p>
        </w:tc>
        <w:tc>
          <w:tcPr>
            <w:tcW w:w="720" w:type="dxa"/>
            <w:vAlign w:val="bottom"/>
            <w:gridSpan w:val="10"/>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0000EE"/>
            </w:tcBorders>
          </w:tcPr>
          <w:p>
            <w:pPr>
              <w:jc w:val="right"/>
              <w:spacing w:after="0" w:line="149" w:lineRule="exact"/>
              <w:rPr>
                <w:rFonts w:ascii="Arial" w:cs="Arial" w:eastAsia="Arial" w:hAnsi="Arial"/>
                <w:sz w:val="15"/>
                <w:szCs w:val="15"/>
                <w:color w:val="0000EE"/>
                <w:w w:val="83"/>
              </w:rPr>
            </w:pPr>
            <w:hyperlink w:anchor="page49">
              <w:r>
                <w:rPr>
                  <w:rFonts w:ascii="Arial" w:cs="Arial" w:eastAsia="Arial" w:hAnsi="Arial"/>
                  <w:sz w:val="15"/>
                  <w:szCs w:val="15"/>
                  <w:color w:val="0000EE"/>
                  <w:w w:val="83"/>
                </w:rPr>
                <w:t>46</w:t>
              </w:r>
            </w:hyperlink>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tcBorders>
              <w:bottom w:val="single" w:sz="8" w:color="0000EE"/>
            </w:tcBorders>
            <w:gridSpan w:val="26"/>
          </w:tcPr>
          <w:p>
            <w:pPr>
              <w:spacing w:after="0" w:line="149" w:lineRule="exact"/>
              <w:rPr>
                <w:rFonts w:ascii="Arial" w:cs="Arial" w:eastAsia="Arial" w:hAnsi="Arial"/>
                <w:sz w:val="15"/>
                <w:szCs w:val="15"/>
                <w:color w:val="0000EE"/>
                <w:w w:val="96"/>
              </w:rPr>
            </w:pPr>
            <w:hyperlink w:anchor="page50">
              <w:r>
                <w:rPr>
                  <w:rFonts w:ascii="Arial" w:cs="Arial" w:eastAsia="Arial" w:hAnsi="Arial"/>
                  <w:sz w:val="15"/>
                  <w:szCs w:val="15"/>
                  <w:color w:val="0000EE"/>
                  <w:w w:val="96"/>
                </w:rPr>
                <w:t>Potential Payments Upon Termination or Change in</w:t>
              </w:r>
            </w:hyperlink>
          </w:p>
        </w:tc>
        <w:tc>
          <w:tcPr>
            <w:tcW w:w="320" w:type="dxa"/>
            <w:vAlign w:val="bottom"/>
            <w:gridSpan w:val="4"/>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20" w:type="dxa"/>
            <w:vAlign w:val="bottom"/>
            <w:gridSpan w:val="29"/>
          </w:tcPr>
          <w:p>
            <w:pPr>
              <w:spacing w:after="0" w:line="149" w:lineRule="exact"/>
              <w:rPr>
                <w:rFonts w:ascii="Arial" w:cs="Arial" w:eastAsia="Arial" w:hAnsi="Arial"/>
                <w:sz w:val="15"/>
                <w:szCs w:val="15"/>
                <w:color w:val="0000EE"/>
              </w:rPr>
            </w:pPr>
            <w:hyperlink w:anchor="page50">
              <w:r>
                <w:rPr>
                  <w:rFonts w:ascii="Arial" w:cs="Arial" w:eastAsia="Arial" w:hAnsi="Arial"/>
                  <w:sz w:val="15"/>
                  <w:szCs w:val="15"/>
                  <w:color w:val="0000EE"/>
                </w:rPr>
                <w:t>Control</w:t>
              </w:r>
            </w:hyperlink>
          </w:p>
        </w:tc>
        <w:tc>
          <w:tcPr>
            <w:tcW w:w="300" w:type="dxa"/>
            <w:vAlign w:val="bottom"/>
            <w:gridSpan w:val="2"/>
          </w:tcPr>
          <w:p>
            <w:pPr>
              <w:jc w:val="right"/>
              <w:spacing w:after="0" w:line="149" w:lineRule="exact"/>
              <w:rPr>
                <w:rFonts w:ascii="Arial" w:cs="Arial" w:eastAsia="Arial" w:hAnsi="Arial"/>
                <w:sz w:val="15"/>
                <w:szCs w:val="15"/>
                <w:color w:val="0000EE"/>
              </w:rPr>
            </w:pPr>
            <w:hyperlink w:anchor="page50">
              <w:r>
                <w:rPr>
                  <w:rFonts w:ascii="Arial" w:cs="Arial" w:eastAsia="Arial" w:hAnsi="Arial"/>
                  <w:sz w:val="15"/>
                  <w:szCs w:val="15"/>
                  <w:color w:val="0000EE"/>
                </w:rPr>
                <w:t>47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60" w:type="dxa"/>
            <w:vAlign w:val="bottom"/>
            <w:gridSpan w:val="30"/>
          </w:tcPr>
          <w:p>
            <w:pPr>
              <w:spacing w:after="0" w:line="149" w:lineRule="exact"/>
              <w:rPr>
                <w:rFonts w:ascii="Arial" w:cs="Arial" w:eastAsia="Arial" w:hAnsi="Arial"/>
                <w:sz w:val="15"/>
                <w:szCs w:val="15"/>
                <w:color w:val="0000EE"/>
              </w:rPr>
            </w:pPr>
            <w:hyperlink w:anchor="page52">
              <w:r>
                <w:rPr>
                  <w:rFonts w:ascii="Arial" w:cs="Arial" w:eastAsia="Arial" w:hAnsi="Arial"/>
                  <w:sz w:val="15"/>
                  <w:szCs w:val="15"/>
                  <w:color w:val="0000EE"/>
                </w:rPr>
                <w:t>Potential Consideration Upon Termination of</w:t>
              </w:r>
            </w:hyperlink>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820" w:type="dxa"/>
            <w:vAlign w:val="bottom"/>
            <w:tcBorders>
              <w:top w:val="single" w:sz="8" w:color="0000EE"/>
              <w:bottom w:val="single" w:sz="8" w:color="0000EE"/>
            </w:tcBorders>
            <w:gridSpan w:val="4"/>
          </w:tcPr>
          <w:p>
            <w:pPr>
              <w:spacing w:after="0" w:line="149" w:lineRule="exact"/>
              <w:rPr>
                <w:rFonts w:ascii="Arial" w:cs="Arial" w:eastAsia="Arial" w:hAnsi="Arial"/>
                <w:sz w:val="15"/>
                <w:szCs w:val="15"/>
                <w:color w:val="0000EE"/>
                <w:w w:val="95"/>
              </w:rPr>
            </w:pPr>
            <w:hyperlink w:anchor="page52">
              <w:r>
                <w:rPr>
                  <w:rFonts w:ascii="Arial" w:cs="Arial" w:eastAsia="Arial" w:hAnsi="Arial"/>
                  <w:sz w:val="15"/>
                  <w:szCs w:val="15"/>
                  <w:color w:val="0000EE"/>
                  <w:w w:val="95"/>
                </w:rPr>
                <w:t>Employment</w:t>
              </w:r>
            </w:hyperlink>
          </w:p>
        </w:tc>
        <w:tc>
          <w:tcPr>
            <w:tcW w:w="1900" w:type="dxa"/>
            <w:vAlign w:val="bottom"/>
            <w:tcBorders>
              <w:top w:val="single" w:sz="8" w:color="0000EE"/>
            </w:tcBorders>
            <w:gridSpan w:val="14"/>
          </w:tcPr>
          <w:p>
            <w:pPr>
              <w:spacing w:after="0"/>
              <w:rPr>
                <w:sz w:val="12"/>
                <w:szCs w:val="12"/>
                <w:color w:val="auto"/>
              </w:rPr>
            </w:pPr>
          </w:p>
        </w:tc>
        <w:tc>
          <w:tcPr>
            <w:tcW w:w="800" w:type="dxa"/>
            <w:vAlign w:val="bottom"/>
            <w:gridSpan w:val="11"/>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0000EE"/>
            </w:tcBorders>
          </w:tcPr>
          <w:p>
            <w:pPr>
              <w:jc w:val="right"/>
              <w:spacing w:after="0" w:line="149" w:lineRule="exact"/>
              <w:rPr>
                <w:rFonts w:ascii="Arial" w:cs="Arial" w:eastAsia="Arial" w:hAnsi="Arial"/>
                <w:sz w:val="15"/>
                <w:szCs w:val="15"/>
                <w:color w:val="0000EE"/>
                <w:w w:val="83"/>
              </w:rPr>
            </w:pPr>
            <w:hyperlink w:anchor="page52">
              <w:r>
                <w:rPr>
                  <w:rFonts w:ascii="Arial" w:cs="Arial" w:eastAsia="Arial" w:hAnsi="Arial"/>
                  <w:sz w:val="15"/>
                  <w:szCs w:val="15"/>
                  <w:color w:val="0000EE"/>
                  <w:w w:val="83"/>
                </w:rPr>
                <w:t>49</w:t>
              </w:r>
            </w:hyperlink>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60" w:type="dxa"/>
            <w:vAlign w:val="bottom"/>
            <w:gridSpan w:val="30"/>
          </w:tcPr>
          <w:p>
            <w:pPr>
              <w:spacing w:after="0" w:line="149" w:lineRule="exact"/>
              <w:rPr>
                <w:rFonts w:ascii="Arial" w:cs="Arial" w:eastAsia="Arial" w:hAnsi="Arial"/>
                <w:sz w:val="15"/>
                <w:szCs w:val="15"/>
                <w:color w:val="0000EE"/>
              </w:rPr>
            </w:pPr>
            <w:hyperlink w:anchor="page53">
              <w:r>
                <w:rPr>
                  <w:rFonts w:ascii="Arial" w:cs="Arial" w:eastAsia="Arial" w:hAnsi="Arial"/>
                  <w:sz w:val="15"/>
                  <w:szCs w:val="15"/>
                  <w:color w:val="0000EE"/>
                </w:rPr>
                <w:t>Chief Executive Officer Pay Ratio</w:t>
              </w:r>
            </w:hyperlink>
          </w:p>
        </w:tc>
        <w:tc>
          <w:tcPr>
            <w:tcW w:w="300" w:type="dxa"/>
            <w:vAlign w:val="bottom"/>
            <w:gridSpan w:val="2"/>
          </w:tcPr>
          <w:p>
            <w:pPr>
              <w:jc w:val="right"/>
              <w:spacing w:after="0" w:line="149" w:lineRule="exact"/>
              <w:rPr>
                <w:rFonts w:ascii="Arial" w:cs="Arial" w:eastAsia="Arial" w:hAnsi="Arial"/>
                <w:sz w:val="15"/>
                <w:szCs w:val="15"/>
                <w:color w:val="0000EE"/>
              </w:rPr>
            </w:pPr>
            <w:hyperlink w:anchor="page53">
              <w:r>
                <w:rPr>
                  <w:rFonts w:ascii="Arial" w:cs="Arial" w:eastAsia="Arial" w:hAnsi="Arial"/>
                  <w:sz w:val="15"/>
                  <w:szCs w:val="15"/>
                  <w:color w:val="0000EE"/>
                </w:rPr>
                <w:t>50</w:t>
              </w:r>
            </w:hyperlink>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Borders>
              <w:top w:val="single" w:sz="8" w:color="0000EE"/>
              <w:bottom w:val="single" w:sz="8" w:color="0000EE"/>
            </w:tcBorders>
            <w:gridSpan w:val="12"/>
          </w:tcPr>
          <w:p>
            <w:pPr>
              <w:spacing w:after="0" w:line="149" w:lineRule="exact"/>
              <w:rPr>
                <w:rFonts w:ascii="Arial" w:cs="Arial" w:eastAsia="Arial" w:hAnsi="Arial"/>
                <w:sz w:val="15"/>
                <w:szCs w:val="15"/>
                <w:color w:val="0000EE"/>
                <w:w w:val="96"/>
              </w:rPr>
            </w:pPr>
            <w:hyperlink w:anchor="page53">
              <w:r>
                <w:rPr>
                  <w:rFonts w:ascii="Arial" w:cs="Arial" w:eastAsia="Arial" w:hAnsi="Arial"/>
                  <w:sz w:val="15"/>
                  <w:szCs w:val="15"/>
                  <w:color w:val="0000EE"/>
                  <w:w w:val="96"/>
                </w:rPr>
                <w:t>Equity Compensation Plan Table</w:t>
              </w:r>
            </w:hyperlink>
          </w:p>
        </w:tc>
        <w:tc>
          <w:tcPr>
            <w:tcW w:w="40" w:type="dxa"/>
            <w:vAlign w:val="bottom"/>
            <w:tcBorders>
              <w:top w:val="single" w:sz="8" w:color="0000EE"/>
            </w:tcBorders>
          </w:tcPr>
          <w:p>
            <w:pPr>
              <w:spacing w:after="0"/>
              <w:rPr>
                <w:sz w:val="12"/>
                <w:szCs w:val="12"/>
                <w:color w:val="auto"/>
              </w:rPr>
            </w:pPr>
          </w:p>
        </w:tc>
        <w:tc>
          <w:tcPr>
            <w:tcW w:w="1500" w:type="dxa"/>
            <w:vAlign w:val="bottom"/>
            <w:gridSpan w:val="17"/>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0000EE"/>
              <w:bottom w:val="single" w:sz="8" w:color="0000EE"/>
            </w:tcBorders>
          </w:tcPr>
          <w:p>
            <w:pPr>
              <w:jc w:val="right"/>
              <w:spacing w:after="0" w:line="149" w:lineRule="exact"/>
              <w:rPr>
                <w:rFonts w:ascii="Arial" w:cs="Arial" w:eastAsia="Arial" w:hAnsi="Arial"/>
                <w:sz w:val="15"/>
                <w:szCs w:val="15"/>
                <w:color w:val="0000EE"/>
                <w:w w:val="83"/>
              </w:rPr>
            </w:pPr>
            <w:hyperlink w:anchor="page53">
              <w:r>
                <w:rPr>
                  <w:rFonts w:ascii="Arial" w:cs="Arial" w:eastAsia="Arial" w:hAnsi="Arial"/>
                  <w:sz w:val="15"/>
                  <w:szCs w:val="15"/>
                  <w:color w:val="0000EE"/>
                  <w:w w:val="83"/>
                </w:rPr>
                <w:t>50</w:t>
              </w:r>
            </w:hyperlink>
          </w:p>
        </w:tc>
        <w:tc>
          <w:tcPr>
            <w:tcW w:w="0" w:type="dxa"/>
            <w:vAlign w:val="bottom"/>
          </w:tcPr>
          <w:p>
            <w:pPr>
              <w:spacing w:after="0"/>
              <w:rPr>
                <w:sz w:val="1"/>
                <w:szCs w:val="1"/>
                <w:color w:val="auto"/>
              </w:rPr>
            </w:pPr>
          </w:p>
        </w:tc>
      </w:tr>
      <w:tr>
        <w:trPr>
          <w:trHeight w:val="149"/>
        </w:trPr>
        <w:tc>
          <w:tcPr>
            <w:tcW w:w="2380" w:type="dxa"/>
            <w:vAlign w:val="bottom"/>
            <w:tcBorders>
              <w:bottom w:val="single" w:sz="8" w:color="477157"/>
            </w:tcBorders>
            <w:gridSpan w:val="14"/>
          </w:tcPr>
          <w:p>
            <w:pPr>
              <w:spacing w:after="0" w:line="149" w:lineRule="exact"/>
              <w:rPr>
                <w:rFonts w:ascii="Arial" w:cs="Arial" w:eastAsia="Arial" w:hAnsi="Arial"/>
                <w:sz w:val="15"/>
                <w:szCs w:val="15"/>
                <w:b w:val="1"/>
                <w:bCs w:val="1"/>
                <w:color w:val="477157"/>
                <w:w w:val="97"/>
              </w:rPr>
            </w:pPr>
            <w:hyperlink w:anchor="page54">
              <w:r>
                <w:rPr>
                  <w:rFonts w:ascii="Arial" w:cs="Arial" w:eastAsia="Arial" w:hAnsi="Arial"/>
                  <w:sz w:val="15"/>
                  <w:szCs w:val="15"/>
                  <w:b w:val="1"/>
                  <w:bCs w:val="1"/>
                  <w:color w:val="477157"/>
                  <w:w w:val="97"/>
                </w:rPr>
                <w:t>RATIFICATION OF INDEPENDENT</w:t>
              </w:r>
            </w:hyperlink>
          </w:p>
        </w:tc>
        <w:tc>
          <w:tcPr>
            <w:tcW w:w="960" w:type="dxa"/>
            <w:vAlign w:val="bottom"/>
            <w:tcBorders>
              <w:bottom w:val="single" w:sz="8" w:color="477157"/>
            </w:tcBorders>
            <w:gridSpan w:val="10"/>
          </w:tcPr>
          <w:p>
            <w:pPr>
              <w:spacing w:after="0" w:line="149" w:lineRule="exact"/>
              <w:rPr>
                <w:rFonts w:ascii="Arial" w:cs="Arial" w:eastAsia="Arial" w:hAnsi="Arial"/>
                <w:sz w:val="15"/>
                <w:szCs w:val="15"/>
                <w:b w:val="1"/>
                <w:bCs w:val="1"/>
                <w:color w:val="477157"/>
                <w:w w:val="96"/>
              </w:rPr>
            </w:pPr>
            <w:hyperlink w:anchor="page54">
              <w:r>
                <w:rPr>
                  <w:rFonts w:ascii="Arial" w:cs="Arial" w:eastAsia="Arial" w:hAnsi="Arial"/>
                  <w:sz w:val="15"/>
                  <w:szCs w:val="15"/>
                  <w:b w:val="1"/>
                  <w:bCs w:val="1"/>
                  <w:color w:val="477157"/>
                  <w:w w:val="96"/>
                </w:rPr>
                <w:t>REGISTERED</w:t>
              </w:r>
            </w:hyperlink>
          </w:p>
        </w:tc>
        <w:tc>
          <w:tcPr>
            <w:tcW w:w="580" w:type="dxa"/>
            <w:vAlign w:val="bottom"/>
            <w:gridSpan w:val="8"/>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00" w:type="dxa"/>
            <w:vAlign w:val="bottom"/>
            <w:gridSpan w:val="31"/>
          </w:tcPr>
          <w:p>
            <w:pPr>
              <w:spacing w:after="0" w:line="149" w:lineRule="exact"/>
              <w:rPr>
                <w:rFonts w:ascii="Arial" w:cs="Arial" w:eastAsia="Arial" w:hAnsi="Arial"/>
                <w:sz w:val="15"/>
                <w:szCs w:val="15"/>
                <w:b w:val="1"/>
                <w:bCs w:val="1"/>
                <w:color w:val="477157"/>
              </w:rPr>
            </w:pPr>
            <w:hyperlink w:anchor="page54">
              <w:r>
                <w:rPr>
                  <w:rFonts w:ascii="Arial" w:cs="Arial" w:eastAsia="Arial" w:hAnsi="Arial"/>
                  <w:sz w:val="15"/>
                  <w:szCs w:val="15"/>
                  <w:b w:val="1"/>
                  <w:bCs w:val="1"/>
                  <w:color w:val="477157"/>
                </w:rPr>
                <w:t>PUBLIC ACCOUNTING FIRM (Item 2 on the Proxy</w:t>
              </w:r>
            </w:hyperlink>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420" w:type="dxa"/>
            <w:vAlign w:val="bottom"/>
            <w:tcBorders>
              <w:top w:val="single" w:sz="8" w:color="477157"/>
            </w:tcBorders>
            <w:gridSpan w:val="25"/>
          </w:tcPr>
          <w:p>
            <w:pPr>
              <w:spacing w:after="0" w:line="149" w:lineRule="exact"/>
              <w:rPr>
                <w:rFonts w:ascii="Arial" w:cs="Arial" w:eastAsia="Arial" w:hAnsi="Arial"/>
                <w:sz w:val="15"/>
                <w:szCs w:val="15"/>
                <w:b w:val="1"/>
                <w:bCs w:val="1"/>
                <w:color w:val="477157"/>
              </w:rPr>
            </w:pPr>
            <w:hyperlink w:anchor="page54">
              <w:r>
                <w:rPr>
                  <w:rFonts w:ascii="Arial" w:cs="Arial" w:eastAsia="Arial" w:hAnsi="Arial"/>
                  <w:sz w:val="15"/>
                  <w:szCs w:val="15"/>
                  <w:b w:val="1"/>
                  <w:bCs w:val="1"/>
                  <w:color w:val="477157"/>
                </w:rPr>
                <w:t>Card)</w:t>
              </w:r>
            </w:hyperlink>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20" w:type="dxa"/>
            <w:vAlign w:val="bottom"/>
            <w:gridSpan w:val="3"/>
          </w:tcPr>
          <w:p>
            <w:pPr>
              <w:spacing w:after="0"/>
              <w:rPr>
                <w:sz w:val="12"/>
                <w:szCs w:val="12"/>
                <w:color w:val="auto"/>
              </w:rPr>
            </w:pPr>
          </w:p>
        </w:tc>
        <w:tc>
          <w:tcPr>
            <w:tcW w:w="300" w:type="dxa"/>
            <w:vAlign w:val="bottom"/>
            <w:gridSpan w:val="2"/>
          </w:tcPr>
          <w:p>
            <w:pPr>
              <w:jc w:val="right"/>
              <w:spacing w:after="0" w:line="149" w:lineRule="exact"/>
              <w:rPr>
                <w:rFonts w:ascii="Arial" w:cs="Arial" w:eastAsia="Arial" w:hAnsi="Arial"/>
                <w:sz w:val="15"/>
                <w:szCs w:val="15"/>
                <w:color w:val="0000EE"/>
              </w:rPr>
            </w:pPr>
            <w:hyperlink w:anchor="page54">
              <w:r>
                <w:rPr>
                  <w:rFonts w:ascii="Arial" w:cs="Arial" w:eastAsia="Arial" w:hAnsi="Arial"/>
                  <w:sz w:val="15"/>
                  <w:szCs w:val="15"/>
                  <w:color w:val="0000EE"/>
                </w:rPr>
                <w:t>51</w:t>
              </w:r>
            </w:hyperlink>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380" w:type="dxa"/>
            <w:vAlign w:val="bottom"/>
            <w:gridSpan w:val="3"/>
            <w:shd w:val="clear" w:color="auto" w:fill="47715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vMerge w:val="continue"/>
          </w:tcPr>
          <w:p>
            <w:pPr>
              <w:spacing w:after="0"/>
              <w:rPr>
                <w:sz w:val="12"/>
                <w:szCs w:val="12"/>
                <w:color w:val="auto"/>
              </w:rPr>
            </w:pPr>
          </w:p>
        </w:tc>
        <w:tc>
          <w:tcPr>
            <w:tcW w:w="3800" w:type="dxa"/>
            <w:vAlign w:val="bottom"/>
            <w:gridSpan w:val="31"/>
          </w:tcPr>
          <w:p>
            <w:pPr>
              <w:spacing w:after="0" w:line="149" w:lineRule="exact"/>
              <w:rPr>
                <w:rFonts w:ascii="Arial" w:cs="Arial" w:eastAsia="Arial" w:hAnsi="Arial"/>
                <w:sz w:val="15"/>
                <w:szCs w:val="15"/>
                <w:b w:val="1"/>
                <w:bCs w:val="1"/>
                <w:color w:val="477157"/>
              </w:rPr>
            </w:pPr>
            <w:hyperlink w:anchor="page55">
              <w:r>
                <w:rPr>
                  <w:rFonts w:ascii="Arial" w:cs="Arial" w:eastAsia="Arial" w:hAnsi="Arial"/>
                  <w:sz w:val="15"/>
                  <w:szCs w:val="15"/>
                  <w:b w:val="1"/>
                  <w:bCs w:val="1"/>
                  <w:color w:val="477157"/>
                </w:rPr>
                <w:t>ADVISORY VOTE ON EXECUTIVE COMPENSATION</w:t>
              </w:r>
            </w:hyperlink>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Borders>
              <w:top w:val="single" w:sz="8" w:color="477157"/>
            </w:tcBorders>
          </w:tcPr>
          <w:p>
            <w:pPr>
              <w:spacing w:after="0"/>
              <w:rPr>
                <w:sz w:val="12"/>
                <w:szCs w:val="12"/>
                <w:color w:val="auto"/>
              </w:rPr>
            </w:pPr>
          </w:p>
        </w:tc>
        <w:tc>
          <w:tcPr>
            <w:tcW w:w="3440" w:type="dxa"/>
            <w:vAlign w:val="bottom"/>
            <w:tcBorders>
              <w:top w:val="single" w:sz="8" w:color="477157"/>
            </w:tcBorders>
            <w:gridSpan w:val="26"/>
          </w:tcPr>
          <w:p>
            <w:pPr>
              <w:spacing w:after="0" w:line="149" w:lineRule="exact"/>
              <w:rPr>
                <w:rFonts w:ascii="Arial" w:cs="Arial" w:eastAsia="Arial" w:hAnsi="Arial"/>
                <w:sz w:val="15"/>
                <w:szCs w:val="15"/>
                <w:b w:val="1"/>
                <w:bCs w:val="1"/>
                <w:color w:val="477157"/>
              </w:rPr>
            </w:pPr>
            <w:hyperlink w:anchor="page55">
              <w:r>
                <w:rPr>
                  <w:rFonts w:ascii="Arial" w:cs="Arial" w:eastAsia="Arial" w:hAnsi="Arial"/>
                  <w:sz w:val="15"/>
                  <w:szCs w:val="15"/>
                  <w:b w:val="1"/>
                  <w:bCs w:val="1"/>
                  <w:color w:val="477157"/>
                </w:rPr>
                <w:t>(Item 3 on the Proxy Card)</w:t>
              </w:r>
            </w:hyperlink>
          </w:p>
        </w:tc>
        <w:tc>
          <w:tcPr>
            <w:tcW w:w="140" w:type="dxa"/>
            <w:vAlign w:val="bottom"/>
            <w:gridSpan w:val="2"/>
          </w:tcPr>
          <w:p>
            <w:pPr>
              <w:spacing w:after="0"/>
              <w:rPr>
                <w:sz w:val="12"/>
                <w:szCs w:val="12"/>
                <w:color w:val="auto"/>
              </w:rPr>
            </w:pPr>
          </w:p>
        </w:tc>
        <w:tc>
          <w:tcPr>
            <w:tcW w:w="220" w:type="dxa"/>
            <w:vAlign w:val="bottom"/>
            <w:gridSpan w:val="3"/>
          </w:tcPr>
          <w:p>
            <w:pPr>
              <w:spacing w:after="0"/>
              <w:rPr>
                <w:sz w:val="12"/>
                <w:szCs w:val="12"/>
                <w:color w:val="auto"/>
              </w:rPr>
            </w:pPr>
          </w:p>
        </w:tc>
        <w:tc>
          <w:tcPr>
            <w:tcW w:w="300" w:type="dxa"/>
            <w:vAlign w:val="bottom"/>
            <w:gridSpan w:val="2"/>
          </w:tcPr>
          <w:p>
            <w:pPr>
              <w:jc w:val="right"/>
              <w:spacing w:after="0" w:line="149" w:lineRule="exact"/>
              <w:rPr>
                <w:rFonts w:ascii="Arial" w:cs="Arial" w:eastAsia="Arial" w:hAnsi="Arial"/>
                <w:sz w:val="15"/>
                <w:szCs w:val="15"/>
                <w:color w:val="0000EE"/>
              </w:rPr>
            </w:pPr>
            <w:hyperlink w:anchor="page55">
              <w:r>
                <w:rPr>
                  <w:rFonts w:ascii="Arial" w:cs="Arial" w:eastAsia="Arial" w:hAnsi="Arial"/>
                  <w:sz w:val="15"/>
                  <w:szCs w:val="15"/>
                  <w:color w:val="0000EE"/>
                </w:rPr>
                <w:t>52</w:t>
              </w:r>
            </w:hyperlink>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840" w:type="dxa"/>
            <w:vAlign w:val="bottom"/>
            <w:tcBorders>
              <w:top w:val="single" w:sz="8" w:color="477157"/>
            </w:tcBorders>
            <w:gridSpan w:val="10"/>
          </w:tcPr>
          <w:p>
            <w:pPr>
              <w:spacing w:after="0" w:line="149" w:lineRule="exact"/>
              <w:rPr>
                <w:rFonts w:ascii="Arial" w:cs="Arial" w:eastAsia="Arial" w:hAnsi="Arial"/>
                <w:sz w:val="15"/>
                <w:szCs w:val="15"/>
                <w:b w:val="1"/>
                <w:bCs w:val="1"/>
                <w:color w:val="477157"/>
                <w:w w:val="88"/>
              </w:rPr>
            </w:pPr>
            <w:hyperlink w:anchor="page57">
              <w:r>
                <w:rPr>
                  <w:rFonts w:ascii="Arial" w:cs="Arial" w:eastAsia="Arial" w:hAnsi="Arial"/>
                  <w:sz w:val="15"/>
                  <w:szCs w:val="15"/>
                  <w:b w:val="1"/>
                  <w:bCs w:val="1"/>
                  <w:color w:val="477157"/>
                  <w:w w:val="88"/>
                </w:rPr>
                <w:t>PROPOSAL TO AMEND AND</w:t>
              </w:r>
            </w:hyperlink>
          </w:p>
        </w:tc>
        <w:tc>
          <w:tcPr>
            <w:tcW w:w="1960" w:type="dxa"/>
            <w:vAlign w:val="bottom"/>
            <w:gridSpan w:val="21"/>
          </w:tcPr>
          <w:p>
            <w:pPr>
              <w:ind w:left="80"/>
              <w:spacing w:after="0" w:line="149" w:lineRule="exact"/>
              <w:rPr>
                <w:rFonts w:ascii="Arial" w:cs="Arial" w:eastAsia="Arial" w:hAnsi="Arial"/>
                <w:sz w:val="15"/>
                <w:szCs w:val="15"/>
                <w:b w:val="1"/>
                <w:bCs w:val="1"/>
                <w:color w:val="477157"/>
              </w:rPr>
            </w:pPr>
            <w:hyperlink w:anchor="page57">
              <w:r>
                <w:rPr>
                  <w:rFonts w:ascii="Arial" w:cs="Arial" w:eastAsia="Arial" w:hAnsi="Arial"/>
                  <w:sz w:val="15"/>
                  <w:szCs w:val="15"/>
                  <w:b w:val="1"/>
                  <w:bCs w:val="1"/>
                  <w:color w:val="477157"/>
                </w:rPr>
                <w:t>RESTATE THE</w:t>
              </w:r>
            </w:hyperlink>
          </w:p>
        </w:tc>
        <w:tc>
          <w:tcPr>
            <w:tcW w:w="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77157"/>
          </w:tcPr>
          <w:p>
            <w:pPr>
              <w:spacing w:after="0" w:line="20" w:lineRule="exact"/>
              <w:rPr>
                <w:sz w:val="1"/>
                <w:szCs w:val="1"/>
                <w:color w:val="auto"/>
              </w:rPr>
            </w:pPr>
          </w:p>
        </w:tc>
        <w:tc>
          <w:tcPr>
            <w:tcW w:w="740" w:type="dxa"/>
            <w:vAlign w:val="bottom"/>
            <w:gridSpan w:val="4"/>
            <w:shd w:val="clear" w:color="auto" w:fill="477157"/>
          </w:tcPr>
          <w:p>
            <w:pPr>
              <w:spacing w:after="0" w:line="20" w:lineRule="exact"/>
              <w:rPr>
                <w:sz w:val="1"/>
                <w:szCs w:val="1"/>
                <w:color w:val="auto"/>
              </w:rPr>
            </w:pPr>
          </w:p>
        </w:tc>
        <w:tc>
          <w:tcPr>
            <w:tcW w:w="380" w:type="dxa"/>
            <w:vAlign w:val="bottom"/>
            <w:tcBorders>
              <w:left w:val="single" w:sz="8" w:color="477157"/>
            </w:tcBorders>
            <w:gridSpan w:val="3"/>
            <w:shd w:val="clear" w:color="auto" w:fill="477157"/>
          </w:tcPr>
          <w:p>
            <w:pPr>
              <w:spacing w:after="0" w:line="20" w:lineRule="exact"/>
              <w:rPr>
                <w:sz w:val="1"/>
                <w:szCs w:val="1"/>
                <w:color w:val="auto"/>
              </w:rPr>
            </w:pPr>
          </w:p>
        </w:tc>
        <w:tc>
          <w:tcPr>
            <w:tcW w:w="700" w:type="dxa"/>
            <w:vAlign w:val="bottom"/>
            <w:gridSpan w:val="2"/>
            <w:shd w:val="clear" w:color="auto" w:fill="477157"/>
          </w:tcPr>
          <w:p>
            <w:pPr>
              <w:spacing w:after="0" w:line="20" w:lineRule="exact"/>
              <w:rPr>
                <w:sz w:val="1"/>
                <w:szCs w:val="1"/>
                <w:color w:val="auto"/>
              </w:rPr>
            </w:pPr>
          </w:p>
        </w:tc>
        <w:tc>
          <w:tcPr>
            <w:tcW w:w="1080" w:type="dxa"/>
            <w:vAlign w:val="bottom"/>
            <w:gridSpan w:val="9"/>
            <w:shd w:val="clear" w:color="auto" w:fill="477157"/>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3800" w:type="dxa"/>
            <w:vAlign w:val="bottom"/>
            <w:gridSpan w:val="31"/>
          </w:tcPr>
          <w:p>
            <w:pPr>
              <w:spacing w:after="0" w:line="149" w:lineRule="exact"/>
              <w:rPr>
                <w:rFonts w:ascii="Arial" w:cs="Arial" w:eastAsia="Arial" w:hAnsi="Arial"/>
                <w:sz w:val="15"/>
                <w:szCs w:val="15"/>
                <w:b w:val="1"/>
                <w:bCs w:val="1"/>
                <w:color w:val="477157"/>
              </w:rPr>
            </w:pPr>
            <w:hyperlink w:anchor="page57">
              <w:r>
                <w:rPr>
                  <w:rFonts w:ascii="Arial" w:cs="Arial" w:eastAsia="Arial" w:hAnsi="Arial"/>
                  <w:sz w:val="15"/>
                  <w:szCs w:val="15"/>
                  <w:b w:val="1"/>
                  <w:bCs w:val="1"/>
                  <w:color w:val="477157"/>
                </w:rPr>
                <w:t>COMPANY'S EMPLOYEE STOCK PURCHASE PLAN</w:t>
              </w:r>
            </w:hyperlink>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580" w:type="dxa"/>
            <w:vAlign w:val="bottom"/>
            <w:tcBorders>
              <w:top w:val="single" w:sz="8" w:color="477157"/>
            </w:tcBorders>
            <w:gridSpan w:val="28"/>
          </w:tcPr>
          <w:p>
            <w:pPr>
              <w:spacing w:after="0" w:line="149" w:lineRule="exact"/>
              <w:rPr>
                <w:rFonts w:ascii="Arial" w:cs="Arial" w:eastAsia="Arial" w:hAnsi="Arial"/>
                <w:sz w:val="15"/>
                <w:szCs w:val="15"/>
                <w:b w:val="1"/>
                <w:bCs w:val="1"/>
                <w:color w:val="477157"/>
              </w:rPr>
            </w:pPr>
            <w:hyperlink w:anchor="page57">
              <w:r>
                <w:rPr>
                  <w:rFonts w:ascii="Arial" w:cs="Arial" w:eastAsia="Arial" w:hAnsi="Arial"/>
                  <w:sz w:val="15"/>
                  <w:szCs w:val="15"/>
                  <w:b w:val="1"/>
                  <w:bCs w:val="1"/>
                  <w:color w:val="477157"/>
                </w:rPr>
                <w:t>(Item 4 on the Proxy Card)</w:t>
              </w:r>
            </w:hyperlink>
          </w:p>
        </w:tc>
        <w:tc>
          <w:tcPr>
            <w:tcW w:w="220" w:type="dxa"/>
            <w:vAlign w:val="bottom"/>
            <w:gridSpan w:val="3"/>
          </w:tcPr>
          <w:p>
            <w:pPr>
              <w:spacing w:after="0"/>
              <w:rPr>
                <w:sz w:val="12"/>
                <w:szCs w:val="12"/>
                <w:color w:val="auto"/>
              </w:rPr>
            </w:pPr>
          </w:p>
        </w:tc>
        <w:tc>
          <w:tcPr>
            <w:tcW w:w="300" w:type="dxa"/>
            <w:vAlign w:val="bottom"/>
            <w:gridSpan w:val="2"/>
          </w:tcPr>
          <w:p>
            <w:pPr>
              <w:jc w:val="right"/>
              <w:spacing w:after="0" w:line="149" w:lineRule="exact"/>
              <w:rPr>
                <w:rFonts w:ascii="Arial" w:cs="Arial" w:eastAsia="Arial" w:hAnsi="Arial"/>
                <w:sz w:val="15"/>
                <w:szCs w:val="15"/>
                <w:color w:val="0000EE"/>
              </w:rPr>
            </w:pPr>
            <w:hyperlink w:anchor="page57">
              <w:r>
                <w:rPr>
                  <w:rFonts w:ascii="Arial" w:cs="Arial" w:eastAsia="Arial" w:hAnsi="Arial"/>
                  <w:sz w:val="15"/>
                  <w:szCs w:val="15"/>
                  <w:color w:val="0000EE"/>
                </w:rPr>
                <w:t>54</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0" w:type="dxa"/>
            <w:vAlign w:val="bottom"/>
            <w:gridSpan w:val="4"/>
            <w:shd w:val="clear" w:color="auto" w:fill="477157"/>
          </w:tcPr>
          <w:p>
            <w:pPr>
              <w:spacing w:after="0" w:line="20" w:lineRule="exact"/>
              <w:rPr>
                <w:sz w:val="1"/>
                <w:szCs w:val="1"/>
                <w:color w:val="auto"/>
              </w:rPr>
            </w:pPr>
          </w:p>
        </w:tc>
        <w:tc>
          <w:tcPr>
            <w:tcW w:w="380" w:type="dxa"/>
            <w:vAlign w:val="bottom"/>
            <w:tcBorders>
              <w:left w:val="single" w:sz="8" w:color="477157"/>
            </w:tcBorders>
            <w:gridSpan w:val="3"/>
            <w:shd w:val="clear" w:color="auto" w:fill="477157"/>
          </w:tcPr>
          <w:p>
            <w:pPr>
              <w:spacing w:after="0" w:line="20" w:lineRule="exact"/>
              <w:rPr>
                <w:sz w:val="1"/>
                <w:szCs w:val="1"/>
                <w:color w:val="auto"/>
              </w:rPr>
            </w:pPr>
          </w:p>
        </w:tc>
        <w:tc>
          <w:tcPr>
            <w:tcW w:w="700" w:type="dxa"/>
            <w:vAlign w:val="bottom"/>
            <w:gridSpan w:val="2"/>
            <w:shd w:val="clear" w:color="auto" w:fill="477157"/>
          </w:tcPr>
          <w:p>
            <w:pPr>
              <w:spacing w:after="0" w:line="20" w:lineRule="exact"/>
              <w:rPr>
                <w:sz w:val="1"/>
                <w:szCs w:val="1"/>
                <w:color w:val="auto"/>
              </w:rPr>
            </w:pPr>
          </w:p>
        </w:tc>
        <w:tc>
          <w:tcPr>
            <w:tcW w:w="1980" w:type="dxa"/>
            <w:vAlign w:val="bottom"/>
            <w:gridSpan w:val="22"/>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940" w:type="dxa"/>
            <w:vAlign w:val="bottom"/>
            <w:gridSpan w:val="10"/>
          </w:tcPr>
          <w:p>
            <w:pPr>
              <w:spacing w:after="0" w:line="149" w:lineRule="exact"/>
              <w:rPr>
                <w:rFonts w:ascii="Arial" w:cs="Arial" w:eastAsia="Arial" w:hAnsi="Arial"/>
                <w:sz w:val="15"/>
                <w:szCs w:val="15"/>
                <w:b w:val="1"/>
                <w:bCs w:val="1"/>
                <w:color w:val="477157"/>
              </w:rPr>
            </w:pPr>
            <w:hyperlink w:anchor="page59">
              <w:r>
                <w:rPr>
                  <w:rFonts w:ascii="Arial" w:cs="Arial" w:eastAsia="Arial" w:hAnsi="Arial"/>
                  <w:sz w:val="15"/>
                  <w:szCs w:val="15"/>
                  <w:b w:val="1"/>
                  <w:bCs w:val="1"/>
                  <w:color w:val="477157"/>
                </w:rPr>
                <w:t>OTHER MATTERS</w:t>
              </w:r>
            </w:hyperlink>
          </w:p>
        </w:tc>
        <w:tc>
          <w:tcPr>
            <w:tcW w:w="1980" w:type="dxa"/>
            <w:vAlign w:val="bottom"/>
            <w:gridSpan w:val="22"/>
            <w:vMerge w:val="continue"/>
          </w:tcPr>
          <w:p>
            <w:pPr>
              <w:spacing w:after="0"/>
              <w:rPr>
                <w:sz w:val="12"/>
                <w:szCs w:val="12"/>
                <w:color w:val="auto"/>
              </w:rPr>
            </w:pPr>
          </w:p>
        </w:tc>
        <w:tc>
          <w:tcPr>
            <w:tcW w:w="300" w:type="dxa"/>
            <w:vAlign w:val="bottom"/>
            <w:gridSpan w:val="2"/>
          </w:tcPr>
          <w:p>
            <w:pPr>
              <w:jc w:val="right"/>
              <w:spacing w:after="0" w:line="149" w:lineRule="exact"/>
              <w:rPr>
                <w:rFonts w:ascii="Arial" w:cs="Arial" w:eastAsia="Arial" w:hAnsi="Arial"/>
                <w:sz w:val="15"/>
                <w:szCs w:val="15"/>
                <w:color w:val="0000EE"/>
              </w:rPr>
            </w:pPr>
            <w:hyperlink w:anchor="page59">
              <w:r>
                <w:rPr>
                  <w:rFonts w:ascii="Arial" w:cs="Arial" w:eastAsia="Arial" w:hAnsi="Arial"/>
                  <w:sz w:val="15"/>
                  <w:szCs w:val="15"/>
                  <w:color w:val="0000EE"/>
                </w:rPr>
                <w:t>56</w:t>
              </w:r>
            </w:hyperlink>
          </w:p>
        </w:tc>
        <w:tc>
          <w:tcPr>
            <w:tcW w:w="0" w:type="dxa"/>
            <w:vAlign w:val="bottom"/>
          </w:tcPr>
          <w:p>
            <w:pPr>
              <w:spacing w:after="0"/>
              <w:rPr>
                <w:sz w:val="1"/>
                <w:szCs w:val="1"/>
                <w:color w:val="auto"/>
              </w:rPr>
            </w:pPr>
          </w:p>
        </w:tc>
      </w:tr>
      <w:tr>
        <w:trPr>
          <w:trHeight w:val="20"/>
        </w:trPr>
        <w:tc>
          <w:tcPr>
            <w:tcW w:w="860" w:type="dxa"/>
            <w:vAlign w:val="bottom"/>
            <w:gridSpan w:val="5"/>
            <w:shd w:val="clear" w:color="auto" w:fill="477157"/>
          </w:tcPr>
          <w:p>
            <w:pPr>
              <w:spacing w:after="0" w:line="20" w:lineRule="exact"/>
              <w:rPr>
                <w:sz w:val="1"/>
                <w:szCs w:val="1"/>
                <w:color w:val="auto"/>
              </w:rPr>
            </w:pPr>
          </w:p>
        </w:tc>
        <w:tc>
          <w:tcPr>
            <w:tcW w:w="380" w:type="dxa"/>
            <w:vAlign w:val="bottom"/>
            <w:tcBorders>
              <w:left w:val="single" w:sz="8" w:color="477157"/>
            </w:tcBorders>
            <w:gridSpan w:val="3"/>
            <w:shd w:val="clear" w:color="auto" w:fill="477157"/>
          </w:tcPr>
          <w:p>
            <w:pPr>
              <w:spacing w:after="0" w:line="20" w:lineRule="exact"/>
              <w:rPr>
                <w:sz w:val="1"/>
                <w:szCs w:val="1"/>
                <w:color w:val="auto"/>
              </w:rPr>
            </w:pPr>
          </w:p>
        </w:tc>
        <w:tc>
          <w:tcPr>
            <w:tcW w:w="2680" w:type="dxa"/>
            <w:vAlign w:val="bottom"/>
            <w:gridSpan w:val="24"/>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40" w:type="dxa"/>
            <w:vAlign w:val="bottom"/>
            <w:gridSpan w:val="8"/>
          </w:tcPr>
          <w:p>
            <w:pPr>
              <w:spacing w:after="0" w:line="149" w:lineRule="exact"/>
              <w:rPr>
                <w:rFonts w:ascii="Arial" w:cs="Arial" w:eastAsia="Arial" w:hAnsi="Arial"/>
                <w:sz w:val="15"/>
                <w:szCs w:val="15"/>
                <w:b w:val="1"/>
                <w:bCs w:val="1"/>
                <w:color w:val="477157"/>
              </w:rPr>
            </w:pPr>
            <w:hyperlink w:anchor="page60">
              <w:r>
                <w:rPr>
                  <w:rFonts w:ascii="Arial" w:cs="Arial" w:eastAsia="Arial" w:hAnsi="Arial"/>
                  <w:sz w:val="15"/>
                  <w:szCs w:val="15"/>
                  <w:b w:val="1"/>
                  <w:bCs w:val="1"/>
                  <w:color w:val="477157"/>
                </w:rPr>
                <w:t>APPENDIX A</w:t>
              </w:r>
            </w:hyperlink>
          </w:p>
        </w:tc>
        <w:tc>
          <w:tcPr>
            <w:tcW w:w="2680" w:type="dxa"/>
            <w:vAlign w:val="bottom"/>
            <w:gridSpan w:val="24"/>
            <w:vMerge w:val="continue"/>
          </w:tcPr>
          <w:p>
            <w:pPr>
              <w:spacing w:after="0"/>
              <w:rPr>
                <w:sz w:val="12"/>
                <w:szCs w:val="12"/>
                <w:color w:val="auto"/>
              </w:rPr>
            </w:pPr>
          </w:p>
        </w:tc>
        <w:tc>
          <w:tcPr>
            <w:tcW w:w="300" w:type="dxa"/>
            <w:vAlign w:val="bottom"/>
            <w:gridSpan w:val="2"/>
          </w:tcPr>
          <w:p>
            <w:pPr>
              <w:jc w:val="right"/>
              <w:spacing w:after="0" w:line="149" w:lineRule="exact"/>
              <w:rPr>
                <w:rFonts w:ascii="Arial" w:cs="Arial" w:eastAsia="Arial" w:hAnsi="Arial"/>
                <w:sz w:val="15"/>
                <w:szCs w:val="15"/>
                <w:color w:val="0000EE"/>
              </w:rPr>
            </w:pPr>
            <w:hyperlink w:anchor="page60">
              <w:r>
                <w:rPr>
                  <w:rFonts w:ascii="Arial" w:cs="Arial" w:eastAsia="Arial" w:hAnsi="Arial"/>
                  <w:sz w:val="15"/>
                  <w:szCs w:val="15"/>
                  <w:color w:val="0000EE"/>
                </w:rPr>
                <w:t>A-1</w:t>
              </w:r>
            </w:hyperlink>
          </w:p>
        </w:tc>
        <w:tc>
          <w:tcPr>
            <w:tcW w:w="0" w:type="dxa"/>
            <w:vAlign w:val="bottom"/>
          </w:tcPr>
          <w:p>
            <w:pPr>
              <w:spacing w:after="0"/>
              <w:rPr>
                <w:sz w:val="1"/>
                <w:szCs w:val="1"/>
                <w:color w:val="auto"/>
              </w:rPr>
            </w:pPr>
          </w:p>
        </w:tc>
      </w:tr>
      <w:tr>
        <w:trPr>
          <w:trHeight w:val="20"/>
        </w:trPr>
        <w:tc>
          <w:tcPr>
            <w:tcW w:w="120" w:type="dxa"/>
            <w:vAlign w:val="bottom"/>
            <w:shd w:val="clear" w:color="auto" w:fill="477157"/>
          </w:tcPr>
          <w:p>
            <w:pPr>
              <w:spacing w:after="0" w:line="20" w:lineRule="exact"/>
              <w:rPr>
                <w:sz w:val="1"/>
                <w:szCs w:val="1"/>
                <w:color w:val="auto"/>
              </w:rPr>
            </w:pPr>
          </w:p>
        </w:tc>
        <w:tc>
          <w:tcPr>
            <w:tcW w:w="140" w:type="dxa"/>
            <w:vAlign w:val="bottom"/>
            <w:shd w:val="clear" w:color="auto" w:fill="477157"/>
          </w:tcPr>
          <w:p>
            <w:pPr>
              <w:spacing w:after="0" w:line="20" w:lineRule="exact"/>
              <w:rPr>
                <w:sz w:val="1"/>
                <w:szCs w:val="1"/>
                <w:color w:val="auto"/>
              </w:rPr>
            </w:pPr>
          </w:p>
        </w:tc>
        <w:tc>
          <w:tcPr>
            <w:tcW w:w="140" w:type="dxa"/>
            <w:vAlign w:val="bottom"/>
            <w:shd w:val="clear" w:color="auto" w:fill="477157"/>
          </w:tcPr>
          <w:p>
            <w:pPr>
              <w:spacing w:after="0" w:line="20" w:lineRule="exact"/>
              <w:rPr>
                <w:sz w:val="1"/>
                <w:szCs w:val="1"/>
                <w:color w:val="auto"/>
              </w:rPr>
            </w:pPr>
          </w:p>
        </w:tc>
        <w:tc>
          <w:tcPr>
            <w:tcW w:w="100" w:type="dxa"/>
            <w:vAlign w:val="bottom"/>
            <w:shd w:val="clear" w:color="auto" w:fill="477157"/>
          </w:tcPr>
          <w:p>
            <w:pPr>
              <w:spacing w:after="0" w:line="20" w:lineRule="exact"/>
              <w:rPr>
                <w:sz w:val="1"/>
                <w:szCs w:val="1"/>
                <w:color w:val="auto"/>
              </w:rPr>
            </w:pPr>
          </w:p>
        </w:tc>
        <w:tc>
          <w:tcPr>
            <w:tcW w:w="360" w:type="dxa"/>
            <w:vAlign w:val="bottom"/>
            <w:shd w:val="clear" w:color="auto" w:fill="477157"/>
          </w:tcPr>
          <w:p>
            <w:pPr>
              <w:spacing w:after="0" w:line="20" w:lineRule="exact"/>
              <w:rPr>
                <w:sz w:val="1"/>
                <w:szCs w:val="1"/>
                <w:color w:val="auto"/>
              </w:rPr>
            </w:pPr>
          </w:p>
        </w:tc>
        <w:tc>
          <w:tcPr>
            <w:tcW w:w="100" w:type="dxa"/>
            <w:vAlign w:val="bottom"/>
            <w:tcBorders>
              <w:left w:val="single" w:sz="8" w:color="47715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780" w:space="720"/>
            <w:col w:w="4220"/>
          </w:cols>
          <w:pgMar w:left="320" w:top="142" w:right="85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36"/>
          <w:szCs w:val="36"/>
          <w:color w:val="477157"/>
        </w:rPr>
        <w:t>PROXY STATEMENT</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Waste Management, Inc. is a holding company, and all operations are conducted by its subsidiaries. Our subsidiaries are operated and managed locally and focus on providing services in distinct geographic areas. Through our subsidiaries, we are North America's leading provider of comprehensive waste management environmental services, and we are also a leading developer, operator and owner of landfill gas-to-energy facilities in the United States.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Our Board of Directors is soliciting your proxy for the 2020 Annual Meeting of Stockholders and at any postponement or adjournment of the meeting. We are furnishing proxy materials to our stockholders primarily via the Internet. On March 27, 2020, we sent an electronic notice of how to access our proxy materials and our Annual Report to stockholders that have previously signed up to receive their proxy materials via the Internet. On March 27, 2020,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ectPr>
          <w:pgSz w:w="11900" w:h="16838" w:orient="portrait"/>
          <w:cols w:equalWidth="0" w:num="1">
            <w:col w:w="11260"/>
          </w:cols>
          <w:pgMar w:left="320" w:top="142" w:right="319" w:bottom="1440" w:gutter="0" w:footer="0" w:header="0"/>
        </w:sectPr>
      </w:pPr>
    </w:p>
    <w:p>
      <w:pPr>
        <w:spacing w:after="0" w:line="339"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477157"/>
        </w:rPr>
        <w:t>Record Date</w:t>
      </w:r>
      <w:r>
        <w:rPr>
          <w:sz w:val="20"/>
          <w:szCs w:val="20"/>
          <w:color w:val="auto"/>
        </w:rPr>
        <w:tab/>
      </w:r>
      <w:r>
        <w:rPr>
          <w:rFonts w:ascii="Arial" w:cs="Arial" w:eastAsia="Arial" w:hAnsi="Arial"/>
          <w:sz w:val="14"/>
          <w:szCs w:val="14"/>
          <w:color w:val="auto"/>
        </w:rPr>
        <w:t>March 16, 2020.</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color w:val="477157"/>
        </w:rPr>
        <w:t xml:space="preserve">Quorum </w:t>
      </w:r>
      <w:r>
        <w:rPr>
          <w:rFonts w:ascii="Arial" w:cs="Arial" w:eastAsia="Arial" w:hAnsi="Arial"/>
          <w:sz w:val="15"/>
          <w:szCs w:val="15"/>
          <w:color w:val="000000"/>
        </w:rPr>
        <w:t>The holders of a majority of the shares of Common Stock outstanding</w:t>
      </w:r>
      <w:r>
        <w:rPr>
          <w:rFonts w:ascii="Arial" w:cs="Arial" w:eastAsia="Arial" w:hAnsi="Arial"/>
          <w:sz w:val="15"/>
          <w:szCs w:val="15"/>
          <w:b w:val="1"/>
          <w:bCs w:val="1"/>
          <w:color w:val="477157"/>
        </w:rPr>
        <w:t xml:space="preserve"> </w:t>
      </w:r>
      <w:r>
        <w:rPr>
          <w:rFonts w:ascii="Arial" w:cs="Arial" w:eastAsia="Arial" w:hAnsi="Arial"/>
          <w:sz w:val="15"/>
          <w:szCs w:val="15"/>
          <w:color w:val="000000"/>
        </w:rPr>
        <w:t>on the record date must be present in person or by proxy.</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color w:val="477157"/>
        </w:rPr>
        <w:t xml:space="preserve">Shares Outstanding </w:t>
      </w:r>
      <w:r>
        <w:rPr>
          <w:rFonts w:ascii="Arial" w:cs="Arial" w:eastAsia="Arial" w:hAnsi="Arial"/>
          <w:sz w:val="15"/>
          <w:szCs w:val="15"/>
          <w:color w:val="000000"/>
        </w:rPr>
        <w:t>There were 423,627,187 shares of our Common Stock</w:t>
      </w:r>
      <w:r>
        <w:rPr>
          <w:rFonts w:ascii="Arial" w:cs="Arial" w:eastAsia="Arial" w:hAnsi="Arial"/>
          <w:sz w:val="15"/>
          <w:szCs w:val="15"/>
          <w:b w:val="1"/>
          <w:bCs w:val="1"/>
          <w:color w:val="477157"/>
        </w:rPr>
        <w:t xml:space="preserve"> </w:t>
      </w:r>
      <w:r>
        <w:rPr>
          <w:rFonts w:ascii="Arial" w:cs="Arial" w:eastAsia="Arial" w:hAnsi="Arial"/>
          <w:sz w:val="15"/>
          <w:szCs w:val="15"/>
          <w:color w:val="000000"/>
        </w:rPr>
        <w:t>outstanding and entitled to vote as of March 16, 2020.</w:t>
      </w:r>
    </w:p>
    <w:p>
      <w:pPr>
        <w:spacing w:after="0" w:line="137" w:lineRule="exact"/>
        <w:rPr>
          <w:sz w:val="20"/>
          <w:szCs w:val="20"/>
          <w:color w:val="auto"/>
        </w:rPr>
      </w:pPr>
    </w:p>
    <w:p>
      <w:pPr>
        <w:spacing w:after="0"/>
        <w:tabs>
          <w:tab w:leader="none" w:pos="1240" w:val="left"/>
        </w:tabs>
        <w:rPr>
          <w:sz w:val="20"/>
          <w:szCs w:val="20"/>
          <w:color w:val="auto"/>
        </w:rPr>
      </w:pPr>
      <w:r>
        <w:rPr>
          <w:rFonts w:ascii="Arial" w:cs="Arial" w:eastAsia="Arial" w:hAnsi="Arial"/>
          <w:sz w:val="15"/>
          <w:szCs w:val="15"/>
          <w:b w:val="1"/>
          <w:bCs w:val="1"/>
          <w:color w:val="477157"/>
        </w:rPr>
        <w:t>Voting by Proxy</w:t>
      </w:r>
      <w:r>
        <w:rPr>
          <w:sz w:val="20"/>
          <w:szCs w:val="20"/>
          <w:color w:val="auto"/>
        </w:rPr>
        <w:tab/>
      </w:r>
      <w:r>
        <w:rPr>
          <w:rFonts w:ascii="Arial" w:cs="Arial" w:eastAsia="Arial" w:hAnsi="Arial"/>
          <w:sz w:val="14"/>
          <w:szCs w:val="14"/>
          <w:color w:val="auto"/>
        </w:rPr>
        <w:t>Internet, phone, or mail.</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477157"/>
        </w:rPr>
        <w:t xml:space="preserve">Voting at the Meeting </w:t>
      </w:r>
      <w:r>
        <w:rPr>
          <w:rFonts w:ascii="Arial" w:cs="Arial" w:eastAsia="Arial" w:hAnsi="Arial"/>
          <w:sz w:val="14"/>
          <w:szCs w:val="14"/>
          <w:color w:val="000000"/>
        </w:rPr>
        <w:t>Stockholders can vote in person during the meeting.</w:t>
      </w:r>
      <w:r>
        <w:rPr>
          <w:rFonts w:ascii="Arial" w:cs="Arial" w:eastAsia="Arial" w:hAnsi="Arial"/>
          <w:sz w:val="14"/>
          <w:szCs w:val="14"/>
          <w:b w:val="1"/>
          <w:bCs w:val="1"/>
          <w:color w:val="477157"/>
        </w:rPr>
        <w:t xml:space="preserve"> </w:t>
      </w:r>
      <w:r>
        <w:rPr>
          <w:rFonts w:ascii="Arial" w:cs="Arial" w:eastAsia="Arial" w:hAnsi="Arial"/>
          <w:sz w:val="14"/>
          <w:szCs w:val="14"/>
          <w:color w:val="000000"/>
        </w:rPr>
        <w:t>Stockholders of record will be on a list held by the inspector of elections. Beneficial holders must obtain a proxy from their brokerage firm, bank, or other stockholder of record and present it to the inspector of elections with their ballot. Voting in person by a stockholder will revoke any previously submitted proxy.</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b w:val="1"/>
          <w:bCs w:val="1"/>
          <w:color w:val="477157"/>
        </w:rPr>
        <w:t xml:space="preserve">Changing Your Vote </w:t>
      </w:r>
      <w:r>
        <w:rPr>
          <w:rFonts w:ascii="Arial" w:cs="Arial" w:eastAsia="Arial" w:hAnsi="Arial"/>
          <w:sz w:val="15"/>
          <w:szCs w:val="15"/>
          <w:color w:val="000000"/>
        </w:rPr>
        <w:t>Stockholders of record may revoke their proxy at any time</w:t>
      </w:r>
      <w:r>
        <w:rPr>
          <w:rFonts w:ascii="Arial" w:cs="Arial" w:eastAsia="Arial" w:hAnsi="Arial"/>
          <w:sz w:val="15"/>
          <w:szCs w:val="15"/>
          <w:b w:val="1"/>
          <w:bCs w:val="1"/>
          <w:color w:val="477157"/>
        </w:rPr>
        <w:t xml:space="preserve"> </w:t>
      </w:r>
      <w:r>
        <w:rPr>
          <w:rFonts w:ascii="Arial" w:cs="Arial" w:eastAsia="Arial" w:hAnsi="Arial"/>
          <w:sz w:val="15"/>
          <w:szCs w:val="15"/>
          <w:color w:val="000000"/>
        </w:rPr>
        <w:t>before we vote it at the meeting by submitting a later-dated proxy via the Internet, by telephone, by mail, by delivering instructions to our Corporate Secretary before the annual meeting revoking the proxy or by voting in person at the annual meeting. If you hold shares through a bank or brokerage firm, you may revoke any prior voting instructions by contacting that firm.</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5"/>
          <w:szCs w:val="15"/>
          <w:b w:val="1"/>
          <w:bCs w:val="1"/>
          <w:color w:val="477157"/>
        </w:rPr>
        <w:t xml:space="preserve">Votes Required to Adopt Proposals </w:t>
      </w:r>
      <w:r>
        <w:rPr>
          <w:rFonts w:ascii="Arial" w:cs="Arial" w:eastAsia="Arial" w:hAnsi="Arial"/>
          <w:sz w:val="15"/>
          <w:szCs w:val="15"/>
          <w:color w:val="000000"/>
        </w:rPr>
        <w:t>Each share of our Common Stock</w:t>
      </w:r>
      <w:r>
        <w:rPr>
          <w:rFonts w:ascii="Arial" w:cs="Arial" w:eastAsia="Arial" w:hAnsi="Arial"/>
          <w:sz w:val="15"/>
          <w:szCs w:val="15"/>
          <w:b w:val="1"/>
          <w:bCs w:val="1"/>
          <w:color w:val="477157"/>
        </w:rPr>
        <w:t xml:space="preserve"> </w:t>
      </w:r>
      <w:r>
        <w:rPr>
          <w:rFonts w:ascii="Arial" w:cs="Arial" w:eastAsia="Arial" w:hAnsi="Arial"/>
          <w:sz w:val="15"/>
          <w:szCs w:val="15"/>
          <w:color w:val="000000"/>
        </w:rPr>
        <w:t>outstanding on the record date is entitled to one vote on each of the eight director nominees and one vote on</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each other matter. To be elected, a director must receive a majority of the votes cast with respect to that director's election at the meeting. This means that the number of shares voted "for" a director must exceed 50% of the votes cast with respect to that director. Each of the other proposals requires the favorable vote of the holders of a majority of the outstanding shares of Common Stock present, either by proxy or in person, and entitled to vote on the matter.</w:t>
      </w:r>
    </w:p>
    <w:p>
      <w:pPr>
        <w:spacing w:after="0" w:line="15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b w:val="1"/>
          <w:bCs w:val="1"/>
          <w:color w:val="477157"/>
        </w:rPr>
        <w:t xml:space="preserve">Effect of Abstentions and Broker Non-Votes </w:t>
      </w:r>
      <w:r>
        <w:rPr>
          <w:rFonts w:ascii="Arial" w:cs="Arial" w:eastAsia="Arial" w:hAnsi="Arial"/>
          <w:sz w:val="15"/>
          <w:szCs w:val="15"/>
          <w:color w:val="000000"/>
        </w:rPr>
        <w:t>Abstentions will have no effect</w:t>
      </w:r>
      <w:r>
        <w:rPr>
          <w:rFonts w:ascii="Arial" w:cs="Arial" w:eastAsia="Arial" w:hAnsi="Arial"/>
          <w:sz w:val="15"/>
          <w:szCs w:val="15"/>
          <w:b w:val="1"/>
          <w:bCs w:val="1"/>
          <w:color w:val="477157"/>
        </w:rPr>
        <w:t xml:space="preserve"> </w:t>
      </w:r>
      <w:r>
        <w:rPr>
          <w:rFonts w:ascii="Arial" w:cs="Arial" w:eastAsia="Arial" w:hAnsi="Arial"/>
          <w:sz w:val="15"/>
          <w:szCs w:val="15"/>
          <w:color w:val="000000"/>
        </w:rPr>
        <w:t xml:space="preserve">on the election of directors. For each of the other proposals, abstentions will have the same effect as a vote </w:t>
      </w:r>
      <w:r>
        <w:rPr>
          <w:rFonts w:ascii="Arial" w:cs="Arial" w:eastAsia="Arial" w:hAnsi="Arial"/>
          <w:sz w:val="15"/>
          <w:szCs w:val="15"/>
          <w:i w:val="1"/>
          <w:iCs w:val="1"/>
          <w:color w:val="000000"/>
        </w:rPr>
        <w:t>against</w:t>
      </w:r>
      <w:r>
        <w:rPr>
          <w:rFonts w:ascii="Arial" w:cs="Arial" w:eastAsia="Arial" w:hAnsi="Arial"/>
          <w:sz w:val="15"/>
          <w:szCs w:val="15"/>
          <w:color w:val="000000"/>
        </w:rPr>
        <w:t xml:space="preserve"> these matters because they are considered present and entitled to vote on the matters.</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If your shares are held by a broker, the broker will ask you how you want your shares to be voted. If you give the broker instructions, your shares must be voted as you direct. If you do not give instructions, one of two things can happen depending on the type of proposal. For the proposal to ratify selection of the Company's independent registered public accounting firm, the broker may vote your shares at its discretion. But for all other proposals in this Proxy Statement, including the election of directors, the advisory vote on executive compensation and the amendment and restatement of our ESPP, the broker cannot vote your shares at all. When that happens, it is called a "broker non-vote." Broker non-votes are counted in determining the presence of a quorum at the meeting, but they are not counted for purposes of calculating the shares present and entitled to vote on particular proposals at the meeting.</w:t>
      </w:r>
    </w:p>
    <w:p>
      <w:pPr>
        <w:spacing w:after="0" w:line="589"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b w:val="1"/>
          <w:bCs w:val="1"/>
          <w:color w:val="477157"/>
        </w:rPr>
        <w:t xml:space="preserve">Voting Instructions </w:t>
      </w:r>
      <w:r>
        <w:rPr>
          <w:rFonts w:ascii="Arial" w:cs="Arial" w:eastAsia="Arial" w:hAnsi="Arial"/>
          <w:sz w:val="15"/>
          <w:szCs w:val="15"/>
          <w:color w:val="000000"/>
        </w:rPr>
        <w:t>You may receive more than one proxy card depending on how you hold your shares. If you hold shares through a broker, your ability to vote by phone</w:t>
      </w:r>
      <w:r>
        <w:rPr>
          <w:rFonts w:ascii="Arial" w:cs="Arial" w:eastAsia="Arial" w:hAnsi="Arial"/>
          <w:sz w:val="15"/>
          <w:szCs w:val="15"/>
          <w:b w:val="1"/>
          <w:bCs w:val="1"/>
          <w:color w:val="477157"/>
        </w:rPr>
        <w:t xml:space="preserve"> </w:t>
      </w:r>
      <w:r>
        <w:rPr>
          <w:rFonts w:ascii="Arial" w:cs="Arial" w:eastAsia="Arial" w:hAnsi="Arial"/>
          <w:sz w:val="15"/>
          <w:szCs w:val="15"/>
          <w:color w:val="000000"/>
        </w:rPr>
        <w:t>or over the Internet depends on your broker's voting process. You should complete and return each proxy or other voting instruction request provided to you. If you complete and submit your proxy voting instructions, the persons named as proxies will follow your instructions. If you submit your proxy but do not give voting</w:t>
      </w:r>
    </w:p>
    <w:p>
      <w:pPr>
        <w:spacing w:after="0" w:line="148" w:lineRule="exact"/>
        <w:rPr>
          <w:sz w:val="20"/>
          <w:szCs w:val="20"/>
          <w:color w:val="auto"/>
        </w:rPr>
      </w:pPr>
    </w:p>
    <w:p>
      <w:pPr>
        <w:jc w:val="right"/>
        <w:spacing w:after="0"/>
        <w:tabs>
          <w:tab w:leader="none" w:pos="280" w:val="left"/>
          <w:tab w:leader="none" w:pos="6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-99060</wp:posOffset>
            </wp:positionV>
            <wp:extent cx="42926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4" w:name="page5"/>
    <w:bookmarkEnd w:id="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PROXY STATEMENT</w:t>
      </w:r>
    </w:p>
    <w:p>
      <w:pPr>
        <w:spacing w:after="0" w:line="195" w:lineRule="exact"/>
        <w:rPr>
          <w:sz w:val="20"/>
          <w:szCs w:val="20"/>
          <w:color w:val="auto"/>
        </w:rPr>
      </w:pPr>
    </w:p>
    <w:p>
      <w:pPr>
        <w:ind w:right="20"/>
        <w:spacing w:after="0"/>
        <w:rPr>
          <w:sz w:val="20"/>
          <w:szCs w:val="20"/>
          <w:color w:val="auto"/>
        </w:rPr>
      </w:pPr>
      <w:r>
        <w:rPr>
          <w:rFonts w:ascii="Arial" w:cs="Arial" w:eastAsia="Arial" w:hAnsi="Arial"/>
          <w:sz w:val="15"/>
          <w:szCs w:val="15"/>
          <w:color w:val="auto"/>
        </w:rPr>
        <w:t>instructions, we will vote your shares as set forth below. If you give us your proxy, any other matters that may properly come before the meeting will be voted at the discretion of the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15518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740" w:type="dxa"/>
            <w:vAlign w:val="bottom"/>
          </w:tcPr>
          <w:p>
            <w:pPr>
              <w:ind w:left="3860"/>
              <w:spacing w:after="0"/>
              <w:rPr>
                <w:sz w:val="20"/>
                <w:szCs w:val="20"/>
                <w:color w:val="auto"/>
              </w:rPr>
            </w:pPr>
            <w:r>
              <w:rPr>
                <w:rFonts w:ascii="Arial" w:cs="Arial" w:eastAsia="Arial" w:hAnsi="Arial"/>
                <w:sz w:val="15"/>
                <w:szCs w:val="15"/>
                <w:b w:val="1"/>
                <w:bCs w:val="1"/>
                <w:color w:val="477157"/>
              </w:rPr>
              <w:t>Board Vote</w:t>
            </w:r>
          </w:p>
        </w:tc>
      </w:tr>
      <w:tr>
        <w:trPr>
          <w:trHeight w:val="184"/>
        </w:trPr>
        <w:tc>
          <w:tcPr>
            <w:tcW w:w="940" w:type="dxa"/>
            <w:vAlign w:val="bottom"/>
            <w:tcBorders>
              <w:bottom w:val="single" w:sz="8" w:color="477157"/>
            </w:tcBorders>
          </w:tcPr>
          <w:p>
            <w:pPr>
              <w:ind w:left="380"/>
              <w:spacing w:after="0"/>
              <w:rPr>
                <w:sz w:val="20"/>
                <w:szCs w:val="20"/>
                <w:color w:val="auto"/>
              </w:rPr>
            </w:pPr>
            <w:r>
              <w:rPr>
                <w:rFonts w:ascii="Arial" w:cs="Arial" w:eastAsia="Arial" w:hAnsi="Arial"/>
                <w:sz w:val="15"/>
                <w:szCs w:val="15"/>
                <w:b w:val="1"/>
                <w:bCs w:val="1"/>
                <w:color w:val="477157"/>
              </w:rPr>
              <w:t>Item</w:t>
            </w:r>
          </w:p>
        </w:tc>
        <w:tc>
          <w:tcPr>
            <w:tcW w:w="4580" w:type="dxa"/>
            <w:vAlign w:val="bottom"/>
            <w:tcBorders>
              <w:bottom w:val="single" w:sz="8" w:color="477157"/>
            </w:tcBorders>
          </w:tcPr>
          <w:p>
            <w:pPr>
              <w:ind w:left="260"/>
              <w:spacing w:after="0"/>
              <w:rPr>
                <w:sz w:val="20"/>
                <w:szCs w:val="20"/>
                <w:color w:val="auto"/>
              </w:rPr>
            </w:pPr>
            <w:r>
              <w:rPr>
                <w:rFonts w:ascii="Arial" w:cs="Arial" w:eastAsia="Arial" w:hAnsi="Arial"/>
                <w:sz w:val="15"/>
                <w:szCs w:val="15"/>
                <w:b w:val="1"/>
                <w:bCs w:val="1"/>
                <w:color w:val="477157"/>
              </w:rPr>
              <w:t>Matter</w:t>
            </w:r>
          </w:p>
        </w:tc>
        <w:tc>
          <w:tcPr>
            <w:tcW w:w="5740" w:type="dxa"/>
            <w:vAlign w:val="bottom"/>
            <w:tcBorders>
              <w:bottom w:val="single" w:sz="8" w:color="477157"/>
            </w:tcBorders>
          </w:tcPr>
          <w:p>
            <w:pPr>
              <w:ind w:left="3860"/>
              <w:spacing w:after="0"/>
              <w:rPr>
                <w:sz w:val="20"/>
                <w:szCs w:val="20"/>
                <w:color w:val="auto"/>
              </w:rPr>
            </w:pPr>
            <w:r>
              <w:rPr>
                <w:rFonts w:ascii="Arial" w:cs="Arial" w:eastAsia="Arial" w:hAnsi="Arial"/>
                <w:sz w:val="15"/>
                <w:szCs w:val="15"/>
                <w:b w:val="1"/>
                <w:bCs w:val="1"/>
                <w:color w:val="477157"/>
              </w:rPr>
              <w:t>Recommendation</w:t>
            </w:r>
          </w:p>
        </w:tc>
      </w:tr>
      <w:tr>
        <w:trPr>
          <w:trHeight w:val="160"/>
        </w:trPr>
        <w:tc>
          <w:tcPr>
            <w:tcW w:w="940" w:type="dxa"/>
            <w:vAlign w:val="bottom"/>
            <w:shd w:val="clear" w:color="auto" w:fill="B0CABC"/>
          </w:tcPr>
          <w:p>
            <w:pPr>
              <w:spacing w:after="0"/>
              <w:rPr>
                <w:sz w:val="13"/>
                <w:szCs w:val="13"/>
                <w:color w:val="auto"/>
              </w:rPr>
            </w:pPr>
          </w:p>
        </w:tc>
        <w:tc>
          <w:tcPr>
            <w:tcW w:w="4580" w:type="dxa"/>
            <w:vAlign w:val="bottom"/>
            <w:shd w:val="clear" w:color="auto" w:fill="B0CABC"/>
          </w:tcPr>
          <w:p>
            <w:pPr>
              <w:spacing w:after="0"/>
              <w:rPr>
                <w:sz w:val="13"/>
                <w:szCs w:val="13"/>
                <w:color w:val="auto"/>
              </w:rPr>
            </w:pPr>
          </w:p>
        </w:tc>
        <w:tc>
          <w:tcPr>
            <w:tcW w:w="5740" w:type="dxa"/>
            <w:vAlign w:val="bottom"/>
            <w:shd w:val="clear" w:color="auto" w:fill="B0CAB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-106680</wp:posOffset>
            </wp:positionV>
            <wp:extent cx="687070" cy="479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070" cy="4794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9"/>
        </w:trPr>
        <w:tc>
          <w:tcPr>
            <w:tcW w:w="1080" w:type="dxa"/>
            <w:vAlign w:val="bottom"/>
          </w:tcPr>
          <w:p>
            <w:pPr>
              <w:ind w:left="440"/>
              <w:spacing w:after="0" w:line="259" w:lineRule="exact"/>
              <w:rPr>
                <w:sz w:val="20"/>
                <w:szCs w:val="20"/>
                <w:color w:val="auto"/>
              </w:rPr>
            </w:pPr>
            <w:r>
              <w:rPr>
                <w:rFonts w:ascii="Arial" w:cs="Arial" w:eastAsia="Arial" w:hAnsi="Arial"/>
                <w:sz w:val="30"/>
                <w:szCs w:val="30"/>
                <w:b w:val="1"/>
                <w:bCs w:val="1"/>
                <w:color w:val="477157"/>
              </w:rPr>
              <w:t>1</w:t>
            </w:r>
          </w:p>
        </w:tc>
        <w:tc>
          <w:tcPr>
            <w:tcW w:w="120" w:type="dxa"/>
            <w:vAlign w:val="bottom"/>
            <w:shd w:val="clear" w:color="auto" w:fill="B0CABC"/>
          </w:tcPr>
          <w:p>
            <w:pPr>
              <w:spacing w:after="0"/>
              <w:rPr>
                <w:sz w:val="22"/>
                <w:szCs w:val="22"/>
                <w:color w:val="auto"/>
              </w:rPr>
            </w:pPr>
          </w:p>
        </w:tc>
        <w:tc>
          <w:tcPr>
            <w:tcW w:w="4160" w:type="dxa"/>
            <w:vAlign w:val="bottom"/>
            <w:gridSpan w:val="2"/>
            <w:vMerge w:val="restart"/>
            <w:shd w:val="clear" w:color="auto" w:fill="B0CABC"/>
          </w:tcPr>
          <w:p>
            <w:pPr>
              <w:spacing w:after="0"/>
              <w:rPr>
                <w:sz w:val="20"/>
                <w:szCs w:val="20"/>
                <w:color w:val="auto"/>
              </w:rPr>
            </w:pPr>
            <w:r>
              <w:rPr>
                <w:rFonts w:ascii="Arial" w:cs="Arial" w:eastAsia="Arial" w:hAnsi="Arial"/>
                <w:sz w:val="15"/>
                <w:szCs w:val="15"/>
                <w:color w:val="auto"/>
              </w:rPr>
              <w:t>Election of Directors Nominees</w:t>
            </w:r>
          </w:p>
        </w:tc>
        <w:tc>
          <w:tcPr>
            <w:tcW w:w="1260" w:type="dxa"/>
            <w:vAlign w:val="bottom"/>
            <w:shd w:val="clear" w:color="auto" w:fill="B0CABC"/>
          </w:tcPr>
          <w:p>
            <w:pPr>
              <w:spacing w:after="0"/>
              <w:rPr>
                <w:sz w:val="22"/>
                <w:szCs w:val="22"/>
                <w:color w:val="auto"/>
              </w:rPr>
            </w:pPr>
          </w:p>
        </w:tc>
        <w:tc>
          <w:tcPr>
            <w:tcW w:w="1180" w:type="dxa"/>
            <w:vAlign w:val="bottom"/>
            <w:shd w:val="clear" w:color="auto" w:fill="B0CABC"/>
          </w:tcPr>
          <w:p>
            <w:pPr>
              <w:spacing w:after="0"/>
              <w:rPr>
                <w:sz w:val="22"/>
                <w:szCs w:val="22"/>
                <w:color w:val="auto"/>
              </w:rPr>
            </w:pPr>
          </w:p>
        </w:tc>
        <w:tc>
          <w:tcPr>
            <w:tcW w:w="1040" w:type="dxa"/>
            <w:vAlign w:val="bottom"/>
            <w:shd w:val="clear" w:color="auto" w:fill="B0CABC"/>
          </w:tcPr>
          <w:p>
            <w:pPr>
              <w:spacing w:after="0"/>
              <w:rPr>
                <w:sz w:val="22"/>
                <w:szCs w:val="22"/>
                <w:color w:val="auto"/>
              </w:rPr>
            </w:pPr>
          </w:p>
        </w:tc>
        <w:tc>
          <w:tcPr>
            <w:tcW w:w="500" w:type="dxa"/>
            <w:vAlign w:val="bottom"/>
            <w:shd w:val="clear" w:color="auto" w:fill="B0CABC"/>
          </w:tcPr>
          <w:p>
            <w:pPr>
              <w:spacing w:after="0"/>
              <w:rPr>
                <w:sz w:val="22"/>
                <w:szCs w:val="22"/>
                <w:color w:val="auto"/>
              </w:rPr>
            </w:pPr>
          </w:p>
        </w:tc>
        <w:tc>
          <w:tcPr>
            <w:tcW w:w="1920" w:type="dxa"/>
            <w:vAlign w:val="bottom"/>
            <w:gridSpan w:val="2"/>
            <w:vMerge w:val="restart"/>
            <w:shd w:val="clear" w:color="auto" w:fill="B0CABC"/>
          </w:tcPr>
          <w:p>
            <w:pPr>
              <w:ind w:left="4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each director nominee</w:t>
            </w:r>
          </w:p>
        </w:tc>
        <w:tc>
          <w:tcPr>
            <w:tcW w:w="0" w:type="dxa"/>
            <w:vAlign w:val="bottom"/>
          </w:tcPr>
          <w:p>
            <w:pPr>
              <w:spacing w:after="0"/>
              <w:rPr>
                <w:sz w:val="1"/>
                <w:szCs w:val="1"/>
                <w:color w:val="auto"/>
              </w:rPr>
            </w:pPr>
          </w:p>
        </w:tc>
      </w:tr>
      <w:tr>
        <w:trPr>
          <w:trHeight w:val="44"/>
        </w:trPr>
        <w:tc>
          <w:tcPr>
            <w:tcW w:w="1080" w:type="dxa"/>
            <w:vAlign w:val="bottom"/>
          </w:tcPr>
          <w:p>
            <w:pPr>
              <w:spacing w:after="0"/>
              <w:rPr>
                <w:sz w:val="3"/>
                <w:szCs w:val="3"/>
                <w:color w:val="auto"/>
              </w:rPr>
            </w:pPr>
          </w:p>
        </w:tc>
        <w:tc>
          <w:tcPr>
            <w:tcW w:w="120" w:type="dxa"/>
            <w:vAlign w:val="bottom"/>
            <w:shd w:val="clear" w:color="auto" w:fill="B0CABC"/>
          </w:tcPr>
          <w:p>
            <w:pPr>
              <w:spacing w:after="0"/>
              <w:rPr>
                <w:sz w:val="3"/>
                <w:szCs w:val="3"/>
                <w:color w:val="auto"/>
              </w:rPr>
            </w:pPr>
          </w:p>
        </w:tc>
        <w:tc>
          <w:tcPr>
            <w:tcW w:w="4160" w:type="dxa"/>
            <w:vAlign w:val="bottom"/>
            <w:gridSpan w:val="2"/>
            <w:vMerge w:val="continue"/>
            <w:shd w:val="clear" w:color="auto" w:fill="B0CABC"/>
          </w:tcPr>
          <w:p>
            <w:pPr>
              <w:spacing w:after="0"/>
              <w:rPr>
                <w:sz w:val="3"/>
                <w:szCs w:val="3"/>
                <w:color w:val="auto"/>
              </w:rPr>
            </w:pPr>
          </w:p>
        </w:tc>
        <w:tc>
          <w:tcPr>
            <w:tcW w:w="1260" w:type="dxa"/>
            <w:vAlign w:val="bottom"/>
            <w:shd w:val="clear" w:color="auto" w:fill="B0CABC"/>
          </w:tcPr>
          <w:p>
            <w:pPr>
              <w:spacing w:after="0"/>
              <w:rPr>
                <w:sz w:val="3"/>
                <w:szCs w:val="3"/>
                <w:color w:val="auto"/>
              </w:rPr>
            </w:pPr>
          </w:p>
        </w:tc>
        <w:tc>
          <w:tcPr>
            <w:tcW w:w="1180" w:type="dxa"/>
            <w:vAlign w:val="bottom"/>
            <w:shd w:val="clear" w:color="auto" w:fill="B0CABC"/>
          </w:tcPr>
          <w:p>
            <w:pPr>
              <w:spacing w:after="0"/>
              <w:rPr>
                <w:sz w:val="3"/>
                <w:szCs w:val="3"/>
                <w:color w:val="auto"/>
              </w:rPr>
            </w:pPr>
          </w:p>
        </w:tc>
        <w:tc>
          <w:tcPr>
            <w:tcW w:w="1040" w:type="dxa"/>
            <w:vAlign w:val="bottom"/>
            <w:shd w:val="clear" w:color="auto" w:fill="B0CABC"/>
          </w:tcPr>
          <w:p>
            <w:pPr>
              <w:spacing w:after="0"/>
              <w:rPr>
                <w:sz w:val="3"/>
                <w:szCs w:val="3"/>
                <w:color w:val="auto"/>
              </w:rPr>
            </w:pPr>
          </w:p>
        </w:tc>
        <w:tc>
          <w:tcPr>
            <w:tcW w:w="500" w:type="dxa"/>
            <w:vAlign w:val="bottom"/>
            <w:shd w:val="clear" w:color="auto" w:fill="B0CABC"/>
          </w:tcPr>
          <w:p>
            <w:pPr>
              <w:spacing w:after="0"/>
              <w:rPr>
                <w:sz w:val="3"/>
                <w:szCs w:val="3"/>
                <w:color w:val="auto"/>
              </w:rPr>
            </w:pPr>
          </w:p>
        </w:tc>
        <w:tc>
          <w:tcPr>
            <w:tcW w:w="1920" w:type="dxa"/>
            <w:vAlign w:val="bottom"/>
            <w:gridSpan w:val="2"/>
            <w:vMerge w:val="continue"/>
            <w:shd w:val="clear" w:color="auto" w:fill="B0CABC"/>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80" w:type="dxa"/>
            <w:vAlign w:val="bottom"/>
            <w:tcBorders>
              <w:bottom w:val="single" w:sz="8" w:color="477157"/>
            </w:tcBorders>
          </w:tcPr>
          <w:p>
            <w:pPr>
              <w:spacing w:after="0"/>
              <w:rPr>
                <w:sz w:val="24"/>
                <w:szCs w:val="24"/>
                <w:color w:val="auto"/>
              </w:rPr>
            </w:pPr>
          </w:p>
        </w:tc>
        <w:tc>
          <w:tcPr>
            <w:tcW w:w="120" w:type="dxa"/>
            <w:vAlign w:val="bottom"/>
            <w:tcBorders>
              <w:bottom w:val="single" w:sz="8" w:color="477157"/>
            </w:tcBorders>
            <w:shd w:val="clear" w:color="auto" w:fill="B0CABC"/>
          </w:tcPr>
          <w:p>
            <w:pPr>
              <w:spacing w:after="0"/>
              <w:rPr>
                <w:sz w:val="24"/>
                <w:szCs w:val="24"/>
                <w:color w:val="auto"/>
              </w:rPr>
            </w:pPr>
          </w:p>
        </w:tc>
        <w:tc>
          <w:tcPr>
            <w:tcW w:w="1700" w:type="dxa"/>
            <w:vAlign w:val="bottom"/>
            <w:tcBorders>
              <w:bottom w:val="single" w:sz="8" w:color="477157"/>
            </w:tcBorders>
            <w:shd w:val="clear" w:color="auto" w:fill="B0CABC"/>
          </w:tcPr>
          <w:p>
            <w:pPr>
              <w:spacing w:after="0"/>
              <w:rPr>
                <w:sz w:val="24"/>
                <w:szCs w:val="24"/>
                <w:color w:val="auto"/>
              </w:rPr>
            </w:pPr>
          </w:p>
        </w:tc>
        <w:tc>
          <w:tcPr>
            <w:tcW w:w="2460" w:type="dxa"/>
            <w:vAlign w:val="bottom"/>
            <w:tcBorders>
              <w:bottom w:val="single" w:sz="8" w:color="477157"/>
            </w:tcBorders>
            <w:shd w:val="clear" w:color="auto" w:fill="B0CABC"/>
          </w:tcPr>
          <w:p>
            <w:pPr>
              <w:spacing w:after="0"/>
              <w:rPr>
                <w:sz w:val="24"/>
                <w:szCs w:val="24"/>
                <w:color w:val="auto"/>
              </w:rPr>
            </w:pPr>
          </w:p>
        </w:tc>
        <w:tc>
          <w:tcPr>
            <w:tcW w:w="1260" w:type="dxa"/>
            <w:vAlign w:val="bottom"/>
            <w:tcBorders>
              <w:bottom w:val="single" w:sz="8" w:color="477157"/>
            </w:tcBorders>
            <w:shd w:val="clear" w:color="auto" w:fill="B0CABC"/>
          </w:tcPr>
          <w:p>
            <w:pPr>
              <w:spacing w:after="0"/>
              <w:rPr>
                <w:sz w:val="24"/>
                <w:szCs w:val="24"/>
                <w:color w:val="auto"/>
              </w:rPr>
            </w:pPr>
          </w:p>
        </w:tc>
        <w:tc>
          <w:tcPr>
            <w:tcW w:w="1180" w:type="dxa"/>
            <w:vAlign w:val="bottom"/>
            <w:tcBorders>
              <w:bottom w:val="single" w:sz="8" w:color="477157"/>
            </w:tcBorders>
            <w:shd w:val="clear" w:color="auto" w:fill="B0CABC"/>
          </w:tcPr>
          <w:p>
            <w:pPr>
              <w:spacing w:after="0"/>
              <w:rPr>
                <w:sz w:val="24"/>
                <w:szCs w:val="24"/>
                <w:color w:val="auto"/>
              </w:rPr>
            </w:pPr>
          </w:p>
        </w:tc>
        <w:tc>
          <w:tcPr>
            <w:tcW w:w="1040" w:type="dxa"/>
            <w:vAlign w:val="bottom"/>
            <w:tcBorders>
              <w:bottom w:val="single" w:sz="8" w:color="477157"/>
            </w:tcBorders>
            <w:shd w:val="clear" w:color="auto" w:fill="B0CABC"/>
          </w:tcPr>
          <w:p>
            <w:pPr>
              <w:spacing w:after="0"/>
              <w:rPr>
                <w:sz w:val="24"/>
                <w:szCs w:val="24"/>
                <w:color w:val="auto"/>
              </w:rPr>
            </w:pPr>
          </w:p>
        </w:tc>
        <w:tc>
          <w:tcPr>
            <w:tcW w:w="500" w:type="dxa"/>
            <w:vAlign w:val="bottom"/>
            <w:tcBorders>
              <w:bottom w:val="single" w:sz="8" w:color="477157"/>
            </w:tcBorders>
            <w:shd w:val="clear" w:color="auto" w:fill="B0CABC"/>
          </w:tcPr>
          <w:p>
            <w:pPr>
              <w:spacing w:after="0"/>
              <w:rPr>
                <w:sz w:val="24"/>
                <w:szCs w:val="24"/>
                <w:color w:val="auto"/>
              </w:rPr>
            </w:pPr>
          </w:p>
        </w:tc>
        <w:tc>
          <w:tcPr>
            <w:tcW w:w="1080" w:type="dxa"/>
            <w:vAlign w:val="bottom"/>
            <w:tcBorders>
              <w:bottom w:val="single" w:sz="8" w:color="477157"/>
            </w:tcBorders>
            <w:shd w:val="clear" w:color="auto" w:fill="B0CABC"/>
          </w:tcPr>
          <w:p>
            <w:pPr>
              <w:spacing w:after="0"/>
              <w:rPr>
                <w:sz w:val="24"/>
                <w:szCs w:val="24"/>
                <w:color w:val="auto"/>
              </w:rPr>
            </w:pPr>
          </w:p>
        </w:tc>
        <w:tc>
          <w:tcPr>
            <w:tcW w:w="840" w:type="dxa"/>
            <w:vAlign w:val="bottom"/>
            <w:tcBorders>
              <w:bottom w:val="single" w:sz="8" w:color="477157"/>
            </w:tcBorders>
            <w:shd w:val="clear" w:color="auto" w:fill="B0CABC"/>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80" w:type="dxa"/>
            <w:vAlign w:val="bottom"/>
            <w:shd w:val="clear" w:color="auto" w:fill="DDE8E1"/>
          </w:tcPr>
          <w:p>
            <w:pPr>
              <w:ind w:left="440"/>
              <w:spacing w:after="0"/>
              <w:rPr>
                <w:sz w:val="20"/>
                <w:szCs w:val="20"/>
                <w:color w:val="auto"/>
              </w:rPr>
            </w:pPr>
            <w:r>
              <w:rPr>
                <w:rFonts w:ascii="Arial" w:cs="Arial" w:eastAsia="Arial" w:hAnsi="Arial"/>
                <w:sz w:val="36"/>
                <w:szCs w:val="36"/>
                <w:b w:val="1"/>
                <w:bCs w:val="1"/>
                <w:color w:val="477157"/>
              </w:rPr>
              <w:t>2</w:t>
            </w:r>
          </w:p>
        </w:tc>
        <w:tc>
          <w:tcPr>
            <w:tcW w:w="120" w:type="dxa"/>
            <w:vAlign w:val="bottom"/>
            <w:shd w:val="clear" w:color="auto" w:fill="DDE8E1"/>
          </w:tcPr>
          <w:p>
            <w:pPr>
              <w:spacing w:after="0"/>
              <w:rPr>
                <w:sz w:val="24"/>
                <w:szCs w:val="24"/>
                <w:color w:val="auto"/>
              </w:rPr>
            </w:pPr>
          </w:p>
        </w:tc>
        <w:tc>
          <w:tcPr>
            <w:tcW w:w="8140" w:type="dxa"/>
            <w:vAlign w:val="bottom"/>
            <w:gridSpan w:val="6"/>
            <w:vMerge w:val="restart"/>
            <w:shd w:val="clear" w:color="auto" w:fill="DDE8E1"/>
          </w:tcPr>
          <w:p>
            <w:pPr>
              <w:spacing w:after="0"/>
              <w:rPr>
                <w:sz w:val="20"/>
                <w:szCs w:val="20"/>
                <w:color w:val="auto"/>
              </w:rPr>
            </w:pPr>
            <w:r>
              <w:rPr>
                <w:rFonts w:ascii="Arial" w:cs="Arial" w:eastAsia="Arial" w:hAnsi="Arial"/>
                <w:sz w:val="15"/>
                <w:szCs w:val="15"/>
                <w:color w:val="auto"/>
              </w:rPr>
              <w:t>Ratification of Ernst &amp; Young LLP as the Company's Independent Registered Public Accounting Firm for fiscal year 2020</w:t>
            </w:r>
          </w:p>
        </w:tc>
        <w:tc>
          <w:tcPr>
            <w:tcW w:w="1080" w:type="dxa"/>
            <w:vAlign w:val="bottom"/>
            <w:vMerge w:val="restart"/>
            <w:shd w:val="clear" w:color="auto" w:fill="DDE8E1"/>
          </w:tcPr>
          <w:p>
            <w:pPr>
              <w:ind w:left="40"/>
              <w:spacing w:after="0"/>
              <w:rPr>
                <w:sz w:val="20"/>
                <w:szCs w:val="20"/>
                <w:color w:val="auto"/>
              </w:rPr>
            </w:pPr>
            <w:r>
              <w:rPr>
                <w:rFonts w:ascii="Arial" w:cs="Arial" w:eastAsia="Arial" w:hAnsi="Arial"/>
                <w:sz w:val="15"/>
                <w:szCs w:val="15"/>
                <w:b w:val="1"/>
                <w:bCs w:val="1"/>
                <w:color w:val="auto"/>
              </w:rPr>
              <w:t>FOR</w:t>
            </w:r>
          </w:p>
        </w:tc>
        <w:tc>
          <w:tcPr>
            <w:tcW w:w="840" w:type="dxa"/>
            <w:vAlign w:val="bottom"/>
            <w:shd w:val="clear" w:color="auto" w:fill="DDE8E1"/>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80" w:type="dxa"/>
            <w:vAlign w:val="bottom"/>
            <w:shd w:val="clear" w:color="auto" w:fill="DDE8E1"/>
          </w:tcPr>
          <w:p>
            <w:pPr>
              <w:spacing w:after="0"/>
              <w:rPr>
                <w:sz w:val="3"/>
                <w:szCs w:val="3"/>
                <w:color w:val="auto"/>
              </w:rPr>
            </w:pPr>
          </w:p>
        </w:tc>
        <w:tc>
          <w:tcPr>
            <w:tcW w:w="120" w:type="dxa"/>
            <w:vAlign w:val="bottom"/>
            <w:shd w:val="clear" w:color="auto" w:fill="DDE8E1"/>
          </w:tcPr>
          <w:p>
            <w:pPr>
              <w:spacing w:after="0"/>
              <w:rPr>
                <w:sz w:val="3"/>
                <w:szCs w:val="3"/>
                <w:color w:val="auto"/>
              </w:rPr>
            </w:pPr>
          </w:p>
        </w:tc>
        <w:tc>
          <w:tcPr>
            <w:tcW w:w="8140" w:type="dxa"/>
            <w:vAlign w:val="bottom"/>
            <w:gridSpan w:val="6"/>
            <w:vMerge w:val="continue"/>
            <w:shd w:val="clear" w:color="auto" w:fill="DDE8E1"/>
          </w:tcPr>
          <w:p>
            <w:pPr>
              <w:spacing w:after="0"/>
              <w:rPr>
                <w:sz w:val="3"/>
                <w:szCs w:val="3"/>
                <w:color w:val="auto"/>
              </w:rPr>
            </w:pPr>
          </w:p>
        </w:tc>
        <w:tc>
          <w:tcPr>
            <w:tcW w:w="1080" w:type="dxa"/>
            <w:vAlign w:val="bottom"/>
            <w:vMerge w:val="continue"/>
            <w:shd w:val="clear" w:color="auto" w:fill="DDE8E1"/>
          </w:tcPr>
          <w:p>
            <w:pPr>
              <w:spacing w:after="0"/>
              <w:rPr>
                <w:sz w:val="3"/>
                <w:szCs w:val="3"/>
                <w:color w:val="auto"/>
              </w:rPr>
            </w:pPr>
          </w:p>
        </w:tc>
        <w:tc>
          <w:tcPr>
            <w:tcW w:w="840" w:type="dxa"/>
            <w:vAlign w:val="bottom"/>
            <w:shd w:val="clear" w:color="auto" w:fill="DDE8E1"/>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80" w:type="dxa"/>
            <w:vAlign w:val="bottom"/>
            <w:tcBorders>
              <w:bottom w:val="single" w:sz="8" w:color="477157"/>
            </w:tcBorders>
            <w:shd w:val="clear" w:color="auto" w:fill="DDE8E1"/>
          </w:tcPr>
          <w:p>
            <w:pPr>
              <w:spacing w:after="0"/>
              <w:rPr>
                <w:sz w:val="24"/>
                <w:szCs w:val="24"/>
                <w:color w:val="auto"/>
              </w:rPr>
            </w:pPr>
          </w:p>
        </w:tc>
        <w:tc>
          <w:tcPr>
            <w:tcW w:w="120" w:type="dxa"/>
            <w:vAlign w:val="bottom"/>
            <w:tcBorders>
              <w:bottom w:val="single" w:sz="8" w:color="477157"/>
            </w:tcBorders>
            <w:shd w:val="clear" w:color="auto" w:fill="DDE8E1"/>
          </w:tcPr>
          <w:p>
            <w:pPr>
              <w:spacing w:after="0"/>
              <w:rPr>
                <w:sz w:val="24"/>
                <w:szCs w:val="24"/>
                <w:color w:val="auto"/>
              </w:rPr>
            </w:pPr>
          </w:p>
        </w:tc>
        <w:tc>
          <w:tcPr>
            <w:tcW w:w="1700" w:type="dxa"/>
            <w:vAlign w:val="bottom"/>
            <w:tcBorders>
              <w:bottom w:val="single" w:sz="8" w:color="477157"/>
            </w:tcBorders>
            <w:shd w:val="clear" w:color="auto" w:fill="DDE8E1"/>
          </w:tcPr>
          <w:p>
            <w:pPr>
              <w:spacing w:after="0"/>
              <w:rPr>
                <w:sz w:val="24"/>
                <w:szCs w:val="24"/>
                <w:color w:val="auto"/>
              </w:rPr>
            </w:pPr>
          </w:p>
        </w:tc>
        <w:tc>
          <w:tcPr>
            <w:tcW w:w="2460" w:type="dxa"/>
            <w:vAlign w:val="bottom"/>
            <w:tcBorders>
              <w:bottom w:val="single" w:sz="8" w:color="477157"/>
            </w:tcBorders>
            <w:shd w:val="clear" w:color="auto" w:fill="DDE8E1"/>
          </w:tcPr>
          <w:p>
            <w:pPr>
              <w:spacing w:after="0"/>
              <w:rPr>
                <w:sz w:val="24"/>
                <w:szCs w:val="24"/>
                <w:color w:val="auto"/>
              </w:rPr>
            </w:pPr>
          </w:p>
        </w:tc>
        <w:tc>
          <w:tcPr>
            <w:tcW w:w="1260" w:type="dxa"/>
            <w:vAlign w:val="bottom"/>
            <w:tcBorders>
              <w:bottom w:val="single" w:sz="8" w:color="477157"/>
            </w:tcBorders>
            <w:shd w:val="clear" w:color="auto" w:fill="DDE8E1"/>
          </w:tcPr>
          <w:p>
            <w:pPr>
              <w:spacing w:after="0"/>
              <w:rPr>
                <w:sz w:val="24"/>
                <w:szCs w:val="24"/>
                <w:color w:val="auto"/>
              </w:rPr>
            </w:pPr>
          </w:p>
        </w:tc>
        <w:tc>
          <w:tcPr>
            <w:tcW w:w="1180" w:type="dxa"/>
            <w:vAlign w:val="bottom"/>
            <w:tcBorders>
              <w:bottom w:val="single" w:sz="8" w:color="477157"/>
            </w:tcBorders>
            <w:shd w:val="clear" w:color="auto" w:fill="DDE8E1"/>
          </w:tcPr>
          <w:p>
            <w:pPr>
              <w:spacing w:after="0"/>
              <w:rPr>
                <w:sz w:val="24"/>
                <w:szCs w:val="24"/>
                <w:color w:val="auto"/>
              </w:rPr>
            </w:pPr>
          </w:p>
        </w:tc>
        <w:tc>
          <w:tcPr>
            <w:tcW w:w="1040" w:type="dxa"/>
            <w:vAlign w:val="bottom"/>
            <w:tcBorders>
              <w:bottom w:val="single" w:sz="8" w:color="477157"/>
            </w:tcBorders>
            <w:shd w:val="clear" w:color="auto" w:fill="DDE8E1"/>
          </w:tcPr>
          <w:p>
            <w:pPr>
              <w:spacing w:after="0"/>
              <w:rPr>
                <w:sz w:val="24"/>
                <w:szCs w:val="24"/>
                <w:color w:val="auto"/>
              </w:rPr>
            </w:pPr>
          </w:p>
        </w:tc>
        <w:tc>
          <w:tcPr>
            <w:tcW w:w="500" w:type="dxa"/>
            <w:vAlign w:val="bottom"/>
            <w:tcBorders>
              <w:bottom w:val="single" w:sz="8" w:color="477157"/>
            </w:tcBorders>
            <w:shd w:val="clear" w:color="auto" w:fill="DDE8E1"/>
          </w:tcPr>
          <w:p>
            <w:pPr>
              <w:spacing w:after="0"/>
              <w:rPr>
                <w:sz w:val="24"/>
                <w:szCs w:val="24"/>
                <w:color w:val="auto"/>
              </w:rPr>
            </w:pPr>
          </w:p>
        </w:tc>
        <w:tc>
          <w:tcPr>
            <w:tcW w:w="1080" w:type="dxa"/>
            <w:vAlign w:val="bottom"/>
            <w:tcBorders>
              <w:bottom w:val="single" w:sz="8" w:color="477157"/>
            </w:tcBorders>
            <w:shd w:val="clear" w:color="auto" w:fill="DDE8E1"/>
          </w:tcPr>
          <w:p>
            <w:pPr>
              <w:spacing w:after="0"/>
              <w:rPr>
                <w:sz w:val="24"/>
                <w:szCs w:val="24"/>
                <w:color w:val="auto"/>
              </w:rPr>
            </w:pPr>
          </w:p>
        </w:tc>
        <w:tc>
          <w:tcPr>
            <w:tcW w:w="840" w:type="dxa"/>
            <w:vAlign w:val="bottom"/>
            <w:tcBorders>
              <w:bottom w:val="single" w:sz="8" w:color="477157"/>
            </w:tcBorders>
            <w:shd w:val="clear" w:color="auto" w:fill="DDE8E1"/>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80" w:type="dxa"/>
            <w:vAlign w:val="bottom"/>
            <w:shd w:val="clear" w:color="auto" w:fill="B0CABC"/>
          </w:tcPr>
          <w:p>
            <w:pPr>
              <w:ind w:left="440"/>
              <w:spacing w:after="0"/>
              <w:rPr>
                <w:sz w:val="20"/>
                <w:szCs w:val="20"/>
                <w:color w:val="auto"/>
              </w:rPr>
            </w:pPr>
            <w:r>
              <w:rPr>
                <w:rFonts w:ascii="Arial" w:cs="Arial" w:eastAsia="Arial" w:hAnsi="Arial"/>
                <w:sz w:val="36"/>
                <w:szCs w:val="36"/>
                <w:b w:val="1"/>
                <w:bCs w:val="1"/>
                <w:color w:val="477157"/>
              </w:rPr>
              <w:t>3</w:t>
            </w:r>
          </w:p>
        </w:tc>
        <w:tc>
          <w:tcPr>
            <w:tcW w:w="120" w:type="dxa"/>
            <w:vAlign w:val="bottom"/>
            <w:shd w:val="clear" w:color="auto" w:fill="B0CABC"/>
          </w:tcPr>
          <w:p>
            <w:pPr>
              <w:spacing w:after="0"/>
              <w:rPr>
                <w:sz w:val="24"/>
                <w:szCs w:val="24"/>
                <w:color w:val="auto"/>
              </w:rPr>
            </w:pPr>
          </w:p>
        </w:tc>
        <w:tc>
          <w:tcPr>
            <w:tcW w:w="4160" w:type="dxa"/>
            <w:vAlign w:val="bottom"/>
            <w:gridSpan w:val="2"/>
            <w:vMerge w:val="restart"/>
            <w:shd w:val="clear" w:color="auto" w:fill="B0CABC"/>
          </w:tcPr>
          <w:p>
            <w:pPr>
              <w:spacing w:after="0"/>
              <w:rPr>
                <w:sz w:val="20"/>
                <w:szCs w:val="20"/>
                <w:color w:val="auto"/>
              </w:rPr>
            </w:pPr>
            <w:r>
              <w:rPr>
                <w:rFonts w:ascii="Arial" w:cs="Arial" w:eastAsia="Arial" w:hAnsi="Arial"/>
                <w:sz w:val="15"/>
                <w:szCs w:val="15"/>
                <w:color w:val="auto"/>
              </w:rPr>
              <w:t>Approve the Company's Executive Compensation</w:t>
            </w:r>
          </w:p>
        </w:tc>
        <w:tc>
          <w:tcPr>
            <w:tcW w:w="1260" w:type="dxa"/>
            <w:vAlign w:val="bottom"/>
            <w:shd w:val="clear" w:color="auto" w:fill="B0CABC"/>
          </w:tcPr>
          <w:p>
            <w:pPr>
              <w:spacing w:after="0"/>
              <w:rPr>
                <w:sz w:val="24"/>
                <w:szCs w:val="24"/>
                <w:color w:val="auto"/>
              </w:rPr>
            </w:pPr>
          </w:p>
        </w:tc>
        <w:tc>
          <w:tcPr>
            <w:tcW w:w="1180" w:type="dxa"/>
            <w:vAlign w:val="bottom"/>
            <w:shd w:val="clear" w:color="auto" w:fill="B0CABC"/>
          </w:tcPr>
          <w:p>
            <w:pPr>
              <w:spacing w:after="0"/>
              <w:rPr>
                <w:sz w:val="24"/>
                <w:szCs w:val="24"/>
                <w:color w:val="auto"/>
              </w:rPr>
            </w:pPr>
          </w:p>
        </w:tc>
        <w:tc>
          <w:tcPr>
            <w:tcW w:w="1040" w:type="dxa"/>
            <w:vAlign w:val="bottom"/>
            <w:shd w:val="clear" w:color="auto" w:fill="B0CABC"/>
          </w:tcPr>
          <w:p>
            <w:pPr>
              <w:spacing w:after="0"/>
              <w:rPr>
                <w:sz w:val="24"/>
                <w:szCs w:val="24"/>
                <w:color w:val="auto"/>
              </w:rPr>
            </w:pPr>
          </w:p>
        </w:tc>
        <w:tc>
          <w:tcPr>
            <w:tcW w:w="500" w:type="dxa"/>
            <w:vAlign w:val="bottom"/>
            <w:shd w:val="clear" w:color="auto" w:fill="B0CABC"/>
          </w:tcPr>
          <w:p>
            <w:pPr>
              <w:spacing w:after="0"/>
              <w:rPr>
                <w:sz w:val="24"/>
                <w:szCs w:val="24"/>
                <w:color w:val="auto"/>
              </w:rPr>
            </w:pPr>
          </w:p>
        </w:tc>
        <w:tc>
          <w:tcPr>
            <w:tcW w:w="1080" w:type="dxa"/>
            <w:vAlign w:val="bottom"/>
            <w:vMerge w:val="restart"/>
            <w:shd w:val="clear" w:color="auto" w:fill="B0CABC"/>
          </w:tcPr>
          <w:p>
            <w:pPr>
              <w:ind w:left="40"/>
              <w:spacing w:after="0"/>
              <w:rPr>
                <w:sz w:val="20"/>
                <w:szCs w:val="20"/>
                <w:color w:val="auto"/>
              </w:rPr>
            </w:pPr>
            <w:r>
              <w:rPr>
                <w:rFonts w:ascii="Arial" w:cs="Arial" w:eastAsia="Arial" w:hAnsi="Arial"/>
                <w:sz w:val="15"/>
                <w:szCs w:val="15"/>
                <w:b w:val="1"/>
                <w:bCs w:val="1"/>
                <w:color w:val="auto"/>
              </w:rPr>
              <w:t>FOR</w:t>
            </w:r>
          </w:p>
        </w:tc>
        <w:tc>
          <w:tcPr>
            <w:tcW w:w="840" w:type="dxa"/>
            <w:vAlign w:val="bottom"/>
            <w:shd w:val="clear" w:color="auto" w:fill="B0CABC"/>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80" w:type="dxa"/>
            <w:vAlign w:val="bottom"/>
            <w:shd w:val="clear" w:color="auto" w:fill="B0CABC"/>
          </w:tcPr>
          <w:p>
            <w:pPr>
              <w:spacing w:after="0"/>
              <w:rPr>
                <w:sz w:val="3"/>
                <w:szCs w:val="3"/>
                <w:color w:val="auto"/>
              </w:rPr>
            </w:pPr>
          </w:p>
        </w:tc>
        <w:tc>
          <w:tcPr>
            <w:tcW w:w="120" w:type="dxa"/>
            <w:vAlign w:val="bottom"/>
            <w:shd w:val="clear" w:color="auto" w:fill="B0CABC"/>
          </w:tcPr>
          <w:p>
            <w:pPr>
              <w:spacing w:after="0"/>
              <w:rPr>
                <w:sz w:val="3"/>
                <w:szCs w:val="3"/>
                <w:color w:val="auto"/>
              </w:rPr>
            </w:pPr>
          </w:p>
        </w:tc>
        <w:tc>
          <w:tcPr>
            <w:tcW w:w="4160" w:type="dxa"/>
            <w:vAlign w:val="bottom"/>
            <w:gridSpan w:val="2"/>
            <w:vMerge w:val="continue"/>
            <w:shd w:val="clear" w:color="auto" w:fill="B0CABC"/>
          </w:tcPr>
          <w:p>
            <w:pPr>
              <w:spacing w:after="0"/>
              <w:rPr>
                <w:sz w:val="3"/>
                <w:szCs w:val="3"/>
                <w:color w:val="auto"/>
              </w:rPr>
            </w:pPr>
          </w:p>
        </w:tc>
        <w:tc>
          <w:tcPr>
            <w:tcW w:w="1260" w:type="dxa"/>
            <w:vAlign w:val="bottom"/>
            <w:shd w:val="clear" w:color="auto" w:fill="B0CABC"/>
          </w:tcPr>
          <w:p>
            <w:pPr>
              <w:spacing w:after="0"/>
              <w:rPr>
                <w:sz w:val="3"/>
                <w:szCs w:val="3"/>
                <w:color w:val="auto"/>
              </w:rPr>
            </w:pPr>
          </w:p>
        </w:tc>
        <w:tc>
          <w:tcPr>
            <w:tcW w:w="1180" w:type="dxa"/>
            <w:vAlign w:val="bottom"/>
            <w:shd w:val="clear" w:color="auto" w:fill="B0CABC"/>
          </w:tcPr>
          <w:p>
            <w:pPr>
              <w:spacing w:after="0"/>
              <w:rPr>
                <w:sz w:val="3"/>
                <w:szCs w:val="3"/>
                <w:color w:val="auto"/>
              </w:rPr>
            </w:pPr>
          </w:p>
        </w:tc>
        <w:tc>
          <w:tcPr>
            <w:tcW w:w="1040" w:type="dxa"/>
            <w:vAlign w:val="bottom"/>
            <w:shd w:val="clear" w:color="auto" w:fill="B0CABC"/>
          </w:tcPr>
          <w:p>
            <w:pPr>
              <w:spacing w:after="0"/>
              <w:rPr>
                <w:sz w:val="3"/>
                <w:szCs w:val="3"/>
                <w:color w:val="auto"/>
              </w:rPr>
            </w:pPr>
          </w:p>
        </w:tc>
        <w:tc>
          <w:tcPr>
            <w:tcW w:w="500" w:type="dxa"/>
            <w:vAlign w:val="bottom"/>
            <w:shd w:val="clear" w:color="auto" w:fill="B0CABC"/>
          </w:tcPr>
          <w:p>
            <w:pPr>
              <w:spacing w:after="0"/>
              <w:rPr>
                <w:sz w:val="3"/>
                <w:szCs w:val="3"/>
                <w:color w:val="auto"/>
              </w:rPr>
            </w:pPr>
          </w:p>
        </w:tc>
        <w:tc>
          <w:tcPr>
            <w:tcW w:w="1080" w:type="dxa"/>
            <w:vAlign w:val="bottom"/>
            <w:vMerge w:val="continue"/>
            <w:shd w:val="clear" w:color="auto" w:fill="B0CABC"/>
          </w:tcPr>
          <w:p>
            <w:pPr>
              <w:spacing w:after="0"/>
              <w:rPr>
                <w:sz w:val="3"/>
                <w:szCs w:val="3"/>
                <w:color w:val="auto"/>
              </w:rPr>
            </w:pPr>
          </w:p>
        </w:tc>
        <w:tc>
          <w:tcPr>
            <w:tcW w:w="840" w:type="dxa"/>
            <w:vAlign w:val="bottom"/>
            <w:shd w:val="clear" w:color="auto" w:fill="B0CABC"/>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80" w:type="dxa"/>
            <w:vAlign w:val="bottom"/>
            <w:tcBorders>
              <w:bottom w:val="single" w:sz="8" w:color="477157"/>
            </w:tcBorders>
            <w:shd w:val="clear" w:color="auto" w:fill="B0CABC"/>
          </w:tcPr>
          <w:p>
            <w:pPr>
              <w:spacing w:after="0"/>
              <w:rPr>
                <w:sz w:val="24"/>
                <w:szCs w:val="24"/>
                <w:color w:val="auto"/>
              </w:rPr>
            </w:pPr>
          </w:p>
        </w:tc>
        <w:tc>
          <w:tcPr>
            <w:tcW w:w="120" w:type="dxa"/>
            <w:vAlign w:val="bottom"/>
            <w:tcBorders>
              <w:bottom w:val="single" w:sz="8" w:color="477157"/>
            </w:tcBorders>
            <w:shd w:val="clear" w:color="auto" w:fill="B0CABC"/>
          </w:tcPr>
          <w:p>
            <w:pPr>
              <w:spacing w:after="0"/>
              <w:rPr>
                <w:sz w:val="24"/>
                <w:szCs w:val="24"/>
                <w:color w:val="auto"/>
              </w:rPr>
            </w:pPr>
          </w:p>
        </w:tc>
        <w:tc>
          <w:tcPr>
            <w:tcW w:w="1700" w:type="dxa"/>
            <w:vAlign w:val="bottom"/>
            <w:tcBorders>
              <w:bottom w:val="single" w:sz="8" w:color="477157"/>
            </w:tcBorders>
            <w:shd w:val="clear" w:color="auto" w:fill="B0CABC"/>
          </w:tcPr>
          <w:p>
            <w:pPr>
              <w:spacing w:after="0"/>
              <w:rPr>
                <w:sz w:val="24"/>
                <w:szCs w:val="24"/>
                <w:color w:val="auto"/>
              </w:rPr>
            </w:pPr>
          </w:p>
        </w:tc>
        <w:tc>
          <w:tcPr>
            <w:tcW w:w="2460" w:type="dxa"/>
            <w:vAlign w:val="bottom"/>
            <w:tcBorders>
              <w:bottom w:val="single" w:sz="8" w:color="477157"/>
            </w:tcBorders>
            <w:shd w:val="clear" w:color="auto" w:fill="B0CABC"/>
          </w:tcPr>
          <w:p>
            <w:pPr>
              <w:spacing w:after="0"/>
              <w:rPr>
                <w:sz w:val="24"/>
                <w:szCs w:val="24"/>
                <w:color w:val="auto"/>
              </w:rPr>
            </w:pPr>
          </w:p>
        </w:tc>
        <w:tc>
          <w:tcPr>
            <w:tcW w:w="1260" w:type="dxa"/>
            <w:vAlign w:val="bottom"/>
            <w:tcBorders>
              <w:bottom w:val="single" w:sz="8" w:color="477157"/>
            </w:tcBorders>
            <w:shd w:val="clear" w:color="auto" w:fill="B0CABC"/>
          </w:tcPr>
          <w:p>
            <w:pPr>
              <w:spacing w:after="0"/>
              <w:rPr>
                <w:sz w:val="24"/>
                <w:szCs w:val="24"/>
                <w:color w:val="auto"/>
              </w:rPr>
            </w:pPr>
          </w:p>
        </w:tc>
        <w:tc>
          <w:tcPr>
            <w:tcW w:w="1180" w:type="dxa"/>
            <w:vAlign w:val="bottom"/>
            <w:tcBorders>
              <w:bottom w:val="single" w:sz="8" w:color="477157"/>
            </w:tcBorders>
            <w:shd w:val="clear" w:color="auto" w:fill="B0CABC"/>
          </w:tcPr>
          <w:p>
            <w:pPr>
              <w:spacing w:after="0"/>
              <w:rPr>
                <w:sz w:val="24"/>
                <w:szCs w:val="24"/>
                <w:color w:val="auto"/>
              </w:rPr>
            </w:pPr>
          </w:p>
        </w:tc>
        <w:tc>
          <w:tcPr>
            <w:tcW w:w="1040" w:type="dxa"/>
            <w:vAlign w:val="bottom"/>
            <w:tcBorders>
              <w:bottom w:val="single" w:sz="8" w:color="477157"/>
            </w:tcBorders>
            <w:shd w:val="clear" w:color="auto" w:fill="B0CABC"/>
          </w:tcPr>
          <w:p>
            <w:pPr>
              <w:spacing w:after="0"/>
              <w:rPr>
                <w:sz w:val="24"/>
                <w:szCs w:val="24"/>
                <w:color w:val="auto"/>
              </w:rPr>
            </w:pPr>
          </w:p>
        </w:tc>
        <w:tc>
          <w:tcPr>
            <w:tcW w:w="500" w:type="dxa"/>
            <w:vAlign w:val="bottom"/>
            <w:tcBorders>
              <w:bottom w:val="single" w:sz="8" w:color="477157"/>
            </w:tcBorders>
            <w:shd w:val="clear" w:color="auto" w:fill="B0CABC"/>
          </w:tcPr>
          <w:p>
            <w:pPr>
              <w:spacing w:after="0"/>
              <w:rPr>
                <w:sz w:val="24"/>
                <w:szCs w:val="24"/>
                <w:color w:val="auto"/>
              </w:rPr>
            </w:pPr>
          </w:p>
        </w:tc>
        <w:tc>
          <w:tcPr>
            <w:tcW w:w="1080" w:type="dxa"/>
            <w:vAlign w:val="bottom"/>
            <w:tcBorders>
              <w:bottom w:val="single" w:sz="8" w:color="477157"/>
            </w:tcBorders>
            <w:shd w:val="clear" w:color="auto" w:fill="B0CABC"/>
          </w:tcPr>
          <w:p>
            <w:pPr>
              <w:spacing w:after="0"/>
              <w:rPr>
                <w:sz w:val="24"/>
                <w:szCs w:val="24"/>
                <w:color w:val="auto"/>
              </w:rPr>
            </w:pPr>
          </w:p>
        </w:tc>
        <w:tc>
          <w:tcPr>
            <w:tcW w:w="840" w:type="dxa"/>
            <w:vAlign w:val="bottom"/>
            <w:tcBorders>
              <w:bottom w:val="single" w:sz="8" w:color="477157"/>
            </w:tcBorders>
            <w:shd w:val="clear" w:color="auto" w:fill="B0CABC"/>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80" w:type="dxa"/>
            <w:vAlign w:val="bottom"/>
            <w:shd w:val="clear" w:color="auto" w:fill="DDE8E1"/>
          </w:tcPr>
          <w:p>
            <w:pPr>
              <w:ind w:left="440"/>
              <w:spacing w:after="0"/>
              <w:rPr>
                <w:sz w:val="20"/>
                <w:szCs w:val="20"/>
                <w:color w:val="auto"/>
              </w:rPr>
            </w:pPr>
            <w:r>
              <w:rPr>
                <w:rFonts w:ascii="Arial" w:cs="Arial" w:eastAsia="Arial" w:hAnsi="Arial"/>
                <w:sz w:val="36"/>
                <w:szCs w:val="36"/>
                <w:b w:val="1"/>
                <w:bCs w:val="1"/>
                <w:color w:val="477157"/>
              </w:rPr>
              <w:t>4</w:t>
            </w:r>
          </w:p>
        </w:tc>
        <w:tc>
          <w:tcPr>
            <w:tcW w:w="120" w:type="dxa"/>
            <w:vAlign w:val="bottom"/>
            <w:shd w:val="clear" w:color="auto" w:fill="DDE8E1"/>
          </w:tcPr>
          <w:p>
            <w:pPr>
              <w:spacing w:after="0"/>
              <w:rPr>
                <w:sz w:val="24"/>
                <w:szCs w:val="24"/>
                <w:color w:val="auto"/>
              </w:rPr>
            </w:pPr>
          </w:p>
        </w:tc>
        <w:tc>
          <w:tcPr>
            <w:tcW w:w="4160" w:type="dxa"/>
            <w:vAlign w:val="bottom"/>
            <w:gridSpan w:val="2"/>
            <w:vMerge w:val="restart"/>
            <w:shd w:val="clear" w:color="auto" w:fill="DDE8E1"/>
          </w:tcPr>
          <w:p>
            <w:pPr>
              <w:spacing w:after="0"/>
              <w:rPr>
                <w:sz w:val="20"/>
                <w:szCs w:val="20"/>
                <w:color w:val="auto"/>
              </w:rPr>
            </w:pPr>
            <w:r>
              <w:rPr>
                <w:rFonts w:ascii="Arial" w:cs="Arial" w:eastAsia="Arial" w:hAnsi="Arial"/>
                <w:sz w:val="15"/>
                <w:szCs w:val="15"/>
                <w:color w:val="auto"/>
              </w:rPr>
              <w:t>Proposal to amend and restate our ESPP</w:t>
            </w:r>
          </w:p>
        </w:tc>
        <w:tc>
          <w:tcPr>
            <w:tcW w:w="1260" w:type="dxa"/>
            <w:vAlign w:val="bottom"/>
            <w:shd w:val="clear" w:color="auto" w:fill="DDE8E1"/>
          </w:tcPr>
          <w:p>
            <w:pPr>
              <w:spacing w:after="0"/>
              <w:rPr>
                <w:sz w:val="24"/>
                <w:szCs w:val="24"/>
                <w:color w:val="auto"/>
              </w:rPr>
            </w:pPr>
          </w:p>
        </w:tc>
        <w:tc>
          <w:tcPr>
            <w:tcW w:w="1180" w:type="dxa"/>
            <w:vAlign w:val="bottom"/>
            <w:shd w:val="clear" w:color="auto" w:fill="DDE8E1"/>
          </w:tcPr>
          <w:p>
            <w:pPr>
              <w:spacing w:after="0"/>
              <w:rPr>
                <w:sz w:val="24"/>
                <w:szCs w:val="24"/>
                <w:color w:val="auto"/>
              </w:rPr>
            </w:pPr>
          </w:p>
        </w:tc>
        <w:tc>
          <w:tcPr>
            <w:tcW w:w="1040" w:type="dxa"/>
            <w:vAlign w:val="bottom"/>
            <w:shd w:val="clear" w:color="auto" w:fill="DDE8E1"/>
          </w:tcPr>
          <w:p>
            <w:pPr>
              <w:spacing w:after="0"/>
              <w:rPr>
                <w:sz w:val="24"/>
                <w:szCs w:val="24"/>
                <w:color w:val="auto"/>
              </w:rPr>
            </w:pPr>
          </w:p>
        </w:tc>
        <w:tc>
          <w:tcPr>
            <w:tcW w:w="500" w:type="dxa"/>
            <w:vAlign w:val="bottom"/>
            <w:shd w:val="clear" w:color="auto" w:fill="DDE8E1"/>
          </w:tcPr>
          <w:p>
            <w:pPr>
              <w:spacing w:after="0"/>
              <w:rPr>
                <w:sz w:val="24"/>
                <w:szCs w:val="24"/>
                <w:color w:val="auto"/>
              </w:rPr>
            </w:pPr>
          </w:p>
        </w:tc>
        <w:tc>
          <w:tcPr>
            <w:tcW w:w="1080" w:type="dxa"/>
            <w:vAlign w:val="bottom"/>
            <w:vMerge w:val="restart"/>
            <w:shd w:val="clear" w:color="auto" w:fill="DDE8E1"/>
          </w:tcPr>
          <w:p>
            <w:pPr>
              <w:ind w:left="40"/>
              <w:spacing w:after="0"/>
              <w:rPr>
                <w:sz w:val="20"/>
                <w:szCs w:val="20"/>
                <w:color w:val="auto"/>
              </w:rPr>
            </w:pPr>
            <w:r>
              <w:rPr>
                <w:rFonts w:ascii="Arial" w:cs="Arial" w:eastAsia="Arial" w:hAnsi="Arial"/>
                <w:sz w:val="15"/>
                <w:szCs w:val="15"/>
                <w:b w:val="1"/>
                <w:bCs w:val="1"/>
                <w:color w:val="auto"/>
              </w:rPr>
              <w:t>FOR</w:t>
            </w:r>
          </w:p>
        </w:tc>
        <w:tc>
          <w:tcPr>
            <w:tcW w:w="840" w:type="dxa"/>
            <w:vAlign w:val="bottom"/>
            <w:shd w:val="clear" w:color="auto" w:fill="DDE8E1"/>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80" w:type="dxa"/>
            <w:vAlign w:val="bottom"/>
            <w:shd w:val="clear" w:color="auto" w:fill="DDE8E1"/>
          </w:tcPr>
          <w:p>
            <w:pPr>
              <w:spacing w:after="0"/>
              <w:rPr>
                <w:sz w:val="3"/>
                <w:szCs w:val="3"/>
                <w:color w:val="auto"/>
              </w:rPr>
            </w:pPr>
          </w:p>
        </w:tc>
        <w:tc>
          <w:tcPr>
            <w:tcW w:w="120" w:type="dxa"/>
            <w:vAlign w:val="bottom"/>
            <w:shd w:val="clear" w:color="auto" w:fill="DDE8E1"/>
          </w:tcPr>
          <w:p>
            <w:pPr>
              <w:spacing w:after="0"/>
              <w:rPr>
                <w:sz w:val="3"/>
                <w:szCs w:val="3"/>
                <w:color w:val="auto"/>
              </w:rPr>
            </w:pPr>
          </w:p>
        </w:tc>
        <w:tc>
          <w:tcPr>
            <w:tcW w:w="4160" w:type="dxa"/>
            <w:vAlign w:val="bottom"/>
            <w:gridSpan w:val="2"/>
            <w:vMerge w:val="continue"/>
            <w:shd w:val="clear" w:color="auto" w:fill="DDE8E1"/>
          </w:tcPr>
          <w:p>
            <w:pPr>
              <w:spacing w:after="0"/>
              <w:rPr>
                <w:sz w:val="3"/>
                <w:szCs w:val="3"/>
                <w:color w:val="auto"/>
              </w:rPr>
            </w:pPr>
          </w:p>
        </w:tc>
        <w:tc>
          <w:tcPr>
            <w:tcW w:w="1260" w:type="dxa"/>
            <w:vAlign w:val="bottom"/>
            <w:shd w:val="clear" w:color="auto" w:fill="DDE8E1"/>
          </w:tcPr>
          <w:p>
            <w:pPr>
              <w:spacing w:after="0"/>
              <w:rPr>
                <w:sz w:val="3"/>
                <w:szCs w:val="3"/>
                <w:color w:val="auto"/>
              </w:rPr>
            </w:pPr>
          </w:p>
        </w:tc>
        <w:tc>
          <w:tcPr>
            <w:tcW w:w="1180" w:type="dxa"/>
            <w:vAlign w:val="bottom"/>
            <w:shd w:val="clear" w:color="auto" w:fill="DDE8E1"/>
          </w:tcPr>
          <w:p>
            <w:pPr>
              <w:spacing w:after="0"/>
              <w:rPr>
                <w:sz w:val="3"/>
                <w:szCs w:val="3"/>
                <w:color w:val="auto"/>
              </w:rPr>
            </w:pPr>
          </w:p>
        </w:tc>
        <w:tc>
          <w:tcPr>
            <w:tcW w:w="1040" w:type="dxa"/>
            <w:vAlign w:val="bottom"/>
            <w:shd w:val="clear" w:color="auto" w:fill="DDE8E1"/>
          </w:tcPr>
          <w:p>
            <w:pPr>
              <w:spacing w:after="0"/>
              <w:rPr>
                <w:sz w:val="3"/>
                <w:szCs w:val="3"/>
                <w:color w:val="auto"/>
              </w:rPr>
            </w:pPr>
          </w:p>
        </w:tc>
        <w:tc>
          <w:tcPr>
            <w:tcW w:w="500" w:type="dxa"/>
            <w:vAlign w:val="bottom"/>
            <w:shd w:val="clear" w:color="auto" w:fill="DDE8E1"/>
          </w:tcPr>
          <w:p>
            <w:pPr>
              <w:spacing w:after="0"/>
              <w:rPr>
                <w:sz w:val="3"/>
                <w:szCs w:val="3"/>
                <w:color w:val="auto"/>
              </w:rPr>
            </w:pPr>
          </w:p>
        </w:tc>
        <w:tc>
          <w:tcPr>
            <w:tcW w:w="1080" w:type="dxa"/>
            <w:vAlign w:val="bottom"/>
            <w:vMerge w:val="continue"/>
            <w:shd w:val="clear" w:color="auto" w:fill="DDE8E1"/>
          </w:tcPr>
          <w:p>
            <w:pPr>
              <w:spacing w:after="0"/>
              <w:rPr>
                <w:sz w:val="3"/>
                <w:szCs w:val="3"/>
                <w:color w:val="auto"/>
              </w:rPr>
            </w:pPr>
          </w:p>
        </w:tc>
        <w:tc>
          <w:tcPr>
            <w:tcW w:w="840" w:type="dxa"/>
            <w:vAlign w:val="bottom"/>
            <w:shd w:val="clear" w:color="auto" w:fill="DDE8E1"/>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080" w:type="dxa"/>
            <w:vAlign w:val="bottom"/>
            <w:tcBorders>
              <w:bottom w:val="single" w:sz="8" w:color="477157"/>
            </w:tcBorders>
            <w:shd w:val="clear" w:color="auto" w:fill="DDE8E1"/>
          </w:tcPr>
          <w:p>
            <w:pPr>
              <w:spacing w:after="0"/>
              <w:rPr>
                <w:sz w:val="24"/>
                <w:szCs w:val="24"/>
                <w:color w:val="auto"/>
              </w:rPr>
            </w:pPr>
          </w:p>
        </w:tc>
        <w:tc>
          <w:tcPr>
            <w:tcW w:w="120" w:type="dxa"/>
            <w:vAlign w:val="bottom"/>
            <w:tcBorders>
              <w:bottom w:val="single" w:sz="8" w:color="477157"/>
            </w:tcBorders>
            <w:shd w:val="clear" w:color="auto" w:fill="DDE8E1"/>
          </w:tcPr>
          <w:p>
            <w:pPr>
              <w:spacing w:after="0"/>
              <w:rPr>
                <w:sz w:val="24"/>
                <w:szCs w:val="24"/>
                <w:color w:val="auto"/>
              </w:rPr>
            </w:pPr>
          </w:p>
        </w:tc>
        <w:tc>
          <w:tcPr>
            <w:tcW w:w="1700" w:type="dxa"/>
            <w:vAlign w:val="bottom"/>
            <w:tcBorders>
              <w:bottom w:val="single" w:sz="8" w:color="477157"/>
            </w:tcBorders>
            <w:shd w:val="clear" w:color="auto" w:fill="DDE8E1"/>
          </w:tcPr>
          <w:p>
            <w:pPr>
              <w:spacing w:after="0"/>
              <w:rPr>
                <w:sz w:val="24"/>
                <w:szCs w:val="24"/>
                <w:color w:val="auto"/>
              </w:rPr>
            </w:pPr>
          </w:p>
        </w:tc>
        <w:tc>
          <w:tcPr>
            <w:tcW w:w="2460" w:type="dxa"/>
            <w:vAlign w:val="bottom"/>
            <w:tcBorders>
              <w:bottom w:val="single" w:sz="8" w:color="477157"/>
            </w:tcBorders>
            <w:shd w:val="clear" w:color="auto" w:fill="DDE8E1"/>
          </w:tcPr>
          <w:p>
            <w:pPr>
              <w:spacing w:after="0"/>
              <w:rPr>
                <w:sz w:val="24"/>
                <w:szCs w:val="24"/>
                <w:color w:val="auto"/>
              </w:rPr>
            </w:pPr>
          </w:p>
        </w:tc>
        <w:tc>
          <w:tcPr>
            <w:tcW w:w="1260" w:type="dxa"/>
            <w:vAlign w:val="bottom"/>
            <w:tcBorders>
              <w:bottom w:val="single" w:sz="8" w:color="477157"/>
            </w:tcBorders>
            <w:shd w:val="clear" w:color="auto" w:fill="DDE8E1"/>
          </w:tcPr>
          <w:p>
            <w:pPr>
              <w:spacing w:after="0"/>
              <w:rPr>
                <w:sz w:val="24"/>
                <w:szCs w:val="24"/>
                <w:color w:val="auto"/>
              </w:rPr>
            </w:pPr>
          </w:p>
        </w:tc>
        <w:tc>
          <w:tcPr>
            <w:tcW w:w="1180" w:type="dxa"/>
            <w:vAlign w:val="bottom"/>
            <w:tcBorders>
              <w:bottom w:val="single" w:sz="8" w:color="477157"/>
            </w:tcBorders>
            <w:shd w:val="clear" w:color="auto" w:fill="DDE8E1"/>
          </w:tcPr>
          <w:p>
            <w:pPr>
              <w:spacing w:after="0"/>
              <w:rPr>
                <w:sz w:val="24"/>
                <w:szCs w:val="24"/>
                <w:color w:val="auto"/>
              </w:rPr>
            </w:pPr>
          </w:p>
        </w:tc>
        <w:tc>
          <w:tcPr>
            <w:tcW w:w="1040" w:type="dxa"/>
            <w:vAlign w:val="bottom"/>
            <w:tcBorders>
              <w:bottom w:val="single" w:sz="8" w:color="477157"/>
            </w:tcBorders>
            <w:shd w:val="clear" w:color="auto" w:fill="DDE8E1"/>
          </w:tcPr>
          <w:p>
            <w:pPr>
              <w:spacing w:after="0"/>
              <w:rPr>
                <w:sz w:val="24"/>
                <w:szCs w:val="24"/>
                <w:color w:val="auto"/>
              </w:rPr>
            </w:pPr>
          </w:p>
        </w:tc>
        <w:tc>
          <w:tcPr>
            <w:tcW w:w="500" w:type="dxa"/>
            <w:vAlign w:val="bottom"/>
            <w:tcBorders>
              <w:bottom w:val="single" w:sz="8" w:color="477157"/>
            </w:tcBorders>
            <w:shd w:val="clear" w:color="auto" w:fill="DDE8E1"/>
          </w:tcPr>
          <w:p>
            <w:pPr>
              <w:spacing w:after="0"/>
              <w:rPr>
                <w:sz w:val="24"/>
                <w:szCs w:val="24"/>
                <w:color w:val="auto"/>
              </w:rPr>
            </w:pPr>
          </w:p>
        </w:tc>
        <w:tc>
          <w:tcPr>
            <w:tcW w:w="1080" w:type="dxa"/>
            <w:vAlign w:val="bottom"/>
            <w:tcBorders>
              <w:bottom w:val="single" w:sz="8" w:color="477157"/>
            </w:tcBorders>
            <w:shd w:val="clear" w:color="auto" w:fill="DDE8E1"/>
          </w:tcPr>
          <w:p>
            <w:pPr>
              <w:spacing w:after="0"/>
              <w:rPr>
                <w:sz w:val="24"/>
                <w:szCs w:val="24"/>
                <w:color w:val="auto"/>
              </w:rPr>
            </w:pPr>
          </w:p>
        </w:tc>
        <w:tc>
          <w:tcPr>
            <w:tcW w:w="840" w:type="dxa"/>
            <w:vAlign w:val="bottom"/>
            <w:tcBorders>
              <w:bottom w:val="single" w:sz="8" w:color="477157"/>
            </w:tcBorders>
            <w:shd w:val="clear" w:color="auto" w:fill="DDE8E1"/>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900" w:type="dxa"/>
            <w:vAlign w:val="bottom"/>
            <w:gridSpan w:val="3"/>
          </w:tcPr>
          <w:p>
            <w:pPr>
              <w:spacing w:after="0"/>
              <w:rPr>
                <w:sz w:val="20"/>
                <w:szCs w:val="20"/>
                <w:color w:val="auto"/>
              </w:rPr>
            </w:pPr>
            <w:r>
              <w:rPr>
                <w:rFonts w:ascii="Arial" w:cs="Arial" w:eastAsia="Arial" w:hAnsi="Arial"/>
                <w:sz w:val="18"/>
                <w:szCs w:val="18"/>
                <w:b w:val="1"/>
                <w:bCs w:val="1"/>
                <w:color w:val="477157"/>
              </w:rPr>
              <w:t>NOMINEES FOR DIRECTOR</w:t>
            </w: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477157"/>
              </w:rPr>
              <w:t>Committee</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tcPr>
          <w:p>
            <w:pPr>
              <w:jc w:val="center"/>
              <w:spacing w:after="0" w:line="117" w:lineRule="exact"/>
              <w:rPr>
                <w:sz w:val="20"/>
                <w:szCs w:val="20"/>
                <w:color w:val="auto"/>
              </w:rPr>
            </w:pPr>
            <w:r>
              <w:rPr>
                <w:rFonts w:ascii="Arial" w:cs="Arial" w:eastAsia="Arial" w:hAnsi="Arial"/>
                <w:sz w:val="12"/>
                <w:szCs w:val="12"/>
                <w:b w:val="1"/>
                <w:bCs w:val="1"/>
                <w:color w:val="477157"/>
              </w:rPr>
              <w:t>Management</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477157"/>
              </w:rPr>
              <w:t>Development</w:t>
            </w:r>
          </w:p>
        </w:tc>
        <w:tc>
          <w:tcPr>
            <w:tcW w:w="840" w:type="dxa"/>
            <w:vAlign w:val="bottom"/>
          </w:tcPr>
          <w:p>
            <w:pPr>
              <w:jc w:val="center"/>
              <w:spacing w:after="0" w:line="136" w:lineRule="exact"/>
              <w:rPr>
                <w:sz w:val="20"/>
                <w:szCs w:val="20"/>
                <w:color w:val="auto"/>
              </w:rPr>
            </w:pPr>
            <w:r>
              <w:rPr>
                <w:rFonts w:ascii="Arial" w:cs="Arial" w:eastAsia="Arial" w:hAnsi="Arial"/>
                <w:sz w:val="12"/>
                <w:szCs w:val="12"/>
                <w:b w:val="1"/>
                <w:bCs w:val="1"/>
                <w:color w:val="477157"/>
                <w:w w:val="99"/>
              </w:rPr>
              <w:t>Nominating</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477157"/>
              </w:rPr>
              <w:t>and</w:t>
            </w:r>
          </w:p>
        </w:tc>
        <w:tc>
          <w:tcPr>
            <w:tcW w:w="840" w:type="dxa"/>
            <w:vAlign w:val="bottom"/>
          </w:tcPr>
          <w:p>
            <w:pPr>
              <w:jc w:val="center"/>
              <w:spacing w:after="0" w:line="136" w:lineRule="exact"/>
              <w:rPr>
                <w:sz w:val="20"/>
                <w:szCs w:val="20"/>
                <w:color w:val="auto"/>
              </w:rPr>
            </w:pPr>
            <w:r>
              <w:rPr>
                <w:rFonts w:ascii="Arial" w:cs="Arial" w:eastAsia="Arial" w:hAnsi="Arial"/>
                <w:sz w:val="12"/>
                <w:szCs w:val="12"/>
                <w:b w:val="1"/>
                <w:bCs w:val="1"/>
                <w:color w:val="477157"/>
              </w:rPr>
              <w:t>and</w:t>
            </w:r>
          </w:p>
        </w:tc>
        <w:tc>
          <w:tcPr>
            <w:tcW w:w="0" w:type="dxa"/>
            <w:vAlign w:val="bottom"/>
          </w:tcPr>
          <w:p>
            <w:pPr>
              <w:spacing w:after="0"/>
              <w:rPr>
                <w:sz w:val="1"/>
                <w:szCs w:val="1"/>
                <w:color w:val="auto"/>
              </w:rPr>
            </w:pPr>
          </w:p>
        </w:tc>
      </w:tr>
      <w:tr>
        <w:trPr>
          <w:trHeight w:val="145"/>
        </w:trPr>
        <w:tc>
          <w:tcPr>
            <w:tcW w:w="1200" w:type="dxa"/>
            <w:vAlign w:val="bottom"/>
            <w:tcBorders>
              <w:bottom w:val="single" w:sz="8" w:color="477157"/>
            </w:tcBorders>
            <w:gridSpan w:val="2"/>
          </w:tcPr>
          <w:p>
            <w:pPr>
              <w:spacing w:after="0"/>
              <w:rPr>
                <w:sz w:val="20"/>
                <w:szCs w:val="20"/>
                <w:color w:val="auto"/>
              </w:rPr>
            </w:pPr>
            <w:r>
              <w:rPr>
                <w:rFonts w:ascii="Arial" w:cs="Arial" w:eastAsia="Arial" w:hAnsi="Arial"/>
                <w:sz w:val="12"/>
                <w:szCs w:val="12"/>
                <w:b w:val="1"/>
                <w:bCs w:val="1"/>
                <w:color w:val="477157"/>
              </w:rPr>
              <w:t>Name</w:t>
            </w:r>
          </w:p>
        </w:tc>
        <w:tc>
          <w:tcPr>
            <w:tcW w:w="1700" w:type="dxa"/>
            <w:vAlign w:val="bottom"/>
            <w:tcBorders>
              <w:bottom w:val="single" w:sz="8" w:color="477157"/>
            </w:tcBorders>
          </w:tcPr>
          <w:p>
            <w:pPr>
              <w:spacing w:after="0"/>
              <w:rPr>
                <w:sz w:val="12"/>
                <w:szCs w:val="12"/>
                <w:color w:val="auto"/>
              </w:rPr>
            </w:pPr>
          </w:p>
        </w:tc>
        <w:tc>
          <w:tcPr>
            <w:tcW w:w="2460" w:type="dxa"/>
            <w:vAlign w:val="bottom"/>
            <w:tcBorders>
              <w:bottom w:val="single" w:sz="8" w:color="477157"/>
            </w:tcBorders>
          </w:tcPr>
          <w:p>
            <w:pPr>
              <w:spacing w:after="0"/>
              <w:rPr>
                <w:sz w:val="12"/>
                <w:szCs w:val="12"/>
                <w:color w:val="auto"/>
              </w:rPr>
            </w:pPr>
          </w:p>
        </w:tc>
        <w:tc>
          <w:tcPr>
            <w:tcW w:w="1260" w:type="dxa"/>
            <w:vAlign w:val="bottom"/>
            <w:tcBorders>
              <w:bottom w:val="single" w:sz="8" w:color="477157"/>
            </w:tcBorders>
          </w:tcPr>
          <w:p>
            <w:pPr>
              <w:jc w:val="center"/>
              <w:ind w:left="728"/>
              <w:spacing w:after="0"/>
              <w:rPr>
                <w:sz w:val="20"/>
                <w:szCs w:val="20"/>
                <w:color w:val="auto"/>
              </w:rPr>
            </w:pPr>
            <w:r>
              <w:rPr>
                <w:rFonts w:ascii="Arial" w:cs="Arial" w:eastAsia="Arial" w:hAnsi="Arial"/>
                <w:sz w:val="12"/>
                <w:szCs w:val="12"/>
                <w:b w:val="1"/>
                <w:bCs w:val="1"/>
                <w:color w:val="477157"/>
                <w:w w:val="96"/>
              </w:rPr>
              <w:t>Age</w:t>
            </w:r>
          </w:p>
        </w:tc>
        <w:tc>
          <w:tcPr>
            <w:tcW w:w="1180" w:type="dxa"/>
            <w:vAlign w:val="bottom"/>
            <w:tcBorders>
              <w:bottom w:val="single" w:sz="8" w:color="477157"/>
            </w:tcBorders>
          </w:tcPr>
          <w:p>
            <w:pPr>
              <w:jc w:val="center"/>
              <w:spacing w:after="0"/>
              <w:rPr>
                <w:sz w:val="20"/>
                <w:szCs w:val="20"/>
                <w:color w:val="auto"/>
              </w:rPr>
            </w:pPr>
            <w:r>
              <w:rPr>
                <w:rFonts w:ascii="Arial" w:cs="Arial" w:eastAsia="Arial" w:hAnsi="Arial"/>
                <w:sz w:val="12"/>
                <w:szCs w:val="12"/>
                <w:b w:val="1"/>
                <w:bCs w:val="1"/>
                <w:color w:val="477157"/>
                <w:w w:val="99"/>
              </w:rPr>
              <w:t>Tenure</w:t>
            </w:r>
          </w:p>
        </w:tc>
        <w:tc>
          <w:tcPr>
            <w:tcW w:w="1040" w:type="dxa"/>
            <w:vAlign w:val="bottom"/>
            <w:tcBorders>
              <w:bottom w:val="single" w:sz="8" w:color="477157"/>
            </w:tcBorders>
          </w:tcPr>
          <w:p>
            <w:pPr>
              <w:ind w:left="120"/>
              <w:spacing w:after="0"/>
              <w:rPr>
                <w:sz w:val="20"/>
                <w:szCs w:val="20"/>
                <w:color w:val="auto"/>
              </w:rPr>
            </w:pPr>
            <w:r>
              <w:rPr>
                <w:rFonts w:ascii="Arial" w:cs="Arial" w:eastAsia="Arial" w:hAnsi="Arial"/>
                <w:sz w:val="12"/>
                <w:szCs w:val="12"/>
                <w:b w:val="1"/>
                <w:bCs w:val="1"/>
                <w:color w:val="477157"/>
              </w:rPr>
              <w:t>Independent</w:t>
            </w:r>
          </w:p>
        </w:tc>
        <w:tc>
          <w:tcPr>
            <w:tcW w:w="500" w:type="dxa"/>
            <w:vAlign w:val="bottom"/>
            <w:tcBorders>
              <w:bottom w:val="single" w:sz="8" w:color="477157"/>
            </w:tcBorders>
          </w:tcPr>
          <w:p>
            <w:pPr>
              <w:ind w:left="120"/>
              <w:spacing w:after="0"/>
              <w:rPr>
                <w:sz w:val="20"/>
                <w:szCs w:val="20"/>
                <w:color w:val="auto"/>
              </w:rPr>
            </w:pPr>
            <w:r>
              <w:rPr>
                <w:rFonts w:ascii="Arial" w:cs="Arial" w:eastAsia="Arial" w:hAnsi="Arial"/>
                <w:sz w:val="12"/>
                <w:szCs w:val="12"/>
                <w:b w:val="1"/>
                <w:bCs w:val="1"/>
                <w:color w:val="477157"/>
              </w:rPr>
              <w:t>Audit</w:t>
            </w:r>
          </w:p>
        </w:tc>
        <w:tc>
          <w:tcPr>
            <w:tcW w:w="1080" w:type="dxa"/>
            <w:vAlign w:val="bottom"/>
            <w:tcBorders>
              <w:bottom w:val="single" w:sz="8" w:color="477157"/>
            </w:tcBorders>
          </w:tcPr>
          <w:p>
            <w:pPr>
              <w:jc w:val="center"/>
              <w:spacing w:after="0"/>
              <w:rPr>
                <w:sz w:val="20"/>
                <w:szCs w:val="20"/>
                <w:color w:val="auto"/>
              </w:rPr>
            </w:pPr>
            <w:r>
              <w:rPr>
                <w:rFonts w:ascii="Arial" w:cs="Arial" w:eastAsia="Arial" w:hAnsi="Arial"/>
                <w:sz w:val="12"/>
                <w:szCs w:val="12"/>
                <w:b w:val="1"/>
                <w:bCs w:val="1"/>
                <w:color w:val="477157"/>
              </w:rPr>
              <w:t>Compensation</w:t>
            </w:r>
          </w:p>
        </w:tc>
        <w:tc>
          <w:tcPr>
            <w:tcW w:w="840" w:type="dxa"/>
            <w:vAlign w:val="bottom"/>
            <w:tcBorders>
              <w:bottom w:val="single" w:sz="8" w:color="477157"/>
            </w:tcBorders>
          </w:tcPr>
          <w:p>
            <w:pPr>
              <w:jc w:val="center"/>
              <w:spacing w:after="0"/>
              <w:rPr>
                <w:sz w:val="20"/>
                <w:szCs w:val="20"/>
                <w:color w:val="auto"/>
              </w:rPr>
            </w:pPr>
            <w:r>
              <w:rPr>
                <w:rFonts w:ascii="Arial" w:cs="Arial" w:eastAsia="Arial" w:hAnsi="Arial"/>
                <w:sz w:val="12"/>
                <w:szCs w:val="12"/>
                <w:b w:val="1"/>
                <w:bCs w:val="1"/>
                <w:color w:val="477157"/>
              </w:rPr>
              <w:t>Governance</w:t>
            </w:r>
          </w:p>
        </w:tc>
        <w:tc>
          <w:tcPr>
            <w:tcW w:w="0" w:type="dxa"/>
            <w:vAlign w:val="bottom"/>
          </w:tcPr>
          <w:p>
            <w:pPr>
              <w:spacing w:after="0"/>
              <w:rPr>
                <w:sz w:val="1"/>
                <w:szCs w:val="1"/>
                <w:color w:val="auto"/>
              </w:rPr>
            </w:pPr>
          </w:p>
        </w:tc>
      </w:tr>
      <w:tr>
        <w:trPr>
          <w:trHeight w:val="339"/>
        </w:trPr>
        <w:tc>
          <w:tcPr>
            <w:tcW w:w="1200" w:type="dxa"/>
            <w:vAlign w:val="bottom"/>
            <w:gridSpan w:val="2"/>
          </w:tcPr>
          <w:p>
            <w:pPr>
              <w:spacing w:after="0"/>
              <w:rPr>
                <w:sz w:val="20"/>
                <w:szCs w:val="20"/>
                <w:color w:val="auto"/>
              </w:rPr>
            </w:pPr>
            <w:r>
              <w:rPr>
                <w:rFonts w:ascii="Arial" w:cs="Arial" w:eastAsia="Arial" w:hAnsi="Arial"/>
                <w:sz w:val="15"/>
                <w:szCs w:val="15"/>
                <w:color w:val="auto"/>
                <w:w w:val="95"/>
              </w:rPr>
              <w:t>Frank M. Clark, Jr.</w:t>
            </w:r>
          </w:p>
        </w:tc>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60" w:type="dxa"/>
            <w:vAlign w:val="bottom"/>
          </w:tcPr>
          <w:p>
            <w:pPr>
              <w:jc w:val="center"/>
              <w:ind w:left="748"/>
              <w:spacing w:after="0"/>
              <w:rPr>
                <w:sz w:val="20"/>
                <w:szCs w:val="20"/>
                <w:color w:val="auto"/>
              </w:rPr>
            </w:pPr>
            <w:r>
              <w:rPr>
                <w:rFonts w:ascii="Arial" w:cs="Arial" w:eastAsia="Arial" w:hAnsi="Arial"/>
                <w:sz w:val="15"/>
                <w:szCs w:val="15"/>
                <w:color w:val="auto"/>
                <w:w w:val="95"/>
              </w:rPr>
              <w:t>74</w:t>
            </w:r>
          </w:p>
        </w:tc>
        <w:tc>
          <w:tcPr>
            <w:tcW w:w="1180" w:type="dxa"/>
            <w:vAlign w:val="bottom"/>
          </w:tcPr>
          <w:p>
            <w:pPr>
              <w:jc w:val="center"/>
              <w:spacing w:after="0"/>
              <w:rPr>
                <w:sz w:val="20"/>
                <w:szCs w:val="20"/>
                <w:color w:val="auto"/>
              </w:rPr>
            </w:pPr>
            <w:r>
              <w:rPr>
                <w:rFonts w:ascii="Arial" w:cs="Arial" w:eastAsia="Arial" w:hAnsi="Arial"/>
                <w:sz w:val="15"/>
                <w:szCs w:val="15"/>
                <w:color w:val="auto"/>
                <w:w w:val="97"/>
              </w:rPr>
              <w:t>2002 - Present</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1200" w:type="dxa"/>
            <w:vAlign w:val="bottom"/>
            <w:tcBorders>
              <w:bottom w:val="single" w:sz="8" w:color="477157"/>
            </w:tcBorders>
            <w:gridSpan w:val="2"/>
          </w:tcPr>
          <w:p>
            <w:pPr>
              <w:spacing w:after="0"/>
              <w:rPr>
                <w:sz w:val="4"/>
                <w:szCs w:val="4"/>
                <w:color w:val="auto"/>
              </w:rPr>
            </w:pPr>
          </w:p>
        </w:tc>
        <w:tc>
          <w:tcPr>
            <w:tcW w:w="1700" w:type="dxa"/>
            <w:vAlign w:val="bottom"/>
            <w:tcBorders>
              <w:bottom w:val="single" w:sz="8" w:color="477157"/>
            </w:tcBorders>
          </w:tcPr>
          <w:p>
            <w:pPr>
              <w:spacing w:after="0"/>
              <w:rPr>
                <w:sz w:val="4"/>
                <w:szCs w:val="4"/>
                <w:color w:val="auto"/>
              </w:rPr>
            </w:pPr>
          </w:p>
        </w:tc>
        <w:tc>
          <w:tcPr>
            <w:tcW w:w="2460" w:type="dxa"/>
            <w:vAlign w:val="bottom"/>
            <w:tcBorders>
              <w:bottom w:val="single" w:sz="8" w:color="477157"/>
            </w:tcBorders>
          </w:tcPr>
          <w:p>
            <w:pPr>
              <w:spacing w:after="0"/>
              <w:rPr>
                <w:sz w:val="4"/>
                <w:szCs w:val="4"/>
                <w:color w:val="auto"/>
              </w:rPr>
            </w:pPr>
          </w:p>
        </w:tc>
        <w:tc>
          <w:tcPr>
            <w:tcW w:w="1260" w:type="dxa"/>
            <w:vAlign w:val="bottom"/>
            <w:tcBorders>
              <w:bottom w:val="single" w:sz="8" w:color="477157"/>
            </w:tcBorders>
          </w:tcPr>
          <w:p>
            <w:pPr>
              <w:spacing w:after="0"/>
              <w:rPr>
                <w:sz w:val="4"/>
                <w:szCs w:val="4"/>
                <w:color w:val="auto"/>
              </w:rPr>
            </w:pPr>
          </w:p>
        </w:tc>
        <w:tc>
          <w:tcPr>
            <w:tcW w:w="1180" w:type="dxa"/>
            <w:vAlign w:val="bottom"/>
            <w:tcBorders>
              <w:bottom w:val="single" w:sz="8" w:color="477157"/>
            </w:tcBorders>
          </w:tcPr>
          <w:p>
            <w:pPr>
              <w:spacing w:after="0"/>
              <w:rPr>
                <w:sz w:val="4"/>
                <w:szCs w:val="4"/>
                <w:color w:val="auto"/>
              </w:rPr>
            </w:pPr>
          </w:p>
        </w:tc>
        <w:tc>
          <w:tcPr>
            <w:tcW w:w="1040" w:type="dxa"/>
            <w:vAlign w:val="bottom"/>
            <w:tcBorders>
              <w:bottom w:val="single" w:sz="8" w:color="477157"/>
            </w:tcBorders>
          </w:tcPr>
          <w:p>
            <w:pPr>
              <w:spacing w:after="0"/>
              <w:rPr>
                <w:sz w:val="4"/>
                <w:szCs w:val="4"/>
                <w:color w:val="auto"/>
              </w:rPr>
            </w:pPr>
          </w:p>
        </w:tc>
        <w:tc>
          <w:tcPr>
            <w:tcW w:w="500" w:type="dxa"/>
            <w:vAlign w:val="bottom"/>
            <w:tcBorders>
              <w:bottom w:val="single" w:sz="8" w:color="477157"/>
            </w:tcBorders>
          </w:tcPr>
          <w:p>
            <w:pPr>
              <w:spacing w:after="0"/>
              <w:rPr>
                <w:sz w:val="4"/>
                <w:szCs w:val="4"/>
                <w:color w:val="auto"/>
              </w:rPr>
            </w:pPr>
          </w:p>
        </w:tc>
        <w:tc>
          <w:tcPr>
            <w:tcW w:w="1080" w:type="dxa"/>
            <w:vAlign w:val="bottom"/>
            <w:tcBorders>
              <w:bottom w:val="single" w:sz="8" w:color="477157"/>
            </w:tcBorders>
          </w:tcPr>
          <w:p>
            <w:pPr>
              <w:spacing w:after="0"/>
              <w:rPr>
                <w:sz w:val="4"/>
                <w:szCs w:val="4"/>
                <w:color w:val="auto"/>
              </w:rPr>
            </w:pPr>
          </w:p>
        </w:tc>
        <w:tc>
          <w:tcPr>
            <w:tcW w:w="840" w:type="dxa"/>
            <w:vAlign w:val="bottom"/>
            <w:tcBorders>
              <w:bottom w:val="single" w:sz="8" w:color="477157"/>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200" w:type="dxa"/>
            <w:vAlign w:val="bottom"/>
            <w:tcBorders>
              <w:bottom w:val="single" w:sz="8" w:color="477157"/>
            </w:tcBorders>
            <w:gridSpan w:val="2"/>
          </w:tcPr>
          <w:p>
            <w:pPr>
              <w:spacing w:after="0" w:line="161" w:lineRule="exact"/>
              <w:rPr>
                <w:sz w:val="20"/>
                <w:szCs w:val="20"/>
                <w:color w:val="auto"/>
              </w:rPr>
            </w:pPr>
            <w:r>
              <w:rPr>
                <w:rFonts w:ascii="Arial" w:cs="Arial" w:eastAsia="Arial" w:hAnsi="Arial"/>
                <w:sz w:val="15"/>
                <w:szCs w:val="15"/>
                <w:color w:val="auto"/>
                <w:w w:val="97"/>
              </w:rPr>
              <w:t>James C. Fish, Jr.</w:t>
            </w:r>
          </w:p>
        </w:tc>
        <w:tc>
          <w:tcPr>
            <w:tcW w:w="1700" w:type="dxa"/>
            <w:vAlign w:val="bottom"/>
            <w:tcBorders>
              <w:bottom w:val="single" w:sz="8" w:color="477157"/>
            </w:tcBorders>
          </w:tcPr>
          <w:p>
            <w:pPr>
              <w:spacing w:after="0"/>
              <w:rPr>
                <w:sz w:val="13"/>
                <w:szCs w:val="13"/>
                <w:color w:val="auto"/>
              </w:rPr>
            </w:pPr>
          </w:p>
        </w:tc>
        <w:tc>
          <w:tcPr>
            <w:tcW w:w="2460" w:type="dxa"/>
            <w:vAlign w:val="bottom"/>
            <w:tcBorders>
              <w:bottom w:val="single" w:sz="8" w:color="477157"/>
            </w:tcBorders>
          </w:tcPr>
          <w:p>
            <w:pPr>
              <w:spacing w:after="0"/>
              <w:rPr>
                <w:sz w:val="13"/>
                <w:szCs w:val="13"/>
                <w:color w:val="auto"/>
              </w:rPr>
            </w:pPr>
          </w:p>
        </w:tc>
        <w:tc>
          <w:tcPr>
            <w:tcW w:w="1260" w:type="dxa"/>
            <w:vAlign w:val="bottom"/>
            <w:tcBorders>
              <w:bottom w:val="single" w:sz="8" w:color="477157"/>
            </w:tcBorders>
          </w:tcPr>
          <w:p>
            <w:pPr>
              <w:jc w:val="center"/>
              <w:ind w:left="748"/>
              <w:spacing w:after="0" w:line="161" w:lineRule="exact"/>
              <w:rPr>
                <w:sz w:val="20"/>
                <w:szCs w:val="20"/>
                <w:color w:val="auto"/>
              </w:rPr>
            </w:pPr>
            <w:r>
              <w:rPr>
                <w:rFonts w:ascii="Arial" w:cs="Arial" w:eastAsia="Arial" w:hAnsi="Arial"/>
                <w:sz w:val="15"/>
                <w:szCs w:val="15"/>
                <w:color w:val="auto"/>
                <w:w w:val="95"/>
              </w:rPr>
              <w:t>57</w:t>
            </w:r>
          </w:p>
        </w:tc>
        <w:tc>
          <w:tcPr>
            <w:tcW w:w="1180" w:type="dxa"/>
            <w:vAlign w:val="bottom"/>
            <w:tcBorders>
              <w:bottom w:val="single" w:sz="8" w:color="477157"/>
            </w:tcBorders>
          </w:tcPr>
          <w:p>
            <w:pPr>
              <w:jc w:val="center"/>
              <w:spacing w:after="0" w:line="161" w:lineRule="exact"/>
              <w:rPr>
                <w:sz w:val="20"/>
                <w:szCs w:val="20"/>
                <w:color w:val="auto"/>
              </w:rPr>
            </w:pPr>
            <w:r>
              <w:rPr>
                <w:rFonts w:ascii="Arial" w:cs="Arial" w:eastAsia="Arial" w:hAnsi="Arial"/>
                <w:sz w:val="15"/>
                <w:szCs w:val="15"/>
                <w:color w:val="auto"/>
                <w:w w:val="97"/>
              </w:rPr>
              <w:t>2016 - Present</w:t>
            </w:r>
          </w:p>
        </w:tc>
        <w:tc>
          <w:tcPr>
            <w:tcW w:w="1040" w:type="dxa"/>
            <w:vAlign w:val="bottom"/>
            <w:tcBorders>
              <w:bottom w:val="single" w:sz="8" w:color="477157"/>
            </w:tcBorders>
          </w:tcPr>
          <w:p>
            <w:pPr>
              <w:spacing w:after="0"/>
              <w:rPr>
                <w:sz w:val="13"/>
                <w:szCs w:val="13"/>
                <w:color w:val="auto"/>
              </w:rPr>
            </w:pPr>
          </w:p>
        </w:tc>
        <w:tc>
          <w:tcPr>
            <w:tcW w:w="500" w:type="dxa"/>
            <w:vAlign w:val="bottom"/>
            <w:tcBorders>
              <w:bottom w:val="single" w:sz="8" w:color="477157"/>
            </w:tcBorders>
          </w:tcPr>
          <w:p>
            <w:pPr>
              <w:spacing w:after="0"/>
              <w:rPr>
                <w:sz w:val="13"/>
                <w:szCs w:val="13"/>
                <w:color w:val="auto"/>
              </w:rPr>
            </w:pPr>
          </w:p>
        </w:tc>
        <w:tc>
          <w:tcPr>
            <w:tcW w:w="1080" w:type="dxa"/>
            <w:vAlign w:val="bottom"/>
            <w:tcBorders>
              <w:bottom w:val="single" w:sz="8" w:color="477157"/>
            </w:tcBorders>
          </w:tcPr>
          <w:p>
            <w:pPr>
              <w:spacing w:after="0"/>
              <w:rPr>
                <w:sz w:val="13"/>
                <w:szCs w:val="13"/>
                <w:color w:val="auto"/>
              </w:rPr>
            </w:pPr>
          </w:p>
        </w:tc>
        <w:tc>
          <w:tcPr>
            <w:tcW w:w="840" w:type="dxa"/>
            <w:vAlign w:val="bottom"/>
            <w:tcBorders>
              <w:bottom w:val="single" w:sz="8" w:color="477157"/>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00" w:type="dxa"/>
            <w:vAlign w:val="bottom"/>
            <w:gridSpan w:val="2"/>
          </w:tcPr>
          <w:p>
            <w:pPr>
              <w:spacing w:after="0" w:line="171" w:lineRule="exact"/>
              <w:rPr>
                <w:sz w:val="20"/>
                <w:szCs w:val="20"/>
                <w:color w:val="auto"/>
              </w:rPr>
            </w:pPr>
            <w:r>
              <w:rPr>
                <w:rFonts w:ascii="Arial" w:cs="Arial" w:eastAsia="Arial" w:hAnsi="Arial"/>
                <w:sz w:val="15"/>
                <w:szCs w:val="15"/>
                <w:color w:val="auto"/>
              </w:rPr>
              <w:t>Andrés R. Gluski</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60" w:type="dxa"/>
            <w:vAlign w:val="bottom"/>
          </w:tcPr>
          <w:p>
            <w:pPr>
              <w:jc w:val="center"/>
              <w:ind w:left="748"/>
              <w:spacing w:after="0" w:line="171" w:lineRule="exact"/>
              <w:rPr>
                <w:sz w:val="20"/>
                <w:szCs w:val="20"/>
                <w:color w:val="auto"/>
              </w:rPr>
            </w:pPr>
            <w:r>
              <w:rPr>
                <w:rFonts w:ascii="Arial" w:cs="Arial" w:eastAsia="Arial" w:hAnsi="Arial"/>
                <w:sz w:val="15"/>
                <w:szCs w:val="15"/>
                <w:color w:val="auto"/>
                <w:w w:val="95"/>
              </w:rPr>
              <w:t>62</w:t>
            </w:r>
          </w:p>
        </w:tc>
        <w:tc>
          <w:tcPr>
            <w:tcW w:w="1180" w:type="dxa"/>
            <w:vAlign w:val="bottom"/>
          </w:tcPr>
          <w:p>
            <w:pPr>
              <w:jc w:val="center"/>
              <w:spacing w:after="0" w:line="171" w:lineRule="exact"/>
              <w:rPr>
                <w:sz w:val="20"/>
                <w:szCs w:val="20"/>
                <w:color w:val="auto"/>
              </w:rPr>
            </w:pPr>
            <w:r>
              <w:rPr>
                <w:rFonts w:ascii="Arial" w:cs="Arial" w:eastAsia="Arial" w:hAnsi="Arial"/>
                <w:sz w:val="15"/>
                <w:szCs w:val="15"/>
                <w:color w:val="auto"/>
                <w:w w:val="97"/>
              </w:rPr>
              <w:t>2015 - Present</w:t>
            </w: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200" w:type="dxa"/>
            <w:vAlign w:val="bottom"/>
            <w:tcBorders>
              <w:bottom w:val="single" w:sz="8" w:color="477157"/>
            </w:tcBorders>
            <w:gridSpan w:val="2"/>
          </w:tcPr>
          <w:p>
            <w:pPr>
              <w:spacing w:after="0"/>
              <w:rPr>
                <w:sz w:val="4"/>
                <w:szCs w:val="4"/>
                <w:color w:val="auto"/>
              </w:rPr>
            </w:pPr>
          </w:p>
        </w:tc>
        <w:tc>
          <w:tcPr>
            <w:tcW w:w="1700" w:type="dxa"/>
            <w:vAlign w:val="bottom"/>
            <w:tcBorders>
              <w:bottom w:val="single" w:sz="8" w:color="477157"/>
            </w:tcBorders>
          </w:tcPr>
          <w:p>
            <w:pPr>
              <w:spacing w:after="0"/>
              <w:rPr>
                <w:sz w:val="4"/>
                <w:szCs w:val="4"/>
                <w:color w:val="auto"/>
              </w:rPr>
            </w:pPr>
          </w:p>
        </w:tc>
        <w:tc>
          <w:tcPr>
            <w:tcW w:w="2460" w:type="dxa"/>
            <w:vAlign w:val="bottom"/>
            <w:tcBorders>
              <w:bottom w:val="single" w:sz="8" w:color="477157"/>
            </w:tcBorders>
          </w:tcPr>
          <w:p>
            <w:pPr>
              <w:spacing w:after="0"/>
              <w:rPr>
                <w:sz w:val="4"/>
                <w:szCs w:val="4"/>
                <w:color w:val="auto"/>
              </w:rPr>
            </w:pPr>
          </w:p>
        </w:tc>
        <w:tc>
          <w:tcPr>
            <w:tcW w:w="1260" w:type="dxa"/>
            <w:vAlign w:val="bottom"/>
            <w:tcBorders>
              <w:bottom w:val="single" w:sz="8" w:color="477157"/>
            </w:tcBorders>
          </w:tcPr>
          <w:p>
            <w:pPr>
              <w:spacing w:after="0"/>
              <w:rPr>
                <w:sz w:val="4"/>
                <w:szCs w:val="4"/>
                <w:color w:val="auto"/>
              </w:rPr>
            </w:pPr>
          </w:p>
        </w:tc>
        <w:tc>
          <w:tcPr>
            <w:tcW w:w="1180" w:type="dxa"/>
            <w:vAlign w:val="bottom"/>
            <w:tcBorders>
              <w:bottom w:val="single" w:sz="8" w:color="477157"/>
            </w:tcBorders>
          </w:tcPr>
          <w:p>
            <w:pPr>
              <w:spacing w:after="0"/>
              <w:rPr>
                <w:sz w:val="4"/>
                <w:szCs w:val="4"/>
                <w:color w:val="auto"/>
              </w:rPr>
            </w:pPr>
          </w:p>
        </w:tc>
        <w:tc>
          <w:tcPr>
            <w:tcW w:w="1040" w:type="dxa"/>
            <w:vAlign w:val="bottom"/>
            <w:tcBorders>
              <w:bottom w:val="single" w:sz="8" w:color="477157"/>
            </w:tcBorders>
          </w:tcPr>
          <w:p>
            <w:pPr>
              <w:spacing w:after="0"/>
              <w:rPr>
                <w:sz w:val="4"/>
                <w:szCs w:val="4"/>
                <w:color w:val="auto"/>
              </w:rPr>
            </w:pPr>
          </w:p>
        </w:tc>
        <w:tc>
          <w:tcPr>
            <w:tcW w:w="500" w:type="dxa"/>
            <w:vAlign w:val="bottom"/>
            <w:tcBorders>
              <w:bottom w:val="single" w:sz="8" w:color="477157"/>
            </w:tcBorders>
          </w:tcPr>
          <w:p>
            <w:pPr>
              <w:spacing w:after="0"/>
              <w:rPr>
                <w:sz w:val="4"/>
                <w:szCs w:val="4"/>
                <w:color w:val="auto"/>
              </w:rPr>
            </w:pPr>
          </w:p>
        </w:tc>
        <w:tc>
          <w:tcPr>
            <w:tcW w:w="1080" w:type="dxa"/>
            <w:vAlign w:val="bottom"/>
            <w:tcBorders>
              <w:bottom w:val="single" w:sz="8" w:color="477157"/>
            </w:tcBorders>
          </w:tcPr>
          <w:p>
            <w:pPr>
              <w:spacing w:after="0"/>
              <w:rPr>
                <w:sz w:val="4"/>
                <w:szCs w:val="4"/>
                <w:color w:val="auto"/>
              </w:rPr>
            </w:pPr>
          </w:p>
        </w:tc>
        <w:tc>
          <w:tcPr>
            <w:tcW w:w="840" w:type="dxa"/>
            <w:vAlign w:val="bottom"/>
            <w:tcBorders>
              <w:bottom w:val="single" w:sz="8" w:color="477157"/>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200" w:type="dxa"/>
            <w:vAlign w:val="bottom"/>
            <w:gridSpan w:val="2"/>
          </w:tcPr>
          <w:p>
            <w:pPr>
              <w:spacing w:after="0" w:line="171" w:lineRule="exact"/>
              <w:rPr>
                <w:sz w:val="20"/>
                <w:szCs w:val="20"/>
                <w:color w:val="auto"/>
              </w:rPr>
            </w:pPr>
            <w:r>
              <w:rPr>
                <w:rFonts w:ascii="Arial" w:cs="Arial" w:eastAsia="Arial" w:hAnsi="Arial"/>
                <w:sz w:val="15"/>
                <w:szCs w:val="15"/>
                <w:color w:val="auto"/>
              </w:rPr>
              <w:t>Victoria M. Holt</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60" w:type="dxa"/>
            <w:vAlign w:val="bottom"/>
          </w:tcPr>
          <w:p>
            <w:pPr>
              <w:jc w:val="center"/>
              <w:ind w:left="748"/>
              <w:spacing w:after="0" w:line="171" w:lineRule="exact"/>
              <w:rPr>
                <w:sz w:val="20"/>
                <w:szCs w:val="20"/>
                <w:color w:val="auto"/>
              </w:rPr>
            </w:pPr>
            <w:r>
              <w:rPr>
                <w:rFonts w:ascii="Arial" w:cs="Arial" w:eastAsia="Arial" w:hAnsi="Arial"/>
                <w:sz w:val="15"/>
                <w:szCs w:val="15"/>
                <w:color w:val="auto"/>
                <w:w w:val="95"/>
              </w:rPr>
              <w:t>62</w:t>
            </w:r>
          </w:p>
        </w:tc>
        <w:tc>
          <w:tcPr>
            <w:tcW w:w="1180" w:type="dxa"/>
            <w:vAlign w:val="bottom"/>
          </w:tcPr>
          <w:p>
            <w:pPr>
              <w:jc w:val="center"/>
              <w:spacing w:after="0" w:line="171" w:lineRule="exact"/>
              <w:rPr>
                <w:sz w:val="20"/>
                <w:szCs w:val="20"/>
                <w:color w:val="auto"/>
              </w:rPr>
            </w:pPr>
            <w:r>
              <w:rPr>
                <w:rFonts w:ascii="Arial" w:cs="Arial" w:eastAsia="Arial" w:hAnsi="Arial"/>
                <w:sz w:val="15"/>
                <w:szCs w:val="15"/>
                <w:color w:val="auto"/>
                <w:w w:val="97"/>
              </w:rPr>
              <w:t>2013 - Present</w:t>
            </w: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900" w:type="dxa"/>
            <w:vAlign w:val="bottom"/>
            <w:tcBorders>
              <w:bottom w:val="single" w:sz="8" w:color="477157"/>
            </w:tcBorders>
            <w:gridSpan w:val="3"/>
          </w:tcPr>
          <w:p>
            <w:pPr>
              <w:spacing w:after="0"/>
              <w:rPr>
                <w:sz w:val="4"/>
                <w:szCs w:val="4"/>
                <w:color w:val="auto"/>
              </w:rPr>
            </w:pPr>
          </w:p>
        </w:tc>
        <w:tc>
          <w:tcPr>
            <w:tcW w:w="2460" w:type="dxa"/>
            <w:vAlign w:val="bottom"/>
            <w:tcBorders>
              <w:bottom w:val="single" w:sz="8" w:color="477157"/>
            </w:tcBorders>
          </w:tcPr>
          <w:p>
            <w:pPr>
              <w:spacing w:after="0"/>
              <w:rPr>
                <w:sz w:val="4"/>
                <w:szCs w:val="4"/>
                <w:color w:val="auto"/>
              </w:rPr>
            </w:pPr>
          </w:p>
        </w:tc>
        <w:tc>
          <w:tcPr>
            <w:tcW w:w="1260" w:type="dxa"/>
            <w:vAlign w:val="bottom"/>
            <w:tcBorders>
              <w:bottom w:val="single" w:sz="8" w:color="477157"/>
            </w:tcBorders>
          </w:tcPr>
          <w:p>
            <w:pPr>
              <w:spacing w:after="0"/>
              <w:rPr>
                <w:sz w:val="4"/>
                <w:szCs w:val="4"/>
                <w:color w:val="auto"/>
              </w:rPr>
            </w:pPr>
          </w:p>
        </w:tc>
        <w:tc>
          <w:tcPr>
            <w:tcW w:w="1180" w:type="dxa"/>
            <w:vAlign w:val="bottom"/>
            <w:tcBorders>
              <w:bottom w:val="single" w:sz="8" w:color="477157"/>
            </w:tcBorders>
          </w:tcPr>
          <w:p>
            <w:pPr>
              <w:spacing w:after="0"/>
              <w:rPr>
                <w:sz w:val="4"/>
                <w:szCs w:val="4"/>
                <w:color w:val="auto"/>
              </w:rPr>
            </w:pPr>
          </w:p>
        </w:tc>
        <w:tc>
          <w:tcPr>
            <w:tcW w:w="1040" w:type="dxa"/>
            <w:vAlign w:val="bottom"/>
            <w:tcBorders>
              <w:bottom w:val="single" w:sz="8" w:color="477157"/>
            </w:tcBorders>
          </w:tcPr>
          <w:p>
            <w:pPr>
              <w:spacing w:after="0"/>
              <w:rPr>
                <w:sz w:val="4"/>
                <w:szCs w:val="4"/>
                <w:color w:val="auto"/>
              </w:rPr>
            </w:pPr>
          </w:p>
        </w:tc>
        <w:tc>
          <w:tcPr>
            <w:tcW w:w="500" w:type="dxa"/>
            <w:vAlign w:val="bottom"/>
            <w:tcBorders>
              <w:bottom w:val="single" w:sz="8" w:color="477157"/>
            </w:tcBorders>
          </w:tcPr>
          <w:p>
            <w:pPr>
              <w:spacing w:after="0"/>
              <w:rPr>
                <w:sz w:val="4"/>
                <w:szCs w:val="4"/>
                <w:color w:val="auto"/>
              </w:rPr>
            </w:pPr>
          </w:p>
        </w:tc>
        <w:tc>
          <w:tcPr>
            <w:tcW w:w="1080" w:type="dxa"/>
            <w:vAlign w:val="bottom"/>
            <w:tcBorders>
              <w:bottom w:val="single" w:sz="8" w:color="477157"/>
            </w:tcBorders>
          </w:tcPr>
          <w:p>
            <w:pPr>
              <w:spacing w:after="0"/>
              <w:rPr>
                <w:sz w:val="4"/>
                <w:szCs w:val="4"/>
                <w:color w:val="auto"/>
              </w:rPr>
            </w:pPr>
          </w:p>
        </w:tc>
        <w:tc>
          <w:tcPr>
            <w:tcW w:w="840" w:type="dxa"/>
            <w:vAlign w:val="bottom"/>
            <w:tcBorders>
              <w:bottom w:val="single" w:sz="8" w:color="477157"/>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900" w:type="dxa"/>
            <w:vAlign w:val="bottom"/>
            <w:gridSpan w:val="3"/>
          </w:tcPr>
          <w:p>
            <w:pPr>
              <w:spacing w:after="0" w:line="171" w:lineRule="exact"/>
              <w:rPr>
                <w:sz w:val="20"/>
                <w:szCs w:val="20"/>
                <w:color w:val="auto"/>
              </w:rPr>
            </w:pPr>
            <w:r>
              <w:rPr>
                <w:rFonts w:ascii="Arial" w:cs="Arial" w:eastAsia="Arial" w:hAnsi="Arial"/>
                <w:sz w:val="15"/>
                <w:szCs w:val="15"/>
                <w:color w:val="auto"/>
              </w:rPr>
              <w:t>Kathleen M. Mazzarella</w:t>
            </w:r>
          </w:p>
        </w:tc>
        <w:tc>
          <w:tcPr>
            <w:tcW w:w="2460" w:type="dxa"/>
            <w:vAlign w:val="bottom"/>
          </w:tcPr>
          <w:p>
            <w:pPr>
              <w:spacing w:after="0"/>
              <w:rPr>
                <w:sz w:val="14"/>
                <w:szCs w:val="14"/>
                <w:color w:val="auto"/>
              </w:rPr>
            </w:pPr>
          </w:p>
        </w:tc>
        <w:tc>
          <w:tcPr>
            <w:tcW w:w="1260" w:type="dxa"/>
            <w:vAlign w:val="bottom"/>
          </w:tcPr>
          <w:p>
            <w:pPr>
              <w:jc w:val="center"/>
              <w:ind w:left="748"/>
              <w:spacing w:after="0" w:line="171" w:lineRule="exact"/>
              <w:rPr>
                <w:sz w:val="20"/>
                <w:szCs w:val="20"/>
                <w:color w:val="auto"/>
              </w:rPr>
            </w:pPr>
            <w:r>
              <w:rPr>
                <w:rFonts w:ascii="Arial" w:cs="Arial" w:eastAsia="Arial" w:hAnsi="Arial"/>
                <w:sz w:val="15"/>
                <w:szCs w:val="15"/>
                <w:color w:val="auto"/>
                <w:w w:val="95"/>
              </w:rPr>
              <w:t>60</w:t>
            </w:r>
          </w:p>
        </w:tc>
        <w:tc>
          <w:tcPr>
            <w:tcW w:w="1180" w:type="dxa"/>
            <w:vAlign w:val="bottom"/>
          </w:tcPr>
          <w:p>
            <w:pPr>
              <w:jc w:val="center"/>
              <w:spacing w:after="0" w:line="171" w:lineRule="exact"/>
              <w:rPr>
                <w:sz w:val="20"/>
                <w:szCs w:val="20"/>
                <w:color w:val="auto"/>
              </w:rPr>
            </w:pPr>
            <w:r>
              <w:rPr>
                <w:rFonts w:ascii="Arial" w:cs="Arial" w:eastAsia="Arial" w:hAnsi="Arial"/>
                <w:sz w:val="15"/>
                <w:szCs w:val="15"/>
                <w:color w:val="auto"/>
                <w:w w:val="97"/>
              </w:rPr>
              <w:t>2015 - Present</w:t>
            </w: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900" w:type="dxa"/>
            <w:vAlign w:val="bottom"/>
            <w:tcBorders>
              <w:bottom w:val="single" w:sz="8" w:color="477157"/>
            </w:tcBorders>
            <w:gridSpan w:val="3"/>
          </w:tcPr>
          <w:p>
            <w:pPr>
              <w:spacing w:after="0"/>
              <w:rPr>
                <w:sz w:val="4"/>
                <w:szCs w:val="4"/>
                <w:color w:val="auto"/>
              </w:rPr>
            </w:pPr>
          </w:p>
        </w:tc>
        <w:tc>
          <w:tcPr>
            <w:tcW w:w="2460" w:type="dxa"/>
            <w:vAlign w:val="bottom"/>
            <w:tcBorders>
              <w:bottom w:val="single" w:sz="8" w:color="477157"/>
            </w:tcBorders>
          </w:tcPr>
          <w:p>
            <w:pPr>
              <w:spacing w:after="0"/>
              <w:rPr>
                <w:sz w:val="4"/>
                <w:szCs w:val="4"/>
                <w:color w:val="auto"/>
              </w:rPr>
            </w:pPr>
          </w:p>
        </w:tc>
        <w:tc>
          <w:tcPr>
            <w:tcW w:w="1260" w:type="dxa"/>
            <w:vAlign w:val="bottom"/>
            <w:tcBorders>
              <w:bottom w:val="single" w:sz="8" w:color="477157"/>
            </w:tcBorders>
          </w:tcPr>
          <w:p>
            <w:pPr>
              <w:spacing w:after="0"/>
              <w:rPr>
                <w:sz w:val="4"/>
                <w:szCs w:val="4"/>
                <w:color w:val="auto"/>
              </w:rPr>
            </w:pPr>
          </w:p>
        </w:tc>
        <w:tc>
          <w:tcPr>
            <w:tcW w:w="1180" w:type="dxa"/>
            <w:vAlign w:val="bottom"/>
            <w:tcBorders>
              <w:bottom w:val="single" w:sz="8" w:color="477157"/>
            </w:tcBorders>
          </w:tcPr>
          <w:p>
            <w:pPr>
              <w:spacing w:after="0"/>
              <w:rPr>
                <w:sz w:val="4"/>
                <w:szCs w:val="4"/>
                <w:color w:val="auto"/>
              </w:rPr>
            </w:pPr>
          </w:p>
        </w:tc>
        <w:tc>
          <w:tcPr>
            <w:tcW w:w="1040" w:type="dxa"/>
            <w:vAlign w:val="bottom"/>
            <w:tcBorders>
              <w:bottom w:val="single" w:sz="8" w:color="477157"/>
            </w:tcBorders>
          </w:tcPr>
          <w:p>
            <w:pPr>
              <w:spacing w:after="0"/>
              <w:rPr>
                <w:sz w:val="4"/>
                <w:szCs w:val="4"/>
                <w:color w:val="auto"/>
              </w:rPr>
            </w:pPr>
          </w:p>
        </w:tc>
        <w:tc>
          <w:tcPr>
            <w:tcW w:w="500" w:type="dxa"/>
            <w:vAlign w:val="bottom"/>
            <w:tcBorders>
              <w:bottom w:val="single" w:sz="8" w:color="477157"/>
            </w:tcBorders>
          </w:tcPr>
          <w:p>
            <w:pPr>
              <w:spacing w:after="0"/>
              <w:rPr>
                <w:sz w:val="4"/>
                <w:szCs w:val="4"/>
                <w:color w:val="auto"/>
              </w:rPr>
            </w:pPr>
          </w:p>
        </w:tc>
        <w:tc>
          <w:tcPr>
            <w:tcW w:w="1080" w:type="dxa"/>
            <w:vAlign w:val="bottom"/>
            <w:tcBorders>
              <w:bottom w:val="single" w:sz="8" w:color="477157"/>
            </w:tcBorders>
          </w:tcPr>
          <w:p>
            <w:pPr>
              <w:spacing w:after="0"/>
              <w:rPr>
                <w:sz w:val="4"/>
                <w:szCs w:val="4"/>
                <w:color w:val="auto"/>
              </w:rPr>
            </w:pPr>
          </w:p>
        </w:tc>
        <w:tc>
          <w:tcPr>
            <w:tcW w:w="840" w:type="dxa"/>
            <w:vAlign w:val="bottom"/>
            <w:tcBorders>
              <w:bottom w:val="single" w:sz="8" w:color="477157"/>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900" w:type="dxa"/>
            <w:vAlign w:val="bottom"/>
            <w:gridSpan w:val="3"/>
          </w:tcPr>
          <w:p>
            <w:pPr>
              <w:spacing w:after="0" w:line="171" w:lineRule="exact"/>
              <w:rPr>
                <w:sz w:val="20"/>
                <w:szCs w:val="20"/>
                <w:color w:val="auto"/>
              </w:rPr>
            </w:pPr>
            <w:r>
              <w:rPr>
                <w:rFonts w:ascii="Arial" w:cs="Arial" w:eastAsia="Arial" w:hAnsi="Arial"/>
                <w:sz w:val="15"/>
                <w:szCs w:val="15"/>
                <w:color w:val="auto"/>
              </w:rPr>
              <w:t>William B. Plummer</w:t>
            </w:r>
          </w:p>
        </w:tc>
        <w:tc>
          <w:tcPr>
            <w:tcW w:w="2460" w:type="dxa"/>
            <w:vAlign w:val="bottom"/>
          </w:tcPr>
          <w:p>
            <w:pPr>
              <w:spacing w:after="0"/>
              <w:rPr>
                <w:sz w:val="14"/>
                <w:szCs w:val="14"/>
                <w:color w:val="auto"/>
              </w:rPr>
            </w:pPr>
          </w:p>
        </w:tc>
        <w:tc>
          <w:tcPr>
            <w:tcW w:w="1260" w:type="dxa"/>
            <w:vAlign w:val="bottom"/>
          </w:tcPr>
          <w:p>
            <w:pPr>
              <w:jc w:val="center"/>
              <w:ind w:left="748"/>
              <w:spacing w:after="0" w:line="171" w:lineRule="exact"/>
              <w:rPr>
                <w:sz w:val="20"/>
                <w:szCs w:val="20"/>
                <w:color w:val="auto"/>
              </w:rPr>
            </w:pPr>
            <w:r>
              <w:rPr>
                <w:rFonts w:ascii="Arial" w:cs="Arial" w:eastAsia="Arial" w:hAnsi="Arial"/>
                <w:sz w:val="15"/>
                <w:szCs w:val="15"/>
                <w:color w:val="auto"/>
                <w:w w:val="95"/>
              </w:rPr>
              <w:t>61</w:t>
            </w:r>
          </w:p>
        </w:tc>
        <w:tc>
          <w:tcPr>
            <w:tcW w:w="1180" w:type="dxa"/>
            <w:vAlign w:val="bottom"/>
          </w:tcPr>
          <w:p>
            <w:pPr>
              <w:jc w:val="center"/>
              <w:spacing w:after="0" w:line="171" w:lineRule="exact"/>
              <w:rPr>
                <w:sz w:val="20"/>
                <w:szCs w:val="20"/>
                <w:color w:val="auto"/>
              </w:rPr>
            </w:pPr>
            <w:r>
              <w:rPr>
                <w:rFonts w:ascii="Arial" w:cs="Arial" w:eastAsia="Arial" w:hAnsi="Arial"/>
                <w:sz w:val="15"/>
                <w:szCs w:val="15"/>
                <w:color w:val="auto"/>
                <w:w w:val="97"/>
              </w:rPr>
              <w:t>2019 - Present</w:t>
            </w: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200" w:type="dxa"/>
            <w:vAlign w:val="bottom"/>
            <w:tcBorders>
              <w:bottom w:val="single" w:sz="8" w:color="477157"/>
            </w:tcBorders>
            <w:gridSpan w:val="2"/>
          </w:tcPr>
          <w:p>
            <w:pPr>
              <w:spacing w:after="0"/>
              <w:rPr>
                <w:sz w:val="4"/>
                <w:szCs w:val="4"/>
                <w:color w:val="auto"/>
              </w:rPr>
            </w:pPr>
          </w:p>
        </w:tc>
        <w:tc>
          <w:tcPr>
            <w:tcW w:w="1700" w:type="dxa"/>
            <w:vAlign w:val="bottom"/>
            <w:tcBorders>
              <w:bottom w:val="single" w:sz="8" w:color="477157"/>
            </w:tcBorders>
          </w:tcPr>
          <w:p>
            <w:pPr>
              <w:spacing w:after="0"/>
              <w:rPr>
                <w:sz w:val="4"/>
                <w:szCs w:val="4"/>
                <w:color w:val="auto"/>
              </w:rPr>
            </w:pPr>
          </w:p>
        </w:tc>
        <w:tc>
          <w:tcPr>
            <w:tcW w:w="2460" w:type="dxa"/>
            <w:vAlign w:val="bottom"/>
            <w:tcBorders>
              <w:bottom w:val="single" w:sz="8" w:color="477157"/>
            </w:tcBorders>
          </w:tcPr>
          <w:p>
            <w:pPr>
              <w:spacing w:after="0"/>
              <w:rPr>
                <w:sz w:val="4"/>
                <w:szCs w:val="4"/>
                <w:color w:val="auto"/>
              </w:rPr>
            </w:pPr>
          </w:p>
        </w:tc>
        <w:tc>
          <w:tcPr>
            <w:tcW w:w="1260" w:type="dxa"/>
            <w:vAlign w:val="bottom"/>
            <w:tcBorders>
              <w:bottom w:val="single" w:sz="8" w:color="477157"/>
            </w:tcBorders>
          </w:tcPr>
          <w:p>
            <w:pPr>
              <w:spacing w:after="0"/>
              <w:rPr>
                <w:sz w:val="4"/>
                <w:szCs w:val="4"/>
                <w:color w:val="auto"/>
              </w:rPr>
            </w:pPr>
          </w:p>
        </w:tc>
        <w:tc>
          <w:tcPr>
            <w:tcW w:w="1180" w:type="dxa"/>
            <w:vAlign w:val="bottom"/>
            <w:tcBorders>
              <w:bottom w:val="single" w:sz="8" w:color="477157"/>
            </w:tcBorders>
          </w:tcPr>
          <w:p>
            <w:pPr>
              <w:spacing w:after="0"/>
              <w:rPr>
                <w:sz w:val="4"/>
                <w:szCs w:val="4"/>
                <w:color w:val="auto"/>
              </w:rPr>
            </w:pPr>
          </w:p>
        </w:tc>
        <w:tc>
          <w:tcPr>
            <w:tcW w:w="1040" w:type="dxa"/>
            <w:vAlign w:val="bottom"/>
            <w:tcBorders>
              <w:bottom w:val="single" w:sz="8" w:color="477157"/>
            </w:tcBorders>
          </w:tcPr>
          <w:p>
            <w:pPr>
              <w:spacing w:after="0"/>
              <w:rPr>
                <w:sz w:val="4"/>
                <w:szCs w:val="4"/>
                <w:color w:val="auto"/>
              </w:rPr>
            </w:pPr>
          </w:p>
        </w:tc>
        <w:tc>
          <w:tcPr>
            <w:tcW w:w="500" w:type="dxa"/>
            <w:vAlign w:val="bottom"/>
            <w:tcBorders>
              <w:bottom w:val="single" w:sz="8" w:color="477157"/>
            </w:tcBorders>
          </w:tcPr>
          <w:p>
            <w:pPr>
              <w:spacing w:after="0"/>
              <w:rPr>
                <w:sz w:val="4"/>
                <w:szCs w:val="4"/>
                <w:color w:val="auto"/>
              </w:rPr>
            </w:pPr>
          </w:p>
        </w:tc>
        <w:tc>
          <w:tcPr>
            <w:tcW w:w="1080" w:type="dxa"/>
            <w:vAlign w:val="bottom"/>
            <w:tcBorders>
              <w:bottom w:val="single" w:sz="8" w:color="477157"/>
            </w:tcBorders>
          </w:tcPr>
          <w:p>
            <w:pPr>
              <w:spacing w:after="0"/>
              <w:rPr>
                <w:sz w:val="4"/>
                <w:szCs w:val="4"/>
                <w:color w:val="auto"/>
              </w:rPr>
            </w:pPr>
          </w:p>
        </w:tc>
        <w:tc>
          <w:tcPr>
            <w:tcW w:w="840" w:type="dxa"/>
            <w:vAlign w:val="bottom"/>
            <w:tcBorders>
              <w:bottom w:val="single" w:sz="8" w:color="477157"/>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200" w:type="dxa"/>
            <w:vAlign w:val="bottom"/>
            <w:gridSpan w:val="2"/>
          </w:tcPr>
          <w:p>
            <w:pPr>
              <w:spacing w:after="0" w:line="171" w:lineRule="exact"/>
              <w:rPr>
                <w:sz w:val="20"/>
                <w:szCs w:val="20"/>
                <w:color w:val="auto"/>
              </w:rPr>
            </w:pPr>
            <w:r>
              <w:rPr>
                <w:rFonts w:ascii="Arial" w:cs="Arial" w:eastAsia="Arial" w:hAnsi="Arial"/>
                <w:sz w:val="15"/>
                <w:szCs w:val="15"/>
                <w:color w:val="auto"/>
              </w:rPr>
              <w:t>John C. Pope</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60" w:type="dxa"/>
            <w:vAlign w:val="bottom"/>
          </w:tcPr>
          <w:p>
            <w:pPr>
              <w:jc w:val="center"/>
              <w:ind w:left="748"/>
              <w:spacing w:after="0" w:line="171" w:lineRule="exact"/>
              <w:rPr>
                <w:sz w:val="20"/>
                <w:szCs w:val="20"/>
                <w:color w:val="auto"/>
              </w:rPr>
            </w:pPr>
            <w:r>
              <w:rPr>
                <w:rFonts w:ascii="Arial" w:cs="Arial" w:eastAsia="Arial" w:hAnsi="Arial"/>
                <w:sz w:val="15"/>
                <w:szCs w:val="15"/>
                <w:color w:val="auto"/>
                <w:w w:val="95"/>
              </w:rPr>
              <w:t>70</w:t>
            </w:r>
          </w:p>
        </w:tc>
        <w:tc>
          <w:tcPr>
            <w:tcW w:w="1180" w:type="dxa"/>
            <w:vAlign w:val="bottom"/>
          </w:tcPr>
          <w:p>
            <w:pPr>
              <w:jc w:val="center"/>
              <w:spacing w:after="0" w:line="171" w:lineRule="exact"/>
              <w:rPr>
                <w:sz w:val="20"/>
                <w:szCs w:val="20"/>
                <w:color w:val="auto"/>
              </w:rPr>
            </w:pPr>
            <w:r>
              <w:rPr>
                <w:rFonts w:ascii="Arial" w:cs="Arial" w:eastAsia="Arial" w:hAnsi="Arial"/>
                <w:sz w:val="15"/>
                <w:szCs w:val="15"/>
                <w:color w:val="auto"/>
                <w:w w:val="97"/>
              </w:rPr>
              <w:t>1997 - Present</w:t>
            </w: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900" w:type="dxa"/>
            <w:vAlign w:val="bottom"/>
            <w:tcBorders>
              <w:bottom w:val="single" w:sz="8" w:color="477157"/>
            </w:tcBorders>
            <w:gridSpan w:val="3"/>
          </w:tcPr>
          <w:p>
            <w:pPr>
              <w:spacing w:after="0"/>
              <w:rPr>
                <w:sz w:val="4"/>
                <w:szCs w:val="4"/>
                <w:color w:val="auto"/>
              </w:rPr>
            </w:pPr>
          </w:p>
        </w:tc>
        <w:tc>
          <w:tcPr>
            <w:tcW w:w="2460" w:type="dxa"/>
            <w:vAlign w:val="bottom"/>
            <w:tcBorders>
              <w:bottom w:val="single" w:sz="8" w:color="477157"/>
            </w:tcBorders>
          </w:tcPr>
          <w:p>
            <w:pPr>
              <w:spacing w:after="0"/>
              <w:rPr>
                <w:sz w:val="4"/>
                <w:szCs w:val="4"/>
                <w:color w:val="auto"/>
              </w:rPr>
            </w:pPr>
          </w:p>
        </w:tc>
        <w:tc>
          <w:tcPr>
            <w:tcW w:w="1260" w:type="dxa"/>
            <w:vAlign w:val="bottom"/>
            <w:tcBorders>
              <w:bottom w:val="single" w:sz="8" w:color="477157"/>
            </w:tcBorders>
          </w:tcPr>
          <w:p>
            <w:pPr>
              <w:spacing w:after="0"/>
              <w:rPr>
                <w:sz w:val="4"/>
                <w:szCs w:val="4"/>
                <w:color w:val="auto"/>
              </w:rPr>
            </w:pPr>
          </w:p>
        </w:tc>
        <w:tc>
          <w:tcPr>
            <w:tcW w:w="1180" w:type="dxa"/>
            <w:vAlign w:val="bottom"/>
            <w:tcBorders>
              <w:bottom w:val="single" w:sz="8" w:color="477157"/>
            </w:tcBorders>
          </w:tcPr>
          <w:p>
            <w:pPr>
              <w:spacing w:after="0"/>
              <w:rPr>
                <w:sz w:val="4"/>
                <w:szCs w:val="4"/>
                <w:color w:val="auto"/>
              </w:rPr>
            </w:pPr>
          </w:p>
        </w:tc>
        <w:tc>
          <w:tcPr>
            <w:tcW w:w="1040" w:type="dxa"/>
            <w:vAlign w:val="bottom"/>
            <w:tcBorders>
              <w:bottom w:val="single" w:sz="8" w:color="477157"/>
            </w:tcBorders>
          </w:tcPr>
          <w:p>
            <w:pPr>
              <w:spacing w:after="0"/>
              <w:rPr>
                <w:sz w:val="4"/>
                <w:szCs w:val="4"/>
                <w:color w:val="auto"/>
              </w:rPr>
            </w:pPr>
          </w:p>
        </w:tc>
        <w:tc>
          <w:tcPr>
            <w:tcW w:w="500" w:type="dxa"/>
            <w:vAlign w:val="bottom"/>
            <w:tcBorders>
              <w:bottom w:val="single" w:sz="8" w:color="477157"/>
            </w:tcBorders>
          </w:tcPr>
          <w:p>
            <w:pPr>
              <w:spacing w:after="0"/>
              <w:rPr>
                <w:sz w:val="4"/>
                <w:szCs w:val="4"/>
                <w:color w:val="auto"/>
              </w:rPr>
            </w:pPr>
          </w:p>
        </w:tc>
        <w:tc>
          <w:tcPr>
            <w:tcW w:w="1080" w:type="dxa"/>
            <w:vAlign w:val="bottom"/>
            <w:tcBorders>
              <w:bottom w:val="single" w:sz="8" w:color="477157"/>
            </w:tcBorders>
          </w:tcPr>
          <w:p>
            <w:pPr>
              <w:spacing w:after="0"/>
              <w:rPr>
                <w:sz w:val="4"/>
                <w:szCs w:val="4"/>
                <w:color w:val="auto"/>
              </w:rPr>
            </w:pPr>
          </w:p>
        </w:tc>
        <w:tc>
          <w:tcPr>
            <w:tcW w:w="840" w:type="dxa"/>
            <w:vAlign w:val="bottom"/>
            <w:tcBorders>
              <w:bottom w:val="single" w:sz="8" w:color="477157"/>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900" w:type="dxa"/>
            <w:vAlign w:val="bottom"/>
            <w:gridSpan w:val="3"/>
          </w:tcPr>
          <w:p>
            <w:pPr>
              <w:spacing w:after="0" w:line="171" w:lineRule="exact"/>
              <w:rPr>
                <w:sz w:val="20"/>
                <w:szCs w:val="20"/>
                <w:color w:val="auto"/>
              </w:rPr>
            </w:pPr>
            <w:r>
              <w:rPr>
                <w:rFonts w:ascii="Arial" w:cs="Arial" w:eastAsia="Arial" w:hAnsi="Arial"/>
                <w:sz w:val="15"/>
                <w:szCs w:val="15"/>
                <w:color w:val="auto"/>
              </w:rPr>
              <w:t>Thomas H. Weidemeyer</w:t>
            </w:r>
          </w:p>
        </w:tc>
        <w:tc>
          <w:tcPr>
            <w:tcW w:w="2460" w:type="dxa"/>
            <w:vAlign w:val="bottom"/>
          </w:tcPr>
          <w:p>
            <w:pPr>
              <w:spacing w:after="0"/>
              <w:rPr>
                <w:sz w:val="14"/>
                <w:szCs w:val="14"/>
                <w:color w:val="auto"/>
              </w:rPr>
            </w:pPr>
          </w:p>
        </w:tc>
        <w:tc>
          <w:tcPr>
            <w:tcW w:w="1260" w:type="dxa"/>
            <w:vAlign w:val="bottom"/>
          </w:tcPr>
          <w:p>
            <w:pPr>
              <w:jc w:val="center"/>
              <w:ind w:left="748"/>
              <w:spacing w:after="0" w:line="171" w:lineRule="exact"/>
              <w:rPr>
                <w:sz w:val="20"/>
                <w:szCs w:val="20"/>
                <w:color w:val="auto"/>
              </w:rPr>
            </w:pPr>
            <w:r>
              <w:rPr>
                <w:rFonts w:ascii="Arial" w:cs="Arial" w:eastAsia="Arial" w:hAnsi="Arial"/>
                <w:sz w:val="15"/>
                <w:szCs w:val="15"/>
                <w:color w:val="auto"/>
                <w:w w:val="95"/>
              </w:rPr>
              <w:t>72</w:t>
            </w:r>
          </w:p>
        </w:tc>
        <w:tc>
          <w:tcPr>
            <w:tcW w:w="1180" w:type="dxa"/>
            <w:vAlign w:val="bottom"/>
          </w:tcPr>
          <w:p>
            <w:pPr>
              <w:jc w:val="center"/>
              <w:spacing w:after="0" w:line="171" w:lineRule="exact"/>
              <w:rPr>
                <w:sz w:val="20"/>
                <w:szCs w:val="20"/>
                <w:color w:val="auto"/>
              </w:rPr>
            </w:pPr>
            <w:r>
              <w:rPr>
                <w:rFonts w:ascii="Arial" w:cs="Arial" w:eastAsia="Arial" w:hAnsi="Arial"/>
                <w:sz w:val="15"/>
                <w:szCs w:val="15"/>
                <w:color w:val="auto"/>
                <w:w w:val="97"/>
              </w:rPr>
              <w:t>2005 - Present</w:t>
            </w: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900" w:type="dxa"/>
            <w:vAlign w:val="bottom"/>
            <w:tcBorders>
              <w:bottom w:val="single" w:sz="8" w:color="477157"/>
            </w:tcBorders>
            <w:gridSpan w:val="3"/>
          </w:tcPr>
          <w:p>
            <w:pPr>
              <w:spacing w:after="0"/>
              <w:rPr>
                <w:sz w:val="4"/>
                <w:szCs w:val="4"/>
                <w:color w:val="auto"/>
              </w:rPr>
            </w:pPr>
          </w:p>
        </w:tc>
        <w:tc>
          <w:tcPr>
            <w:tcW w:w="2460" w:type="dxa"/>
            <w:vAlign w:val="bottom"/>
            <w:tcBorders>
              <w:bottom w:val="single" w:sz="8" w:color="477157"/>
            </w:tcBorders>
          </w:tcPr>
          <w:p>
            <w:pPr>
              <w:spacing w:after="0"/>
              <w:rPr>
                <w:sz w:val="4"/>
                <w:szCs w:val="4"/>
                <w:color w:val="auto"/>
              </w:rPr>
            </w:pPr>
          </w:p>
        </w:tc>
        <w:tc>
          <w:tcPr>
            <w:tcW w:w="1260" w:type="dxa"/>
            <w:vAlign w:val="bottom"/>
            <w:tcBorders>
              <w:bottom w:val="single" w:sz="8" w:color="477157"/>
            </w:tcBorders>
          </w:tcPr>
          <w:p>
            <w:pPr>
              <w:spacing w:after="0"/>
              <w:rPr>
                <w:sz w:val="4"/>
                <w:szCs w:val="4"/>
                <w:color w:val="auto"/>
              </w:rPr>
            </w:pPr>
          </w:p>
        </w:tc>
        <w:tc>
          <w:tcPr>
            <w:tcW w:w="1180" w:type="dxa"/>
            <w:vAlign w:val="bottom"/>
            <w:tcBorders>
              <w:bottom w:val="single" w:sz="8" w:color="477157"/>
            </w:tcBorders>
          </w:tcPr>
          <w:p>
            <w:pPr>
              <w:spacing w:after="0"/>
              <w:rPr>
                <w:sz w:val="4"/>
                <w:szCs w:val="4"/>
                <w:color w:val="auto"/>
              </w:rPr>
            </w:pPr>
          </w:p>
        </w:tc>
        <w:tc>
          <w:tcPr>
            <w:tcW w:w="1040" w:type="dxa"/>
            <w:vAlign w:val="bottom"/>
            <w:tcBorders>
              <w:bottom w:val="single" w:sz="8" w:color="477157"/>
            </w:tcBorders>
          </w:tcPr>
          <w:p>
            <w:pPr>
              <w:spacing w:after="0"/>
              <w:rPr>
                <w:sz w:val="4"/>
                <w:szCs w:val="4"/>
                <w:color w:val="auto"/>
              </w:rPr>
            </w:pPr>
          </w:p>
        </w:tc>
        <w:tc>
          <w:tcPr>
            <w:tcW w:w="500" w:type="dxa"/>
            <w:vAlign w:val="bottom"/>
            <w:tcBorders>
              <w:bottom w:val="single" w:sz="8" w:color="477157"/>
            </w:tcBorders>
          </w:tcPr>
          <w:p>
            <w:pPr>
              <w:spacing w:after="0"/>
              <w:rPr>
                <w:sz w:val="4"/>
                <w:szCs w:val="4"/>
                <w:color w:val="auto"/>
              </w:rPr>
            </w:pPr>
          </w:p>
        </w:tc>
        <w:tc>
          <w:tcPr>
            <w:tcW w:w="1080" w:type="dxa"/>
            <w:vAlign w:val="bottom"/>
            <w:tcBorders>
              <w:bottom w:val="single" w:sz="8" w:color="477157"/>
            </w:tcBorders>
          </w:tcPr>
          <w:p>
            <w:pPr>
              <w:spacing w:after="0"/>
              <w:rPr>
                <w:sz w:val="4"/>
                <w:szCs w:val="4"/>
                <w:color w:val="auto"/>
              </w:rPr>
            </w:pPr>
          </w:p>
        </w:tc>
        <w:tc>
          <w:tcPr>
            <w:tcW w:w="840" w:type="dxa"/>
            <w:vAlign w:val="bottom"/>
            <w:tcBorders>
              <w:bottom w:val="single" w:sz="8" w:color="477157"/>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2900" w:type="dxa"/>
            <w:vAlign w:val="bottom"/>
            <w:gridSpan w:val="3"/>
          </w:tcPr>
          <w:p>
            <w:pPr>
              <w:spacing w:after="0"/>
              <w:rPr>
                <w:sz w:val="20"/>
                <w:szCs w:val="20"/>
                <w:color w:val="auto"/>
              </w:rPr>
            </w:pPr>
            <w:r>
              <w:rPr>
                <w:rFonts w:ascii="Arial" w:cs="Arial" w:eastAsia="Arial" w:hAnsi="Arial"/>
                <w:sz w:val="15"/>
                <w:szCs w:val="15"/>
                <w:color w:val="auto"/>
              </w:rPr>
              <w:t>Chair, as of 2020 Annual Meeting</w:t>
            </w:r>
          </w:p>
        </w:tc>
        <w:tc>
          <w:tcPr>
            <w:tcW w:w="2460" w:type="dxa"/>
            <w:vAlign w:val="bottom"/>
          </w:tcPr>
          <w:p>
            <w:pPr>
              <w:ind w:left="40"/>
              <w:spacing w:after="0"/>
              <w:rPr>
                <w:sz w:val="20"/>
                <w:szCs w:val="20"/>
                <w:color w:val="auto"/>
              </w:rPr>
            </w:pPr>
            <w:r>
              <w:rPr>
                <w:rFonts w:ascii="Arial" w:cs="Arial" w:eastAsia="Arial" w:hAnsi="Arial"/>
                <w:sz w:val="15"/>
                <w:szCs w:val="15"/>
                <w:color w:val="auto"/>
              </w:rPr>
              <w:t>Member</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080" w:type="dxa"/>
            <w:vAlign w:val="bottom"/>
          </w:tcPr>
          <w:p>
            <w:pPr>
              <w:spacing w:after="0"/>
              <w:rPr>
                <w:sz w:val="20"/>
                <w:szCs w:val="20"/>
                <w:color w:val="auto"/>
              </w:rPr>
            </w:pPr>
            <w:r>
              <w:rPr>
                <w:rFonts w:ascii="Arial" w:cs="Arial" w:eastAsia="Arial" w:hAnsi="Arial"/>
                <w:sz w:val="15"/>
                <w:szCs w:val="15"/>
                <w:color w:val="auto"/>
              </w:rPr>
              <w:t xml:space="preserve">2   </w:t>
            </w:r>
            <w:r>
              <w:rPr>
                <w:rFonts w:ascii="Arial" w:cs="Arial" w:eastAsia="Arial" w:hAnsi="Arial"/>
                <w:sz w:val="18"/>
                <w:szCs w:val="18"/>
                <w:b w:val="1"/>
                <w:bCs w:val="1"/>
                <w:color w:val="00673E"/>
              </w:rPr>
              <w:t>|</w:t>
            </w:r>
          </w:p>
        </w:tc>
        <w:tc>
          <w:tcPr>
            <w:tcW w:w="1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Arial" w:cs="Arial" w:eastAsia="Arial" w:hAnsi="Arial"/>
                <w:sz w:val="15"/>
                <w:szCs w:val="15"/>
                <w:color w:val="auto"/>
                <w:w w:val="98"/>
              </w:rPr>
              <w:t>2020 Proxy Statement</w:t>
            </w: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700" w:type="dxa"/>
            <w:vAlign w:val="bottom"/>
            <w:tcBorders>
              <w:bottom w:val="single" w:sz="8" w:color="808080"/>
            </w:tcBorders>
          </w:tcPr>
          <w:p>
            <w:pPr>
              <w:spacing w:after="0"/>
              <w:rPr>
                <w:sz w:val="16"/>
                <w:szCs w:val="16"/>
                <w:color w:val="auto"/>
              </w:rPr>
            </w:pPr>
          </w:p>
        </w:tc>
        <w:tc>
          <w:tcPr>
            <w:tcW w:w="2460" w:type="dxa"/>
            <w:vAlign w:val="bottom"/>
            <w:tcBorders>
              <w:bottom w:val="single" w:sz="8" w:color="808080"/>
            </w:tcBorders>
          </w:tcPr>
          <w:p>
            <w:pPr>
              <w:spacing w:after="0"/>
              <w:rPr>
                <w:sz w:val="16"/>
                <w:szCs w:val="16"/>
                <w:color w:val="auto"/>
              </w:rPr>
            </w:pPr>
          </w:p>
        </w:tc>
        <w:tc>
          <w:tcPr>
            <w:tcW w:w="1260" w:type="dxa"/>
            <w:vAlign w:val="bottom"/>
            <w:tcBorders>
              <w:bottom w:val="single" w:sz="8" w:color="808080"/>
            </w:tcBorders>
          </w:tcPr>
          <w:p>
            <w:pPr>
              <w:spacing w:after="0"/>
              <w:rPr>
                <w:sz w:val="16"/>
                <w:szCs w:val="16"/>
                <w:color w:val="auto"/>
              </w:rPr>
            </w:pPr>
          </w:p>
        </w:tc>
        <w:tc>
          <w:tcPr>
            <w:tcW w:w="118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-12700</wp:posOffset>
            </wp:positionV>
            <wp:extent cx="1270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-1877060</wp:posOffset>
            </wp:positionV>
            <wp:extent cx="13589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5890" cy="128905"/>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-1898015</wp:posOffset>
            </wp:positionV>
            <wp:extent cx="107315" cy="150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315" cy="150495"/>
                    </a:xfrm>
                    <a:prstGeom prst="rect">
                      <a:avLst/>
                    </a:prstGeom>
                    <a:noFill/>
                  </pic:spPr>
                </pic:pic>
              </a:graphicData>
            </a:graphic>
          </wp:anchor>
        </w:drawing>
        <w:drawing>
          <wp:anchor simplePos="0" relativeHeight="251657728" behindDoc="1" locked="0" layoutInCell="0" allowOverlap="1">
            <wp:simplePos x="0" y="0"/>
            <wp:positionH relativeFrom="column">
              <wp:posOffset>6225540</wp:posOffset>
            </wp:positionH>
            <wp:positionV relativeFrom="paragraph">
              <wp:posOffset>-1884045</wp:posOffset>
            </wp:positionV>
            <wp:extent cx="128905" cy="135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3589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-1619250</wp:posOffset>
            </wp:positionV>
            <wp:extent cx="13589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5890" cy="12890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-1626235</wp:posOffset>
            </wp:positionV>
            <wp:extent cx="1760220" cy="937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60220" cy="93726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-1626235</wp:posOffset>
            </wp:positionV>
            <wp:extent cx="1760220" cy="937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60220" cy="93726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-553085</wp:posOffset>
            </wp:positionV>
            <wp:extent cx="128905" cy="135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35890"/>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-567690</wp:posOffset>
            </wp:positionV>
            <wp:extent cx="107315" cy="150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7315" cy="15049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-252730</wp:posOffset>
            </wp:positionV>
            <wp:extent cx="429260" cy="114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PROXY STATEMENT</w:t>
      </w:r>
    </w:p>
    <w:p>
      <w:pPr>
        <w:sectPr>
          <w:pgSz w:w="11900" w:h="16838" w:orient="portrait"/>
          <w:cols w:equalWidth="0" w:num="1">
            <w:col w:w="11260"/>
          </w:cols>
          <w:pgMar w:left="320" w:top="142" w:right="319" w:bottom="1440" w:gutter="0" w:footer="0" w:header="0"/>
        </w:sectPr>
      </w:pP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15"/>
          <w:szCs w:val="15"/>
          <w:b w:val="1"/>
          <w:bCs w:val="1"/>
          <w:color w:val="477157"/>
        </w:rPr>
        <w:t xml:space="preserve">Attending the Meeting </w:t>
      </w:r>
      <w:r>
        <w:rPr>
          <w:rFonts w:ascii="Arial" w:cs="Arial" w:eastAsia="Arial" w:hAnsi="Arial"/>
          <w:sz w:val="15"/>
          <w:szCs w:val="15"/>
          <w:color w:val="000000"/>
        </w:rPr>
        <w:t>Only stockholders, their proxy holders and our invited</w:t>
      </w:r>
      <w:r>
        <w:rPr>
          <w:rFonts w:ascii="Arial" w:cs="Arial" w:eastAsia="Arial" w:hAnsi="Arial"/>
          <w:sz w:val="15"/>
          <w:szCs w:val="15"/>
          <w:b w:val="1"/>
          <w:bCs w:val="1"/>
          <w:color w:val="477157"/>
        </w:rPr>
        <w:t xml:space="preserve"> </w:t>
      </w:r>
      <w:r>
        <w:rPr>
          <w:rFonts w:ascii="Arial" w:cs="Arial" w:eastAsia="Arial" w:hAnsi="Arial"/>
          <w:sz w:val="15"/>
          <w:szCs w:val="15"/>
          <w:color w:val="000000"/>
        </w:rPr>
        <w:t>guests may attend the meeting. If you plan to attend, please bring identification and, if you hold shares in street name, bring your bank or broker statement showing your beneficial ownership of Waste Management, Inc. stock as of the record date in order to be admitted to the meeting. If you are planning to attend our annual meeting and require directions to the meeting, please contact our Corporate Secretary at 713-512-6200. The only items on the agenda for this year's annual meeting are the items set out in the Notice. There will be no presentations.</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color w:val="477157"/>
        </w:rPr>
        <w:t xml:space="preserve">Potential Alternative Meeting Arrangements </w:t>
      </w:r>
      <w:r>
        <w:rPr>
          <w:rFonts w:ascii="Arial" w:cs="Arial" w:eastAsia="Arial" w:hAnsi="Arial"/>
          <w:sz w:val="14"/>
          <w:szCs w:val="14"/>
          <w:color w:val="000000"/>
        </w:rPr>
        <w:t>We intend to hold our annual</w:t>
      </w:r>
      <w:r>
        <w:rPr>
          <w:rFonts w:ascii="Arial" w:cs="Arial" w:eastAsia="Arial" w:hAnsi="Arial"/>
          <w:sz w:val="14"/>
          <w:szCs w:val="14"/>
          <w:b w:val="1"/>
          <w:bCs w:val="1"/>
          <w:color w:val="477157"/>
        </w:rPr>
        <w:t xml:space="preserve"> </w:t>
      </w:r>
      <w:r>
        <w:rPr>
          <w:rFonts w:ascii="Arial" w:cs="Arial" w:eastAsia="Arial" w:hAnsi="Arial"/>
          <w:sz w:val="14"/>
          <w:szCs w:val="14"/>
          <w:color w:val="000000"/>
        </w:rPr>
        <w:t>meeting in person. However, we are actively monitoring the public health and travel concerns relating to COVID-19 (coronavirus). In the event it is not possible or advisable to hold the annual meeting as planned, we will announce alternative arrangements for the meeting, which may include holding the meeting solely by means of remote communication. Any alternative arrangements for the meeting will be publicly announced in a press release available on the Company's "Investors" webpage at www.wm.com and filed with the SEC. As always, we encourage you to vote your shares prior to the annual meeting.</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5"/>
          <w:szCs w:val="15"/>
          <w:b w:val="1"/>
          <w:bCs w:val="1"/>
          <w:color w:val="477157"/>
        </w:rPr>
        <w:t xml:space="preserve">Stockholder Proposals and Nominees for the 2021 Annual Meeting </w:t>
      </w:r>
      <w:r>
        <w:rPr>
          <w:rFonts w:ascii="Arial" w:cs="Arial" w:eastAsia="Arial" w:hAnsi="Arial"/>
          <w:sz w:val="15"/>
          <w:szCs w:val="15"/>
          <w:i w:val="1"/>
          <w:iCs w:val="1"/>
          <w:color w:val="000000"/>
        </w:rPr>
        <w:t>Stockholder Proposals:</w:t>
      </w:r>
      <w:r>
        <w:rPr>
          <w:rFonts w:ascii="Arial" w:cs="Arial" w:eastAsia="Arial" w:hAnsi="Arial"/>
          <w:sz w:val="15"/>
          <w:szCs w:val="15"/>
          <w:b w:val="1"/>
          <w:bCs w:val="1"/>
          <w:color w:val="477157"/>
        </w:rPr>
        <w:t xml:space="preserve"> </w:t>
      </w:r>
      <w:r>
        <w:rPr>
          <w:rFonts w:ascii="Arial" w:cs="Arial" w:eastAsia="Arial" w:hAnsi="Arial"/>
          <w:sz w:val="15"/>
          <w:szCs w:val="15"/>
          <w:color w:val="000000"/>
        </w:rPr>
        <w:t>Eligible stockholders who wish to submit a</w:t>
      </w:r>
      <w:r>
        <w:rPr>
          <w:rFonts w:ascii="Arial" w:cs="Arial" w:eastAsia="Arial" w:hAnsi="Arial"/>
          <w:sz w:val="15"/>
          <w:szCs w:val="15"/>
          <w:b w:val="1"/>
          <w:bCs w:val="1"/>
          <w:color w:val="477157"/>
        </w:rPr>
        <w:t xml:space="preserve"> </w:t>
      </w:r>
      <w:r>
        <w:rPr>
          <w:rFonts w:ascii="Arial" w:cs="Arial" w:eastAsia="Arial" w:hAnsi="Arial"/>
          <w:sz w:val="15"/>
          <w:szCs w:val="15"/>
          <w:color w:val="000000"/>
        </w:rPr>
        <w:t>proposal for inclusion in the proxy statement for our 2021 Annual Meeting must submit their proposal to our Corporate Secretary at Waste Management, Inc., 1001 Fannin Street, Houston, Texas 77002. The written proposal must be received at our offices on or before November 27, 2020, and the stockholder must have been the registered or beneficial owner of (a) at least 1% of our outstanding Common Stock or (b) shares of our Common Stock with a market value of $2,000 for at least one year before submitting the proposal. The proposal must comply with the requirements set forth in the federal securities laws, including Rule 14a-8 under the Securities Exchange Act of 1934, as amended (the "Exchange Act"), in order to be included in the Company's proxy statement and proxy card for the 2021 Annual Meeting.</w:t>
      </w:r>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15"/>
          <w:szCs w:val="15"/>
          <w:i w:val="1"/>
          <w:iCs w:val="1"/>
          <w:color w:val="auto"/>
        </w:rPr>
        <w:t xml:space="preserve">Advance Notice Proposals and Nominations: </w:t>
      </w:r>
      <w:r>
        <w:rPr>
          <w:rFonts w:ascii="Arial" w:cs="Arial" w:eastAsia="Arial" w:hAnsi="Arial"/>
          <w:sz w:val="15"/>
          <w:szCs w:val="15"/>
          <w:color w:val="auto"/>
        </w:rPr>
        <w:t>In addition, the Company's By-laws</w:t>
      </w:r>
      <w:r>
        <w:rPr>
          <w:rFonts w:ascii="Arial" w:cs="Arial" w:eastAsia="Arial" w:hAnsi="Arial"/>
          <w:sz w:val="15"/>
          <w:szCs w:val="15"/>
          <w:i w:val="1"/>
          <w:iCs w:val="1"/>
          <w:color w:val="auto"/>
        </w:rPr>
        <w:t xml:space="preserve"> </w:t>
      </w:r>
      <w:r>
        <w:rPr>
          <w:rFonts w:ascii="Arial" w:cs="Arial" w:eastAsia="Arial" w:hAnsi="Arial"/>
          <w:sz w:val="15"/>
          <w:szCs w:val="15"/>
          <w:color w:val="auto"/>
        </w:rPr>
        <w:t>establish advance notice procedures that 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By-laws, for a proposal or nominee not included in our proxy materials to be properly brought before the 2021 Annual Meeting, a stockholder's notice must be delivered to or mailed and received by the Company not less than 120 days nor more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than 150 days in advance of the first anniversary of the previous year's annual meeting of stockholders. As a result, any such stockholder's notice for the 2021 Annual Meeting must be received no earlier than December 13, 2020 and no later than January 12, 2021 and must contain the information specified in the Company's By-laws. The stockholder's notice must be delivered to our Corporate Secretary at Waste Management, Inc., 1001 Fannin Street, Houston, Texas 77002.</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5"/>
          <w:szCs w:val="15"/>
          <w:i w:val="1"/>
          <w:iCs w:val="1"/>
          <w:color w:val="auto"/>
        </w:rPr>
        <w:t xml:space="preserve">Proxy Access Nominations: </w:t>
      </w:r>
      <w:r>
        <w:rPr>
          <w:rFonts w:ascii="Arial" w:cs="Arial" w:eastAsia="Arial" w:hAnsi="Arial"/>
          <w:sz w:val="15"/>
          <w:szCs w:val="15"/>
          <w:color w:val="auto"/>
        </w:rPr>
        <w:t>In November 2019, the Company amended and</w:t>
      </w:r>
      <w:r>
        <w:rPr>
          <w:rFonts w:ascii="Arial" w:cs="Arial" w:eastAsia="Arial" w:hAnsi="Arial"/>
          <w:sz w:val="15"/>
          <w:szCs w:val="15"/>
          <w:i w:val="1"/>
          <w:iCs w:val="1"/>
          <w:color w:val="auto"/>
        </w:rPr>
        <w:t xml:space="preserve"> </w:t>
      </w:r>
      <w:r>
        <w:rPr>
          <w:rFonts w:ascii="Arial" w:cs="Arial" w:eastAsia="Arial" w:hAnsi="Arial"/>
          <w:sz w:val="15"/>
          <w:szCs w:val="15"/>
          <w:color w:val="auto"/>
        </w:rPr>
        <w:t>restated its By-laws to provide for "proxy access." This provision permits a stockholder or group of up to 20 stockholders owning 3% or 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By-laws. In order for such nominees to be included in our proxy statement and form of proxy, stockholders and nominees must submit a notice of proxy access nomination together with other related information required by our By-laws. The information necessary to nominate a director candidate using our proxy access By-law must be delivered to or mailed and received by the Company not less than 120 days nor more than 150 days before the anniversary of the date that the Company commenced mailing of its proxy statement for the previous year's annual meeting of stockholders. As a result, any such nomination for the 2021 Annual Meeting must be received no earlier than October 28, 2020 and no later than November 27, 2020 and must contain the information specified in the Company's By-laws. Such information must be delivered to our Corporate Secretary at Waste Management, Inc., 1001 Fannin Street, Houston, Texas 77002.</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 copy of our By-laws may be obtained free of charge by writing to our Corporate Secretary and is available in the "ESG — Corporate Governance" section of the "Investors" page on our website at www.wm.com. The Company will not consider any proposal or nomination that is not timely or otherwise does not meet the By-law and SEC requirements for submitting a proposal or nomination.</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Due to an anticipated address change for our principal executive officers during the fourth quarter of 2020, we also ask that you email a courtesy copy of any notice to GCLegal@wm.com.</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b w:val="1"/>
          <w:bCs w:val="1"/>
          <w:color w:val="477157"/>
        </w:rPr>
        <w:t xml:space="preserve">Expenses of Solicitation </w:t>
      </w:r>
      <w:r>
        <w:rPr>
          <w:rFonts w:ascii="Arial" w:cs="Arial" w:eastAsia="Arial" w:hAnsi="Arial"/>
          <w:sz w:val="15"/>
          <w:szCs w:val="15"/>
          <w:color w:val="000000"/>
        </w:rPr>
        <w:t>We pay the cost of preparing, assembling and</w:t>
      </w:r>
      <w:r>
        <w:rPr>
          <w:rFonts w:ascii="Arial" w:cs="Arial" w:eastAsia="Arial" w:hAnsi="Arial"/>
          <w:sz w:val="15"/>
          <w:szCs w:val="15"/>
          <w:b w:val="1"/>
          <w:bCs w:val="1"/>
          <w:color w:val="477157"/>
        </w:rPr>
        <w:t xml:space="preserve"> </w:t>
      </w:r>
      <w:r>
        <w:rPr>
          <w:rFonts w:ascii="Arial" w:cs="Arial" w:eastAsia="Arial" w:hAnsi="Arial"/>
          <w:sz w:val="15"/>
          <w:szCs w:val="15"/>
          <w:color w:val="000000"/>
        </w:rPr>
        <w:t>mailing this proxy-soliciting material. In addition to the use of the mail, proxies may be solicited personally, by Internet or telephone, or by Waste Management officers and</w:t>
      </w:r>
    </w:p>
    <w:p>
      <w:pPr>
        <w:spacing w:after="0" w:line="200"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32" w:lineRule="exact"/>
        <w:rPr>
          <w:sz w:val="20"/>
          <w:szCs w:val="20"/>
          <w:color w:val="auto"/>
        </w:rPr>
      </w:pPr>
    </w:p>
    <w:p>
      <w:pPr>
        <w:ind w:left="9320"/>
        <w:spacing w:after="0"/>
        <w:tabs>
          <w:tab w:leader="none" w:pos="10940" w:val="left"/>
          <w:tab w:leader="none" w:pos="1116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-99060</wp:posOffset>
            </wp:positionV>
            <wp:extent cx="429260" cy="114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715518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PROXY STATEMENT</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2020 Annual Meeting for a fee of $15,000 plus associated costs and expenses.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b w:val="1"/>
          <w:bCs w:val="1"/>
          <w:color w:val="477157"/>
        </w:rPr>
        <w:t xml:space="preserve">Annual Report </w:t>
      </w:r>
      <w:r>
        <w:rPr>
          <w:rFonts w:ascii="Arial" w:cs="Arial" w:eastAsia="Arial" w:hAnsi="Arial"/>
          <w:sz w:val="15"/>
          <w:szCs w:val="15"/>
          <w:color w:val="000000"/>
        </w:rPr>
        <w:t>A copy of our Annual Report on Form 10-K for the year ended</w:t>
      </w:r>
      <w:r>
        <w:rPr>
          <w:rFonts w:ascii="Arial" w:cs="Arial" w:eastAsia="Arial" w:hAnsi="Arial"/>
          <w:sz w:val="15"/>
          <w:szCs w:val="15"/>
          <w:b w:val="1"/>
          <w:bCs w:val="1"/>
          <w:color w:val="477157"/>
        </w:rPr>
        <w:t xml:space="preserve"> </w:t>
      </w:r>
      <w:r>
        <w:rPr>
          <w:rFonts w:ascii="Arial" w:cs="Arial" w:eastAsia="Arial" w:hAnsi="Arial"/>
          <w:sz w:val="15"/>
          <w:szCs w:val="15"/>
          <w:color w:val="000000"/>
        </w:rPr>
        <w:t>December 31, 2019, which includes our financial statements for fiscal year 2019, is included with this Proxy Statement. The Annual Report on Form 10-K is not incorporated by reference into this Proxy Statement or deemed to be a part of the materials for the solicitation of proxies.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b w:val="1"/>
          <w:bCs w:val="1"/>
          <w:color w:val="477157"/>
        </w:rPr>
        <w:t xml:space="preserve">Householding Information </w:t>
      </w:r>
      <w:r>
        <w:rPr>
          <w:rFonts w:ascii="Arial" w:cs="Arial" w:eastAsia="Arial" w:hAnsi="Arial"/>
          <w:sz w:val="15"/>
          <w:szCs w:val="15"/>
          <w:color w:val="000000"/>
        </w:rPr>
        <w:t>We have adopted a procedure approved by the</w:t>
      </w:r>
      <w:r>
        <w:rPr>
          <w:rFonts w:ascii="Arial" w:cs="Arial" w:eastAsia="Arial" w:hAnsi="Arial"/>
          <w:sz w:val="15"/>
          <w:szCs w:val="15"/>
          <w:b w:val="1"/>
          <w:bCs w:val="1"/>
          <w:color w:val="477157"/>
        </w:rPr>
        <w:t xml:space="preserve"> </w:t>
      </w:r>
      <w:r>
        <w:rPr>
          <w:rFonts w:ascii="Arial" w:cs="Arial" w:eastAsia="Arial" w:hAnsi="Arial"/>
          <w:sz w:val="15"/>
          <w:szCs w:val="15"/>
          <w:color w:val="000000"/>
        </w:rPr>
        <w:t>SEC called "householding." Under this procedure, stockholders of record who have the same address and last name and do not participate in electronic delivery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If you wish to receive a separate copy of this Proxy Statement and the Annual Report, please contact: Waste Management, Inc., Corporate Secretary, 1001 Fannin Street, Houston, Texas 77002, telephone 713-512-6200.</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If you do not wish to participate in householding in the future and prefer to receive separate copies of the proxy materials, please contact: Broadridge Financial Solutions, Attention Householding Department, 51 Mercedes Way, Edgewood, NY 11717, telephone 1-866-540-7095. If you are currently receiving multiple copies of proxy materials and wish to receive only one copy for your household, please contact Broadridge.</w:t>
      </w:r>
    </w:p>
    <w:p>
      <w:pPr>
        <w:spacing w:after="0" w:line="375"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32" w:lineRule="exact"/>
        <w:rPr>
          <w:sz w:val="20"/>
          <w:szCs w:val="20"/>
          <w:color w:val="auto"/>
        </w:rPr>
      </w:pPr>
    </w:p>
    <w:p>
      <w:pPr>
        <w:spacing w:after="0"/>
        <w:tabs>
          <w:tab w:leader="none" w:pos="260" w:val="left"/>
        </w:tabs>
        <w:rPr>
          <w:sz w:val="20"/>
          <w:szCs w:val="20"/>
          <w:color w:val="auto"/>
        </w:rPr>
      </w:pPr>
      <w:r>
        <w:rPr>
          <w:rFonts w:ascii="Arial" w:cs="Arial" w:eastAsia="Arial" w:hAnsi="Arial"/>
          <w:sz w:val="15"/>
          <w:szCs w:val="15"/>
          <w:color w:val="auto"/>
        </w:rPr>
        <w:t>4</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7" w:name="page8"/>
    <w:bookmarkEnd w:id="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36"/>
          <w:szCs w:val="36"/>
          <w:color w:val="477157"/>
        </w:rPr>
        <w:t>BOARD OF DIRECTORS</w:t>
      </w:r>
    </w:p>
    <w:p>
      <w:pPr>
        <w:spacing w:after="0" w:line="366"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Our Board of Directors currently has nine members. Each member of our Board is elected annually. Mr. Patrick W. Gross has reached the retirement age set forth in the Company's Corporate Governance Guidelines; therefore, he is not standing for re-election and his term as a Director of the Company will expire at the 2020 Annual Meeting. The Board of Directors intends to reduce the size of the Board to eight members effective as of the expiration of Mr. Gross's term at the 2020 Annual Meeting.</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Mr. Thomas H. Weidemeyer is the Non-Executive Chairman of the Board and presides over all meetings of the Board, including executive sessions that only non-employee directors attend. Stockholders and interested parties wishing to communicate with the Board or the non-employee directors should address their communications to Mr. Thomas H. Weidemeyer, Non-Executive Chairman of the Board, c/o Waste Management, Inc., P.O. Box 53569, Houston, Texas 77052-3569.</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Leadership Structure</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We separated the roles of Chairman of the Board and Chief Executive Officer at our Company in 2004. We believe that having a Non-Executive Chairman of the Board is in the best interests of the Company and stockholders, due in part to the ever-increasing demands made on boards of directors under federal securities laws, national stock exchange rules and other federal and state regulations. The Non-Executive Chairman's responsibilities include leading full Board meetings and executive sessions and managing the Board function. Effective May 17, 2018, the Board elected Mr. Thomas H. Weidemeyer to serve as Chairman of the Board due to his many years as a valuable member of our Board, his experience serving on boards of other large public companies, and his extensive operational and leadership experience. Mr. Weidemeyer also serves on all three Board committees.</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The separation of the positions allows our Chairman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Role in Risk Oversight</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Our ERM process is supported by regular inquiries of our Company's Senior Leadership Team, and additional members of management and operations leadership across the enterprise, as to the risks, including emerging risks, that may affect the execution of our strategic priorities or achievement of our long-term outlook. For the most significant risks, the ERM process is designed to generate actionable insights that are actively discussed and reviewed with the Senior Leadership Team and our Board of Directors.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Risks and opportunities are assessed and then prioritized using internal evaluations of financial impact, likelihood of occurrence, outlook for changes in the nature or extent of risk exposure and a self-assessment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forward-looking action plans with measurable indicators and progress updates on action plans from previous assessments.</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Our Board of Directors generally has seven regular meetings per year, five of which are in person, including one meeting that is dedicated specifically to strategic planning, and regular updates are given to our Board of Directors on Company risks. At each of these meetings, our President and Chief Executive Officer, Chief Operating Officer, Chief Financial Officer and Chief Legal Officer report to our Board and, when appropriate, specific committees. Additionally, other members of management and employees attend meetings periodically and present information, including those responsible for our Internal Audit, Environmental Audit, Business Ethics and Compliance, Human Resources, Government Affairs, Digital, Insurance, Safety, Finance and Accounting functions. These presentations allow our Board to have direct communication with members of management and assess management's evaluation and administration of the Company's risk profile through our ERM process. For example, our Digital organization briefs our Board or Audit Committee on</w:t>
      </w:r>
    </w:p>
    <w:p>
      <w:pPr>
        <w:spacing w:after="0" w:line="377" w:lineRule="exact"/>
        <w:rPr>
          <w:sz w:val="20"/>
          <w:szCs w:val="20"/>
          <w:color w:val="auto"/>
        </w:rPr>
      </w:pPr>
    </w:p>
    <w:p>
      <w:pPr>
        <w:jc w:val="right"/>
        <w:spacing w:after="0"/>
        <w:tabs>
          <w:tab w:leader="none" w:pos="280" w:val="left"/>
          <w:tab w:leader="none" w:pos="6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133350</wp:posOffset>
            </wp:positionV>
            <wp:extent cx="716026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-99060</wp:posOffset>
            </wp:positionV>
            <wp:extent cx="429260" cy="114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2">
            <w:col w:w="5280" w:space="680"/>
            <w:col w:w="5300"/>
          </w:cols>
          <w:pgMar w:left="320" w:top="142" w:right="3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715518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w:t>
      </w:r>
    </w:p>
    <w:p>
      <w:pPr>
        <w:spacing w:after="0" w:line="195"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cybersecurity risk and potentially disruptive technologies at least twice a year, and environmental impacts, risks and opportunities are discussed with our Board or Audit Committee at least annually. Other key areas of assessment addressed by our ERM process and overseen by our Board include the following: industry disruption; commodity markets; revenue management; legal and regulatory; capital allocation; supply chain management; service to customers; cost discipline; process improvement; physical infrastructure; brand management; health &amp; safety; human capital; information technology and currency &amp; cash management. Consistent with our Company's long-standing commitment to corporate sustainability and environmental stewardship, we have published our 2019 Sustainability Report, an update to our full length 2018 Sustainability Report, "Driving Change," which provides additional information about our management of these risks. The information in this report can be found on our Company website but does not constitute a part of our Proxy Statement or Annual Report.</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Management is also encouraged to communicate with our Board of Directors with respect to extraordinary risk issues or developments that may require more immediate attention between regularly scheduled Board meetings. Our Non-Executive Chairman of the Board facilitates communications with our Board of Directors as a whole and is integral in initiating the discussions among the independent Board members necessary to ensure management is adequately evaluating and overseeing our Company's risk management. Additionally, in accordance with New York Stock Exchange requirements, the Audit Committee of our Board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Independence of Board Members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The Board of Directors has determined that each of the following seven non-employee director nominees are independent in accordance with the New York Stock Exchange listing standards: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Frank M. Clark, Jr.</w:t>
      </w:r>
    </w:p>
    <w:p>
      <w:pPr>
        <w:jc w:val="center"/>
        <w:spacing w:after="0" w:line="235" w:lineRule="auto"/>
        <w:rPr>
          <w:sz w:val="20"/>
          <w:szCs w:val="20"/>
          <w:color w:val="auto"/>
        </w:rPr>
      </w:pPr>
      <w:r>
        <w:rPr>
          <w:rFonts w:ascii="Arial" w:cs="Arial" w:eastAsia="Arial" w:hAnsi="Arial"/>
          <w:sz w:val="15"/>
          <w:szCs w:val="15"/>
          <w:color w:val="auto"/>
        </w:rPr>
        <w:t>Andrés R. Gluski</w:t>
      </w:r>
    </w:p>
    <w:p>
      <w:pPr>
        <w:jc w:val="center"/>
        <w:spacing w:after="0" w:line="235" w:lineRule="auto"/>
        <w:rPr>
          <w:sz w:val="20"/>
          <w:szCs w:val="20"/>
          <w:color w:val="auto"/>
        </w:rPr>
      </w:pPr>
      <w:r>
        <w:rPr>
          <w:rFonts w:ascii="Arial" w:cs="Arial" w:eastAsia="Arial" w:hAnsi="Arial"/>
          <w:sz w:val="15"/>
          <w:szCs w:val="15"/>
          <w:color w:val="auto"/>
        </w:rPr>
        <w:t>Victoria M. Holt</w:t>
      </w:r>
    </w:p>
    <w:p>
      <w:pPr>
        <w:jc w:val="center"/>
        <w:spacing w:after="0" w:line="235" w:lineRule="auto"/>
        <w:rPr>
          <w:sz w:val="20"/>
          <w:szCs w:val="20"/>
          <w:color w:val="auto"/>
        </w:rPr>
      </w:pPr>
      <w:r>
        <w:rPr>
          <w:rFonts w:ascii="Arial" w:cs="Arial" w:eastAsia="Arial" w:hAnsi="Arial"/>
          <w:sz w:val="15"/>
          <w:szCs w:val="15"/>
          <w:color w:val="auto"/>
        </w:rPr>
        <w:t>Kathleen M. Mazzarella</w:t>
      </w:r>
    </w:p>
    <w:p>
      <w:pPr>
        <w:jc w:val="center"/>
        <w:spacing w:after="0" w:line="235" w:lineRule="auto"/>
        <w:rPr>
          <w:sz w:val="20"/>
          <w:szCs w:val="20"/>
          <w:color w:val="auto"/>
        </w:rPr>
      </w:pPr>
      <w:r>
        <w:rPr>
          <w:rFonts w:ascii="Arial" w:cs="Arial" w:eastAsia="Arial" w:hAnsi="Arial"/>
          <w:sz w:val="15"/>
          <w:szCs w:val="15"/>
          <w:color w:val="auto"/>
        </w:rPr>
        <w:t>William B. Plummer</w:t>
      </w:r>
    </w:p>
    <w:p>
      <w:pPr>
        <w:jc w:val="center"/>
        <w:spacing w:after="0" w:line="235" w:lineRule="auto"/>
        <w:rPr>
          <w:sz w:val="20"/>
          <w:szCs w:val="20"/>
          <w:color w:val="auto"/>
        </w:rPr>
      </w:pPr>
      <w:r>
        <w:rPr>
          <w:rFonts w:ascii="Arial" w:cs="Arial" w:eastAsia="Arial" w:hAnsi="Arial"/>
          <w:sz w:val="15"/>
          <w:szCs w:val="15"/>
          <w:color w:val="auto"/>
        </w:rPr>
        <w:t>John C. Pope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Thomas H. Weidemeyer</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Mr. James C. Fish, Jr., our President and Chief Executive Officer, is also a director of the Company. As an employee of the Company, Mr. Fish is not an "independent" director.</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5"/>
          <w:szCs w:val="15"/>
          <w:color w:val="auto"/>
        </w:rPr>
        <w:t>To assist the Board in determining independence, the Board of Directors adopted categorical standards of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on our website. In addition to these categorical standards, our Board makes a subjective determination of independence considering relevant facts and circumstances.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and The AES Corporation. Ms. Mazzarella and Mr. Gluski, respectively, are the chief executive officer of these entities. The Board concluded there are no transactions between the Company and any entity with which a non-employee director is affiliated that (a) are prohibited by our categorical standards of independence, (b) are material individually or in the aggregate or (c) give rise to a material direct or indirect interest for that non-employee director. Accordingly, the Board has determined that each non-employee director candidate meets the categorical standards of independence and that there are no relationships that would affect independence.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Meetings and Board Committees</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Last year the Board held seven regular meetings and two special meetings, and each committee of the Board met independently as set forth below. Each director attended at least 75% of the meetings of the Board and the committees on which he or she served. In addition, all directors attended the 2019 Annual Meeting of Stockholders. Although we do not have a formal policy regarding director attendance at annual meetings, it has been longstanding practice that all directors attend unless there are unavoidable schedule conflicts or unforeseen circumstances.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Board appoints committees to help carry out its duties. Committee members take on greater responsibility for key issues, although all members of the Board are invited to attend all committee meetings and the committee reviews the results of its meetings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1069"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35" w:lineRule="exact"/>
        <w:rPr>
          <w:sz w:val="20"/>
          <w:szCs w:val="20"/>
          <w:color w:val="auto"/>
        </w:rPr>
      </w:pPr>
    </w:p>
    <w:p>
      <w:pPr>
        <w:spacing w:after="0"/>
        <w:tabs>
          <w:tab w:leader="none" w:pos="260" w:val="left"/>
        </w:tabs>
        <w:rPr>
          <w:sz w:val="20"/>
          <w:szCs w:val="20"/>
          <w:color w:val="auto"/>
        </w:rPr>
      </w:pPr>
      <w:r>
        <w:rPr>
          <w:rFonts w:ascii="Arial" w:cs="Arial" w:eastAsia="Arial" w:hAnsi="Arial"/>
          <w:sz w:val="15"/>
          <w:szCs w:val="15"/>
          <w:color w:val="auto"/>
        </w:rPr>
        <w:t>6</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9" w:name="page10"/>
    <w:bookmarkEnd w:id="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155180" cy="3720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5180" cy="372046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477157"/>
        </w:rPr>
        <w:t>THE AUDIT COMMITTEE</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477157"/>
        </w:rPr>
        <w:t>Members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 xml:space="preserve">Patrick W. Gross, </w:t>
      </w:r>
      <w:r>
        <w:rPr>
          <w:rFonts w:ascii="Arial" w:cs="Arial" w:eastAsia="Arial" w:hAnsi="Arial"/>
          <w:sz w:val="12"/>
          <w:szCs w:val="12"/>
          <w:b w:val="1"/>
          <w:bCs w:val="1"/>
          <w:i w:val="1"/>
          <w:iCs w:val="1"/>
          <w:color w:val="auto"/>
        </w:rPr>
        <w:t>Chairman</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Frank M. Clark, Jr.</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Andrés R. Gluski</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Victoria M. Holt</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William B. Plummer</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Thomas H. Weidemeyer</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477157"/>
        </w:rPr>
        <w:t>Number of Meetings Held in 2019</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Mr. Gross has been the Chairman of our Audit Committee since May 2010. The other members of our Audit Committee are Messrs. Clark, Gluski, Plummer and Weidemeyer and Ms. Holt. Chairman Gross has reached the retirement age set forth in the Company's Corporate Governance Guidelines and is not standing for re-election. In February 2020, the Nominating and Governance Committee recommended, and the Board approved, appointment of Mr. Plummer to become Chairman of our Audit Committee, effective upon the expiration of Chairman Gross' term as a Director of the Company at the 2020 Annual Meeting. Each member of our Audit Committee satisfies the additional New York Stock Exchange independence standards for audit committees set forth in Section 10A of the Exchange Act.</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Our Board of Directors has determined that Audit Committee Chairman Mr. Gross, Mr. Clark, Mr. Gluski, Mr. Plummer and Ms. Holt are audit committee financial experts as defined by the SEC based on a thorough review of their education and financial and public company experience.</w:t>
      </w:r>
    </w:p>
    <w:p>
      <w:pPr>
        <w:spacing w:after="0" w:line="174" w:lineRule="exact"/>
        <w:rPr>
          <w:sz w:val="20"/>
          <w:szCs w:val="20"/>
          <w:color w:val="auto"/>
        </w:rPr>
      </w:pPr>
    </w:p>
    <w:p>
      <w:pPr>
        <w:jc w:val="both"/>
        <w:ind w:left="260"/>
        <w:spacing w:after="0" w:line="237" w:lineRule="auto"/>
        <w:rPr>
          <w:sz w:val="20"/>
          <w:szCs w:val="20"/>
          <w:color w:val="auto"/>
        </w:rPr>
      </w:pPr>
      <w:r>
        <w:rPr>
          <w:rFonts w:ascii="Arial" w:cs="Arial" w:eastAsia="Arial" w:hAnsi="Arial"/>
          <w:sz w:val="15"/>
          <w:szCs w:val="15"/>
          <w:color w:val="auto"/>
        </w:rPr>
        <w:t>Mr. Gross was a founder of American Management Systems Inc. where he was principal executive officer for over 30 years. Since 2001, he has served as Chairman of The Lovell Group, a private investment and advisory firm. Mr. Gross holds an MBA from Stanford University's Graduate School of Business, a master's degree in engineering science from the University of Michigan and a bachelor's degree in engineering science from Rensselaer Polytechnic Institute.</w:t>
      </w:r>
    </w:p>
    <w:p>
      <w:pPr>
        <w:spacing w:after="0" w:line="174" w:lineRule="exact"/>
        <w:rPr>
          <w:sz w:val="20"/>
          <w:szCs w:val="20"/>
          <w:color w:val="auto"/>
        </w:rPr>
      </w:pPr>
    </w:p>
    <w:p>
      <w:pPr>
        <w:jc w:val="both"/>
        <w:ind w:left="260" w:right="20"/>
        <w:spacing w:after="0" w:line="275" w:lineRule="auto"/>
        <w:rPr>
          <w:sz w:val="20"/>
          <w:szCs w:val="20"/>
          <w:color w:val="auto"/>
        </w:rPr>
      </w:pPr>
      <w:r>
        <w:rPr>
          <w:rFonts w:ascii="Arial" w:cs="Arial" w:eastAsia="Arial" w:hAnsi="Arial"/>
          <w:sz w:val="14"/>
          <w:szCs w:val="14"/>
          <w:color w:val="auto"/>
        </w:rPr>
        <w:t>Mr. Clark served as Chairman and Chief Executive Officer of ComEd from 2005 to 2012 and President of ComEd from 2001 to 2005. Mr. Clark holds a LLB from DePaul University College of Law and a BBA from DePaul University.</w:t>
      </w:r>
    </w:p>
    <w:p>
      <w:pPr>
        <w:spacing w:after="0" w:line="149" w:lineRule="exact"/>
        <w:rPr>
          <w:sz w:val="20"/>
          <w:szCs w:val="20"/>
          <w:color w:val="auto"/>
        </w:rPr>
      </w:pPr>
    </w:p>
    <w:p>
      <w:pPr>
        <w:jc w:val="both"/>
        <w:ind w:left="260"/>
        <w:spacing w:after="0" w:line="238" w:lineRule="auto"/>
        <w:rPr>
          <w:sz w:val="20"/>
          <w:szCs w:val="20"/>
          <w:color w:val="auto"/>
        </w:rPr>
      </w:pPr>
      <w:r>
        <w:rPr>
          <w:rFonts w:ascii="Arial" w:cs="Arial" w:eastAsia="Arial" w:hAnsi="Arial"/>
          <w:sz w:val="15"/>
          <w:szCs w:val="15"/>
          <w:color w:val="auto"/>
        </w:rPr>
        <w:t>Mr. Gluski has served as President, Chief Executive Officer and Director of The AES Corporation since 2011 and was Executive Vice President and Chief Operating Officer of The AES Corporation from 2007 to 2011. Mr. Gluski is a graduate of Wake Forest University and holds a PhD and MA in Economics from the University of Virginia.</w:t>
      </w:r>
    </w:p>
    <w:p>
      <w:pPr>
        <w:spacing w:after="0" w:line="174" w:lineRule="exact"/>
        <w:rPr>
          <w:sz w:val="20"/>
          <w:szCs w:val="20"/>
          <w:color w:val="auto"/>
        </w:rPr>
      </w:pPr>
    </w:p>
    <w:p>
      <w:pPr>
        <w:jc w:val="both"/>
        <w:ind w:left="260"/>
        <w:spacing w:after="0" w:line="238" w:lineRule="auto"/>
        <w:rPr>
          <w:sz w:val="20"/>
          <w:szCs w:val="20"/>
          <w:color w:val="auto"/>
        </w:rPr>
      </w:pPr>
      <w:r>
        <w:rPr>
          <w:rFonts w:ascii="Arial" w:cs="Arial" w:eastAsia="Arial" w:hAnsi="Arial"/>
          <w:sz w:val="15"/>
          <w:szCs w:val="15"/>
          <w:color w:val="auto"/>
        </w:rPr>
        <w:t>Mr. Plummer served as Executive Vice President and Chief Financial Officer of United Rentals, Inc. from 2008 to 2018. Mr. Plummer holds degrees in aeronautics and astronautics from the Massachusetts Institute of Technology and an MBA from Stanford University's Graduate School of Business.</w:t>
      </w:r>
    </w:p>
    <w:p>
      <w:pPr>
        <w:spacing w:after="0" w:line="174" w:lineRule="exact"/>
        <w:rPr>
          <w:sz w:val="20"/>
          <w:szCs w:val="20"/>
          <w:color w:val="auto"/>
        </w:rPr>
      </w:pPr>
    </w:p>
    <w:p>
      <w:pPr>
        <w:jc w:val="both"/>
        <w:ind w:left="260"/>
        <w:spacing w:after="0" w:line="237" w:lineRule="auto"/>
        <w:rPr>
          <w:sz w:val="20"/>
          <w:szCs w:val="20"/>
          <w:color w:val="auto"/>
        </w:rPr>
      </w:pPr>
      <w:r>
        <w:rPr>
          <w:rFonts w:ascii="Arial" w:cs="Arial" w:eastAsia="Arial" w:hAnsi="Arial"/>
          <w:sz w:val="15"/>
          <w:szCs w:val="15"/>
          <w:color w:val="auto"/>
        </w:rPr>
        <w:t>Ms. Holt has served as President, Chief Executive Officer and Director of Proto Labs, Inc. since 2014 and was President and Chief Executive Officer of Spartech Corporation from 2010 to 2013. Prior to joining Spartech, she served as Senior Vice President of PPG Industries, Inc. for over five years. Ms. Holt holds an MBA from Pace University and a bachelor's degree in chemistry from Duke University.</w:t>
      </w:r>
    </w:p>
    <w:p>
      <w:pPr>
        <w:spacing w:after="0" w:line="168" w:lineRule="exact"/>
        <w:rPr>
          <w:sz w:val="20"/>
          <w:szCs w:val="20"/>
          <w:color w:val="auto"/>
        </w:rPr>
      </w:pPr>
    </w:p>
    <w:p>
      <w:pPr>
        <w:sectPr>
          <w:pgSz w:w="11900" w:h="16838" w:orient="portrait"/>
          <w:cols w:equalWidth="0" w:num="2">
            <w:col w:w="2620" w:space="720"/>
            <w:col w:w="7920"/>
          </w:cols>
          <w:pgMar w:left="320" w:top="142" w:right="319" w:bottom="1440" w:gutter="0" w:footer="0" w:header="0"/>
          <w:type w:val="continuous"/>
        </w:sectPr>
      </w:pPr>
    </w:p>
    <w:p>
      <w:pPr>
        <w:ind w:left="9320"/>
        <w:spacing w:after="0"/>
        <w:tabs>
          <w:tab w:leader="none" w:pos="10940" w:val="left"/>
          <w:tab w:leader="none" w:pos="1116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-99060</wp:posOffset>
            </wp:positionV>
            <wp:extent cx="429260" cy="11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10" w:name="page11"/>
    <w:bookmarkEnd w:id="1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155180" cy="60528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5180" cy="6052820"/>
                    </a:xfrm>
                    <a:prstGeom prst="rect">
                      <a:avLst/>
                    </a:prstGeom>
                    <a:noFill/>
                  </pic:spPr>
                </pic:pic>
              </a:graphicData>
            </a:graphic>
          </wp:anchor>
        </w:drawing>
      </w:r>
    </w:p>
    <w:p>
      <w:pPr>
        <w:spacing w:after="0" w:line="196"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477157"/>
        </w:rPr>
        <w:t>Key Functions</w:t>
      </w:r>
    </w:p>
    <w:p>
      <w:pPr>
        <w:spacing w:after="0" w:line="179" w:lineRule="exact"/>
        <w:rPr>
          <w:sz w:val="20"/>
          <w:szCs w:val="20"/>
          <w:color w:val="auto"/>
        </w:rPr>
      </w:pPr>
    </w:p>
    <w:p>
      <w:pPr>
        <w:jc w:val="both"/>
        <w:ind w:left="3340"/>
        <w:spacing w:after="0" w:line="237" w:lineRule="auto"/>
        <w:rPr>
          <w:sz w:val="20"/>
          <w:szCs w:val="20"/>
          <w:color w:val="auto"/>
        </w:rPr>
      </w:pPr>
      <w:r>
        <w:rPr>
          <w:rFonts w:ascii="Arial" w:cs="Arial" w:eastAsia="Arial" w:hAnsi="Arial"/>
          <w:sz w:val="15"/>
          <w:szCs w:val="15"/>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independent auditors and internal audit function. As part of its function, the Audit Committee reports the results of all of its reviews to the full Board. In fulfilling its duties, the Audit Committee, has the following responsibilities:</w:t>
      </w:r>
    </w:p>
    <w:p>
      <w:pPr>
        <w:spacing w:after="0" w:line="160" w:lineRule="exact"/>
        <w:rPr>
          <w:sz w:val="20"/>
          <w:szCs w:val="20"/>
          <w:color w:val="auto"/>
        </w:rPr>
      </w:pPr>
    </w:p>
    <w:p>
      <w:pPr>
        <w:ind w:left="3340"/>
        <w:spacing w:after="0"/>
        <w:rPr>
          <w:sz w:val="20"/>
          <w:szCs w:val="20"/>
          <w:color w:val="auto"/>
        </w:rPr>
      </w:pPr>
      <w:r>
        <w:rPr>
          <w:rFonts w:ascii="Arial" w:cs="Arial" w:eastAsia="Arial" w:hAnsi="Arial"/>
          <w:sz w:val="15"/>
          <w:szCs w:val="15"/>
          <w:i w:val="1"/>
          <w:iCs w:val="1"/>
          <w:color w:val="auto"/>
        </w:rPr>
        <w:t>Administrative Responsibilities</w:t>
      </w:r>
    </w:p>
    <w:p>
      <w:pPr>
        <w:spacing w:after="0" w:line="180" w:lineRule="exact"/>
        <w:rPr>
          <w:sz w:val="20"/>
          <w:szCs w:val="20"/>
          <w:color w:val="auto"/>
        </w:rPr>
      </w:pPr>
    </w:p>
    <w:p>
      <w:pPr>
        <w:ind w:left="3480" w:hanging="143"/>
        <w:spacing w:after="0"/>
        <w:tabs>
          <w:tab w:leader="none" w:pos="3480" w:val="left"/>
        </w:tabs>
        <w:numPr>
          <w:ilvl w:val="0"/>
          <w:numId w:val="8"/>
        </w:numPr>
        <w:rPr>
          <w:rFonts w:ascii="Arial" w:cs="Arial" w:eastAsia="Arial" w:hAnsi="Arial"/>
          <w:sz w:val="15"/>
          <w:szCs w:val="15"/>
          <w:color w:val="477157"/>
        </w:rPr>
      </w:pPr>
      <w:r>
        <w:rPr>
          <w:rFonts w:ascii="Arial" w:cs="Arial" w:eastAsia="Arial" w:hAnsi="Arial"/>
          <w:sz w:val="15"/>
          <w:szCs w:val="15"/>
          <w:color w:val="auto"/>
        </w:rPr>
        <w:t>Report to the Board, at least annually, all public company audit committee memberships by members of the Audit Committee;</w:t>
      </w:r>
    </w:p>
    <w:p>
      <w:pPr>
        <w:spacing w:after="0" w:line="162" w:lineRule="exact"/>
        <w:rPr>
          <w:rFonts w:ascii="Arial" w:cs="Arial" w:eastAsia="Arial" w:hAnsi="Arial"/>
          <w:sz w:val="15"/>
          <w:szCs w:val="15"/>
          <w:color w:val="477157"/>
        </w:rPr>
      </w:pPr>
    </w:p>
    <w:p>
      <w:pPr>
        <w:ind w:left="3480" w:right="20" w:hanging="143"/>
        <w:spacing w:after="0"/>
        <w:tabs>
          <w:tab w:leader="none" w:pos="3480" w:val="left"/>
        </w:tabs>
        <w:numPr>
          <w:ilvl w:val="0"/>
          <w:numId w:val="8"/>
        </w:numPr>
        <w:rPr>
          <w:rFonts w:ascii="Arial" w:cs="Arial" w:eastAsia="Arial" w:hAnsi="Arial"/>
          <w:sz w:val="15"/>
          <w:szCs w:val="15"/>
          <w:color w:val="477157"/>
        </w:rPr>
      </w:pPr>
      <w:r>
        <w:rPr>
          <w:rFonts w:ascii="Arial" w:cs="Arial" w:eastAsia="Arial" w:hAnsi="Arial"/>
          <w:sz w:val="15"/>
          <w:szCs w:val="15"/>
          <w:color w:val="auto"/>
        </w:rPr>
        <w:t>Perform an annual review of its performance relative to its charter and report the results of its evaluation to the full Board; and</w:t>
      </w:r>
    </w:p>
    <w:p>
      <w:pPr>
        <w:spacing w:after="0" w:line="162" w:lineRule="exact"/>
        <w:rPr>
          <w:rFonts w:ascii="Arial" w:cs="Arial" w:eastAsia="Arial" w:hAnsi="Arial"/>
          <w:sz w:val="15"/>
          <w:szCs w:val="15"/>
          <w:color w:val="477157"/>
        </w:rPr>
      </w:pPr>
    </w:p>
    <w:p>
      <w:pPr>
        <w:ind w:left="3480" w:hanging="143"/>
        <w:spacing w:after="0"/>
        <w:tabs>
          <w:tab w:leader="none" w:pos="3480" w:val="left"/>
        </w:tabs>
        <w:numPr>
          <w:ilvl w:val="0"/>
          <w:numId w:val="8"/>
        </w:numPr>
        <w:rPr>
          <w:rFonts w:ascii="Arial" w:cs="Arial" w:eastAsia="Arial" w:hAnsi="Arial"/>
          <w:sz w:val="15"/>
          <w:szCs w:val="15"/>
          <w:color w:val="477157"/>
        </w:rPr>
      </w:pPr>
      <w:r>
        <w:rPr>
          <w:rFonts w:ascii="Arial" w:cs="Arial" w:eastAsia="Arial" w:hAnsi="Arial"/>
          <w:sz w:val="15"/>
          <w:szCs w:val="15"/>
          <w:color w:val="auto"/>
        </w:rPr>
        <w:t>Adopt an orientation program for new Audit Committee members.</w:t>
      </w:r>
    </w:p>
    <w:p>
      <w:pPr>
        <w:spacing w:after="0" w:line="163" w:lineRule="exact"/>
        <w:rPr>
          <w:sz w:val="20"/>
          <w:szCs w:val="20"/>
          <w:color w:val="auto"/>
        </w:rPr>
      </w:pPr>
    </w:p>
    <w:p>
      <w:pPr>
        <w:ind w:left="3340"/>
        <w:spacing w:after="0"/>
        <w:rPr>
          <w:sz w:val="20"/>
          <w:szCs w:val="20"/>
          <w:color w:val="auto"/>
        </w:rPr>
      </w:pPr>
      <w:r>
        <w:rPr>
          <w:rFonts w:ascii="Arial" w:cs="Arial" w:eastAsia="Arial" w:hAnsi="Arial"/>
          <w:sz w:val="15"/>
          <w:szCs w:val="15"/>
          <w:i w:val="1"/>
          <w:iCs w:val="1"/>
          <w:color w:val="auto"/>
        </w:rPr>
        <w:t>Financial Statements</w:t>
      </w:r>
    </w:p>
    <w:p>
      <w:pPr>
        <w:spacing w:after="0" w:line="180" w:lineRule="exact"/>
        <w:rPr>
          <w:sz w:val="20"/>
          <w:szCs w:val="20"/>
          <w:color w:val="auto"/>
        </w:rPr>
      </w:pPr>
    </w:p>
    <w:p>
      <w:pPr>
        <w:ind w:left="3480" w:hanging="143"/>
        <w:spacing w:after="0"/>
        <w:tabs>
          <w:tab w:leader="none" w:pos="3480" w:val="left"/>
        </w:tabs>
        <w:numPr>
          <w:ilvl w:val="0"/>
          <w:numId w:val="9"/>
        </w:numPr>
        <w:rPr>
          <w:rFonts w:ascii="Arial" w:cs="Arial" w:eastAsia="Arial" w:hAnsi="Arial"/>
          <w:sz w:val="15"/>
          <w:szCs w:val="15"/>
          <w:color w:val="477157"/>
        </w:rPr>
      </w:pPr>
      <w:r>
        <w:rPr>
          <w:rFonts w:ascii="Arial" w:cs="Arial" w:eastAsia="Arial" w:hAnsi="Arial"/>
          <w:sz w:val="15"/>
          <w:szCs w:val="15"/>
          <w:color w:val="auto"/>
        </w:rPr>
        <w:t>Review financial statements and Forms 10-K and 10-Q with management and the independent auditor;</w:t>
      </w:r>
    </w:p>
    <w:p>
      <w:pPr>
        <w:spacing w:after="0" w:line="165" w:lineRule="exact"/>
        <w:rPr>
          <w:rFonts w:ascii="Arial" w:cs="Arial" w:eastAsia="Arial" w:hAnsi="Arial"/>
          <w:sz w:val="15"/>
          <w:szCs w:val="15"/>
          <w:color w:val="477157"/>
        </w:rPr>
      </w:pPr>
    </w:p>
    <w:p>
      <w:pPr>
        <w:ind w:left="3480" w:hanging="143"/>
        <w:spacing w:after="0"/>
        <w:tabs>
          <w:tab w:leader="none" w:pos="3480" w:val="left"/>
        </w:tabs>
        <w:numPr>
          <w:ilvl w:val="0"/>
          <w:numId w:val="9"/>
        </w:numPr>
        <w:rPr>
          <w:rFonts w:ascii="Arial" w:cs="Arial" w:eastAsia="Arial" w:hAnsi="Arial"/>
          <w:sz w:val="15"/>
          <w:szCs w:val="15"/>
          <w:color w:val="477157"/>
        </w:rPr>
      </w:pPr>
      <w:r>
        <w:rPr>
          <w:rFonts w:ascii="Arial" w:cs="Arial" w:eastAsia="Arial" w:hAnsi="Arial"/>
          <w:sz w:val="15"/>
          <w:szCs w:val="15"/>
          <w:color w:val="auto"/>
        </w:rPr>
        <w:t>Review all earnings press releases and discuss with management the type of earnings guidance that we provide to analysts and rating agencies;</w:t>
      </w:r>
    </w:p>
    <w:p>
      <w:pPr>
        <w:spacing w:after="0" w:line="162" w:lineRule="exact"/>
        <w:rPr>
          <w:rFonts w:ascii="Arial" w:cs="Arial" w:eastAsia="Arial" w:hAnsi="Arial"/>
          <w:sz w:val="15"/>
          <w:szCs w:val="15"/>
          <w:color w:val="477157"/>
        </w:rPr>
      </w:pPr>
    </w:p>
    <w:p>
      <w:pPr>
        <w:jc w:val="both"/>
        <w:ind w:left="3480" w:hanging="143"/>
        <w:spacing w:after="0" w:line="238" w:lineRule="auto"/>
        <w:tabs>
          <w:tab w:leader="none" w:pos="3480" w:val="left"/>
        </w:tabs>
        <w:numPr>
          <w:ilvl w:val="0"/>
          <w:numId w:val="9"/>
        </w:numPr>
        <w:rPr>
          <w:rFonts w:ascii="Arial" w:cs="Arial" w:eastAsia="Arial" w:hAnsi="Arial"/>
          <w:sz w:val="15"/>
          <w:szCs w:val="15"/>
          <w:color w:val="477157"/>
        </w:rPr>
      </w:pPr>
      <w:r>
        <w:rPr>
          <w:rFonts w:ascii="Arial" w:cs="Arial" w:eastAsia="Arial" w:hAnsi="Arial"/>
          <w:sz w:val="15"/>
          <w:szCs w:val="15"/>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15"/>
          <w:szCs w:val="15"/>
          <w:i w:val="1"/>
          <w:iCs w:val="1"/>
          <w:color w:val="auto"/>
        </w:rPr>
        <w:t>Communications with Audit Committees;</w:t>
      </w:r>
    </w:p>
    <w:p>
      <w:pPr>
        <w:spacing w:after="0" w:line="162" w:lineRule="exact"/>
        <w:rPr>
          <w:rFonts w:ascii="Arial" w:cs="Arial" w:eastAsia="Arial" w:hAnsi="Arial"/>
          <w:sz w:val="15"/>
          <w:szCs w:val="15"/>
          <w:color w:val="477157"/>
        </w:rPr>
      </w:pPr>
    </w:p>
    <w:p>
      <w:pPr>
        <w:ind w:left="3480" w:right="20" w:hanging="143"/>
        <w:spacing w:after="0"/>
        <w:tabs>
          <w:tab w:leader="none" w:pos="3480" w:val="left"/>
        </w:tabs>
        <w:numPr>
          <w:ilvl w:val="0"/>
          <w:numId w:val="9"/>
        </w:numPr>
        <w:rPr>
          <w:rFonts w:ascii="Arial" w:cs="Arial" w:eastAsia="Arial" w:hAnsi="Arial"/>
          <w:sz w:val="15"/>
          <w:szCs w:val="15"/>
          <w:color w:val="477157"/>
        </w:rPr>
      </w:pPr>
      <w:r>
        <w:rPr>
          <w:rFonts w:ascii="Arial" w:cs="Arial" w:eastAsia="Arial" w:hAnsi="Arial"/>
          <w:sz w:val="15"/>
          <w:szCs w:val="15"/>
          <w:color w:val="auto"/>
        </w:rPr>
        <w:t>Review our financial reporting, accounting and auditing practices with management, the independent auditor and our internal auditors;</w:t>
      </w:r>
    </w:p>
    <w:p>
      <w:pPr>
        <w:spacing w:after="0" w:line="162" w:lineRule="exact"/>
        <w:rPr>
          <w:rFonts w:ascii="Arial" w:cs="Arial" w:eastAsia="Arial" w:hAnsi="Arial"/>
          <w:sz w:val="15"/>
          <w:szCs w:val="15"/>
          <w:color w:val="477157"/>
        </w:rPr>
      </w:pPr>
    </w:p>
    <w:p>
      <w:pPr>
        <w:ind w:left="3480" w:right="20" w:hanging="143"/>
        <w:spacing w:after="0"/>
        <w:tabs>
          <w:tab w:leader="none" w:pos="3480" w:val="left"/>
        </w:tabs>
        <w:numPr>
          <w:ilvl w:val="0"/>
          <w:numId w:val="9"/>
        </w:numPr>
        <w:rPr>
          <w:rFonts w:ascii="Arial" w:cs="Arial" w:eastAsia="Arial" w:hAnsi="Arial"/>
          <w:sz w:val="15"/>
          <w:szCs w:val="15"/>
          <w:color w:val="477157"/>
        </w:rPr>
      </w:pPr>
      <w:r>
        <w:rPr>
          <w:rFonts w:ascii="Arial" w:cs="Arial" w:eastAsia="Arial" w:hAnsi="Arial"/>
          <w:sz w:val="15"/>
          <w:szCs w:val="15"/>
          <w:color w:val="auto"/>
        </w:rPr>
        <w:t>Review management's and the independent auditor's assessment of the adequacy and effectiveness of internal controls over financial reporting; and</w:t>
      </w:r>
    </w:p>
    <w:p>
      <w:pPr>
        <w:spacing w:after="0" w:line="162" w:lineRule="exact"/>
        <w:rPr>
          <w:rFonts w:ascii="Arial" w:cs="Arial" w:eastAsia="Arial" w:hAnsi="Arial"/>
          <w:sz w:val="15"/>
          <w:szCs w:val="15"/>
          <w:color w:val="477157"/>
        </w:rPr>
      </w:pPr>
    </w:p>
    <w:p>
      <w:pPr>
        <w:ind w:left="3480" w:hanging="143"/>
        <w:spacing w:after="0"/>
        <w:tabs>
          <w:tab w:leader="none" w:pos="3480" w:val="left"/>
        </w:tabs>
        <w:numPr>
          <w:ilvl w:val="0"/>
          <w:numId w:val="9"/>
        </w:numPr>
        <w:rPr>
          <w:rFonts w:ascii="Arial" w:cs="Arial" w:eastAsia="Arial" w:hAnsi="Arial"/>
          <w:sz w:val="15"/>
          <w:szCs w:val="15"/>
          <w:color w:val="477157"/>
        </w:rPr>
      </w:pPr>
      <w:r>
        <w:rPr>
          <w:rFonts w:ascii="Arial" w:cs="Arial" w:eastAsia="Arial" w:hAnsi="Arial"/>
          <w:sz w:val="15"/>
          <w:szCs w:val="15"/>
          <w:color w:val="auto"/>
        </w:rPr>
        <w:t>Review executive officer certifications related to our reports and filings.</w:t>
      </w:r>
    </w:p>
    <w:p>
      <w:pPr>
        <w:spacing w:after="0" w:line="163" w:lineRule="exact"/>
        <w:rPr>
          <w:sz w:val="20"/>
          <w:szCs w:val="20"/>
          <w:color w:val="auto"/>
        </w:rPr>
      </w:pPr>
    </w:p>
    <w:p>
      <w:pPr>
        <w:ind w:left="3340"/>
        <w:spacing w:after="0"/>
        <w:rPr>
          <w:sz w:val="20"/>
          <w:szCs w:val="20"/>
          <w:color w:val="auto"/>
        </w:rPr>
      </w:pPr>
      <w:r>
        <w:rPr>
          <w:rFonts w:ascii="Arial" w:cs="Arial" w:eastAsia="Arial" w:hAnsi="Arial"/>
          <w:sz w:val="15"/>
          <w:szCs w:val="15"/>
          <w:i w:val="1"/>
          <w:iCs w:val="1"/>
          <w:color w:val="auto"/>
        </w:rPr>
        <w:t>Independent Auditor</w:t>
      </w:r>
    </w:p>
    <w:p>
      <w:pPr>
        <w:spacing w:after="0" w:line="180" w:lineRule="exact"/>
        <w:rPr>
          <w:sz w:val="20"/>
          <w:szCs w:val="20"/>
          <w:color w:val="auto"/>
        </w:rPr>
      </w:pPr>
    </w:p>
    <w:p>
      <w:pPr>
        <w:ind w:left="3480" w:hanging="143"/>
        <w:spacing w:after="0"/>
        <w:tabs>
          <w:tab w:leader="none" w:pos="3480" w:val="left"/>
        </w:tabs>
        <w:numPr>
          <w:ilvl w:val="0"/>
          <w:numId w:val="10"/>
        </w:numPr>
        <w:rPr>
          <w:rFonts w:ascii="Arial" w:cs="Arial" w:eastAsia="Arial" w:hAnsi="Arial"/>
          <w:sz w:val="15"/>
          <w:szCs w:val="15"/>
          <w:color w:val="477157"/>
        </w:rPr>
      </w:pPr>
      <w:r>
        <w:rPr>
          <w:rFonts w:ascii="Arial" w:cs="Arial" w:eastAsia="Arial" w:hAnsi="Arial"/>
          <w:sz w:val="15"/>
          <w:szCs w:val="15"/>
          <w:color w:val="auto"/>
        </w:rPr>
        <w:t>Engage an independent auditor, determine the auditor's compensation and replace the auditor if necessary;</w:t>
      </w:r>
    </w:p>
    <w:p>
      <w:pPr>
        <w:spacing w:after="0" w:line="165" w:lineRule="exact"/>
        <w:rPr>
          <w:rFonts w:ascii="Arial" w:cs="Arial" w:eastAsia="Arial" w:hAnsi="Arial"/>
          <w:sz w:val="15"/>
          <w:szCs w:val="15"/>
          <w:color w:val="477157"/>
        </w:rPr>
      </w:pPr>
    </w:p>
    <w:p>
      <w:pPr>
        <w:ind w:left="3480" w:hanging="143"/>
        <w:spacing w:after="0"/>
        <w:tabs>
          <w:tab w:leader="none" w:pos="3480" w:val="left"/>
        </w:tabs>
        <w:numPr>
          <w:ilvl w:val="0"/>
          <w:numId w:val="10"/>
        </w:numPr>
        <w:rPr>
          <w:rFonts w:ascii="Arial" w:cs="Arial" w:eastAsia="Arial" w:hAnsi="Arial"/>
          <w:sz w:val="15"/>
          <w:szCs w:val="15"/>
          <w:color w:val="477157"/>
        </w:rPr>
      </w:pPr>
      <w:r>
        <w:rPr>
          <w:rFonts w:ascii="Arial" w:cs="Arial" w:eastAsia="Arial" w:hAnsi="Arial"/>
          <w:sz w:val="15"/>
          <w:szCs w:val="15"/>
          <w:color w:val="auto"/>
        </w:rPr>
        <w:t>Review the independence of the independent auditor and establish our policies for hiring current or former employees of the independent auditor;</w:t>
      </w:r>
    </w:p>
    <w:p>
      <w:pPr>
        <w:spacing w:after="0" w:line="162" w:lineRule="exact"/>
        <w:rPr>
          <w:rFonts w:ascii="Arial" w:cs="Arial" w:eastAsia="Arial" w:hAnsi="Arial"/>
          <w:sz w:val="15"/>
          <w:szCs w:val="15"/>
          <w:color w:val="477157"/>
        </w:rPr>
      </w:pPr>
    </w:p>
    <w:p>
      <w:pPr>
        <w:ind w:left="3480" w:hanging="143"/>
        <w:spacing w:after="0"/>
        <w:tabs>
          <w:tab w:leader="none" w:pos="3480" w:val="left"/>
        </w:tabs>
        <w:numPr>
          <w:ilvl w:val="0"/>
          <w:numId w:val="10"/>
        </w:numPr>
        <w:rPr>
          <w:rFonts w:ascii="Arial" w:cs="Arial" w:eastAsia="Arial" w:hAnsi="Arial"/>
          <w:sz w:val="15"/>
          <w:szCs w:val="15"/>
          <w:color w:val="477157"/>
        </w:rPr>
      </w:pPr>
      <w:r>
        <w:rPr>
          <w:rFonts w:ascii="Arial" w:cs="Arial" w:eastAsia="Arial" w:hAnsi="Arial"/>
          <w:sz w:val="15"/>
          <w:szCs w:val="15"/>
          <w:color w:val="auto"/>
        </w:rPr>
        <w:t>Evaluate the lead partner of our independent audit team and review a report, at least annually, describing the independent auditor's internal control procedures; and</w:t>
      </w:r>
    </w:p>
    <w:p>
      <w:pPr>
        <w:spacing w:after="0" w:line="162" w:lineRule="exact"/>
        <w:rPr>
          <w:rFonts w:ascii="Arial" w:cs="Arial" w:eastAsia="Arial" w:hAnsi="Arial"/>
          <w:sz w:val="15"/>
          <w:szCs w:val="15"/>
          <w:color w:val="477157"/>
        </w:rPr>
      </w:pPr>
    </w:p>
    <w:p>
      <w:pPr>
        <w:ind w:left="3480" w:hanging="143"/>
        <w:spacing w:after="0"/>
        <w:tabs>
          <w:tab w:leader="none" w:pos="3480" w:val="left"/>
        </w:tabs>
        <w:numPr>
          <w:ilvl w:val="0"/>
          <w:numId w:val="10"/>
        </w:numPr>
        <w:rPr>
          <w:rFonts w:ascii="Arial" w:cs="Arial" w:eastAsia="Arial" w:hAnsi="Arial"/>
          <w:sz w:val="15"/>
          <w:szCs w:val="15"/>
          <w:color w:val="477157"/>
        </w:rPr>
      </w:pPr>
      <w:r>
        <w:rPr>
          <w:rFonts w:ascii="Arial" w:cs="Arial" w:eastAsia="Arial" w:hAnsi="Arial"/>
          <w:sz w:val="15"/>
          <w:szCs w:val="15"/>
          <w:color w:val="auto"/>
        </w:rPr>
        <w:t>Pre-approve all services, including non-audit engagements, provided by the independent auditor.</w:t>
      </w:r>
    </w:p>
    <w:p>
      <w:pPr>
        <w:spacing w:after="0" w:line="163" w:lineRule="exact"/>
        <w:rPr>
          <w:sz w:val="20"/>
          <w:szCs w:val="20"/>
          <w:color w:val="auto"/>
        </w:rPr>
      </w:pPr>
    </w:p>
    <w:p>
      <w:pPr>
        <w:ind w:left="3340"/>
        <w:spacing w:after="0"/>
        <w:rPr>
          <w:sz w:val="20"/>
          <w:szCs w:val="20"/>
          <w:color w:val="auto"/>
        </w:rPr>
      </w:pPr>
      <w:r>
        <w:rPr>
          <w:rFonts w:ascii="Arial" w:cs="Arial" w:eastAsia="Arial" w:hAnsi="Arial"/>
          <w:sz w:val="15"/>
          <w:szCs w:val="15"/>
          <w:i w:val="1"/>
          <w:iCs w:val="1"/>
          <w:color w:val="auto"/>
        </w:rPr>
        <w:t>Internal Audit</w:t>
      </w:r>
    </w:p>
    <w:p>
      <w:pPr>
        <w:spacing w:after="0" w:line="180" w:lineRule="exact"/>
        <w:rPr>
          <w:sz w:val="20"/>
          <w:szCs w:val="20"/>
          <w:color w:val="auto"/>
        </w:rPr>
      </w:pPr>
    </w:p>
    <w:p>
      <w:pPr>
        <w:ind w:left="3480" w:hanging="143"/>
        <w:spacing w:after="0"/>
        <w:tabs>
          <w:tab w:leader="none" w:pos="3480" w:val="left"/>
        </w:tabs>
        <w:numPr>
          <w:ilvl w:val="0"/>
          <w:numId w:val="11"/>
        </w:numPr>
        <w:rPr>
          <w:rFonts w:ascii="Arial" w:cs="Arial" w:eastAsia="Arial" w:hAnsi="Arial"/>
          <w:sz w:val="15"/>
          <w:szCs w:val="15"/>
          <w:color w:val="477157"/>
        </w:rPr>
      </w:pPr>
      <w:r>
        <w:rPr>
          <w:rFonts w:ascii="Arial" w:cs="Arial" w:eastAsia="Arial" w:hAnsi="Arial"/>
          <w:sz w:val="15"/>
          <w:szCs w:val="15"/>
          <w:color w:val="auto"/>
        </w:rPr>
        <w:t>Review the plans, staffing, reports and activities of the internal auditors; and</w:t>
      </w:r>
    </w:p>
    <w:p>
      <w:pPr>
        <w:spacing w:after="0" w:line="165" w:lineRule="exact"/>
        <w:rPr>
          <w:rFonts w:ascii="Arial" w:cs="Arial" w:eastAsia="Arial" w:hAnsi="Arial"/>
          <w:sz w:val="15"/>
          <w:szCs w:val="15"/>
          <w:color w:val="477157"/>
        </w:rPr>
      </w:pPr>
    </w:p>
    <w:p>
      <w:pPr>
        <w:ind w:left="3480" w:right="20" w:hanging="143"/>
        <w:spacing w:after="0"/>
        <w:tabs>
          <w:tab w:leader="none" w:pos="3480" w:val="left"/>
        </w:tabs>
        <w:numPr>
          <w:ilvl w:val="0"/>
          <w:numId w:val="11"/>
        </w:numPr>
        <w:rPr>
          <w:rFonts w:ascii="Arial" w:cs="Arial" w:eastAsia="Arial" w:hAnsi="Arial"/>
          <w:sz w:val="15"/>
          <w:szCs w:val="15"/>
          <w:color w:val="477157"/>
        </w:rPr>
      </w:pPr>
      <w:r>
        <w:rPr>
          <w:rFonts w:ascii="Arial" w:cs="Arial" w:eastAsia="Arial" w:hAnsi="Arial"/>
          <w:sz w:val="15"/>
          <w:szCs w:val="15"/>
          <w:color w:val="auto"/>
        </w:rPr>
        <w:t>Review and establish procedures for receiving, retaining and handling complaints, including anonymous complaints by our employees, regarding accounting, internal controls and auditing matters.</w:t>
      </w:r>
    </w:p>
    <w:p>
      <w:pPr>
        <w:spacing w:after="0" w:line="166" w:lineRule="exact"/>
        <w:rPr>
          <w:sz w:val="20"/>
          <w:szCs w:val="20"/>
          <w:color w:val="auto"/>
        </w:rPr>
      </w:pPr>
    </w:p>
    <w:p>
      <w:pPr>
        <w:spacing w:after="0"/>
        <w:tabs>
          <w:tab w:leader="none" w:pos="260" w:val="left"/>
        </w:tabs>
        <w:rPr>
          <w:sz w:val="20"/>
          <w:szCs w:val="20"/>
          <w:color w:val="auto"/>
        </w:rPr>
      </w:pPr>
      <w:r>
        <w:rPr>
          <w:rFonts w:ascii="Arial" w:cs="Arial" w:eastAsia="Arial" w:hAnsi="Arial"/>
          <w:sz w:val="15"/>
          <w:szCs w:val="15"/>
          <w:color w:val="auto"/>
        </w:rPr>
        <w:t>8</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155180" cy="47510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5180" cy="4751070"/>
                    </a:xfrm>
                    <a:prstGeom prst="rect">
                      <a:avLst/>
                    </a:prstGeom>
                    <a:noFill/>
                  </pic:spPr>
                </pic:pic>
              </a:graphicData>
            </a:graphic>
          </wp:anchor>
        </w:drawing>
      </w:r>
    </w:p>
    <w:p>
      <w:pPr>
        <w:jc w:val="right"/>
        <w:spacing w:after="0" w:line="215" w:lineRule="auto"/>
        <w:rPr>
          <w:sz w:val="20"/>
          <w:szCs w:val="20"/>
          <w:color w:val="auto"/>
        </w:rPr>
      </w:pPr>
      <w:r>
        <w:rPr>
          <w:rFonts w:ascii="Arial" w:cs="Arial" w:eastAsia="Arial" w:hAnsi="Arial"/>
          <w:sz w:val="15"/>
          <w:szCs w:val="15"/>
          <w:color w:val="auto"/>
        </w:rPr>
        <w:t>The role of the Audit Committee is, among other things, to oversee the Company's financial reporting process on behalf of</w:t>
      </w:r>
    </w:p>
    <w:p>
      <w:pPr>
        <w:spacing w:after="0" w:line="1" w:lineRule="exact"/>
        <w:rPr>
          <w:sz w:val="20"/>
          <w:szCs w:val="20"/>
          <w:color w:val="auto"/>
        </w:rPr>
      </w:pPr>
    </w:p>
    <w:p>
      <w:pPr>
        <w:jc w:val="both"/>
        <w:ind w:left="3340" w:hanging="3345"/>
        <w:spacing w:after="0" w:line="236" w:lineRule="auto"/>
        <w:tabs>
          <w:tab w:leader="none" w:pos="3320" w:val="left"/>
        </w:tabs>
        <w:rPr>
          <w:sz w:val="20"/>
          <w:szCs w:val="20"/>
          <w:color w:val="auto"/>
        </w:rPr>
      </w:pPr>
      <w:r>
        <w:rPr>
          <w:rFonts w:ascii="Arial" w:cs="Arial" w:eastAsia="Arial" w:hAnsi="Arial"/>
          <w:sz w:val="20"/>
          <w:szCs w:val="20"/>
          <w:b w:val="1"/>
          <w:bCs w:val="1"/>
          <w:color w:val="477157"/>
        </w:rPr>
        <w:t>AUDIT COMMITTEE REPORT</w:t>
      </w:r>
      <w:r>
        <w:rPr>
          <w:sz w:val="20"/>
          <w:szCs w:val="20"/>
          <w:color w:val="auto"/>
        </w:rPr>
        <w:tab/>
      </w:r>
      <w:r>
        <w:rPr>
          <w:rFonts w:ascii="Arial" w:cs="Arial" w:eastAsia="Arial" w:hAnsi="Arial"/>
          <w:sz w:val="15"/>
          <w:szCs w:val="15"/>
          <w:color w:val="auto"/>
        </w:rPr>
        <w:t>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205" w:lineRule="exact"/>
        <w:rPr>
          <w:sz w:val="20"/>
          <w:szCs w:val="20"/>
          <w:color w:val="auto"/>
        </w:rPr>
      </w:pPr>
    </w:p>
    <w:p>
      <w:pPr>
        <w:jc w:val="both"/>
        <w:ind w:left="3340"/>
        <w:spacing w:after="0" w:line="238" w:lineRule="auto"/>
        <w:rPr>
          <w:sz w:val="20"/>
          <w:szCs w:val="20"/>
          <w:color w:val="auto"/>
        </w:rPr>
      </w:pPr>
      <w:r>
        <w:rPr>
          <w:rFonts w:ascii="Arial" w:cs="Arial" w:eastAsia="Arial" w:hAnsi="Arial"/>
          <w:sz w:val="15"/>
          <w:szCs w:val="15"/>
          <w:color w:val="auto"/>
        </w:rPr>
        <w:t>The Audit Committee has reviewed and discussed the Company's audited financial statements as of and for the year ended December 31, 2019 with management and the independent registered public accounting firm, and has taken the following steps in making its recommendation that the Company's financial statements be included in its annual report:</w:t>
      </w:r>
    </w:p>
    <w:p>
      <w:pPr>
        <w:spacing w:after="0" w:line="163" w:lineRule="exact"/>
        <w:rPr>
          <w:sz w:val="20"/>
          <w:szCs w:val="20"/>
          <w:color w:val="auto"/>
        </w:rPr>
      </w:pPr>
    </w:p>
    <w:p>
      <w:pPr>
        <w:jc w:val="both"/>
        <w:ind w:left="3480" w:hanging="143"/>
        <w:spacing w:after="0" w:line="237" w:lineRule="auto"/>
        <w:tabs>
          <w:tab w:leader="none" w:pos="3480" w:val="left"/>
        </w:tabs>
        <w:numPr>
          <w:ilvl w:val="0"/>
          <w:numId w:val="12"/>
        </w:numPr>
        <w:rPr>
          <w:rFonts w:ascii="Arial" w:cs="Arial" w:eastAsia="Arial" w:hAnsi="Arial"/>
          <w:sz w:val="15"/>
          <w:szCs w:val="15"/>
          <w:color w:val="477157"/>
        </w:rPr>
      </w:pPr>
      <w:r>
        <w:rPr>
          <w:rFonts w:ascii="Arial" w:cs="Arial" w:eastAsia="Arial" w:hAnsi="Arial"/>
          <w:sz w:val="15"/>
          <w:szCs w:val="15"/>
          <w:color w:val="auto"/>
        </w:rPr>
        <w:t>First, the Audit Committee discussed with Ernst &amp; Young, the Company's independent registered public accounting firm for fiscal year 2019,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162" w:lineRule="exact"/>
        <w:rPr>
          <w:rFonts w:ascii="Arial" w:cs="Arial" w:eastAsia="Arial" w:hAnsi="Arial"/>
          <w:sz w:val="15"/>
          <w:szCs w:val="15"/>
          <w:color w:val="477157"/>
        </w:rPr>
      </w:pPr>
    </w:p>
    <w:p>
      <w:pPr>
        <w:jc w:val="both"/>
        <w:ind w:left="3480" w:hanging="143"/>
        <w:spacing w:after="0" w:line="237" w:lineRule="auto"/>
        <w:tabs>
          <w:tab w:leader="none" w:pos="3480" w:val="left"/>
        </w:tabs>
        <w:numPr>
          <w:ilvl w:val="0"/>
          <w:numId w:val="12"/>
        </w:numPr>
        <w:rPr>
          <w:rFonts w:ascii="Arial" w:cs="Arial" w:eastAsia="Arial" w:hAnsi="Arial"/>
          <w:sz w:val="15"/>
          <w:szCs w:val="15"/>
          <w:color w:val="477157"/>
        </w:rPr>
      </w:pPr>
      <w:r>
        <w:rPr>
          <w:rFonts w:ascii="Arial" w:cs="Arial" w:eastAsia="Arial" w:hAnsi="Arial"/>
          <w:sz w:val="15"/>
          <w:szCs w:val="15"/>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162" w:lineRule="exact"/>
        <w:rPr>
          <w:rFonts w:ascii="Arial" w:cs="Arial" w:eastAsia="Arial" w:hAnsi="Arial"/>
          <w:sz w:val="15"/>
          <w:szCs w:val="15"/>
          <w:color w:val="477157"/>
        </w:rPr>
      </w:pPr>
    </w:p>
    <w:p>
      <w:pPr>
        <w:jc w:val="both"/>
        <w:ind w:left="3480" w:hanging="143"/>
        <w:spacing w:after="0" w:line="237" w:lineRule="auto"/>
        <w:tabs>
          <w:tab w:leader="none" w:pos="3480" w:val="left"/>
        </w:tabs>
        <w:numPr>
          <w:ilvl w:val="0"/>
          <w:numId w:val="12"/>
        </w:numPr>
        <w:rPr>
          <w:rFonts w:ascii="Arial" w:cs="Arial" w:eastAsia="Arial" w:hAnsi="Arial"/>
          <w:sz w:val="15"/>
          <w:szCs w:val="15"/>
          <w:color w:val="477157"/>
        </w:rPr>
      </w:pPr>
      <w:r>
        <w:rPr>
          <w:rFonts w:ascii="Arial" w:cs="Arial" w:eastAsia="Arial" w:hAnsi="Arial"/>
          <w:sz w:val="15"/>
          <w:szCs w:val="15"/>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2019, as well as Ernst &amp; Young's report regarding the effectiveness of internal control over financial reporting.</w:t>
      </w:r>
    </w:p>
    <w:p>
      <w:pPr>
        <w:spacing w:after="0" w:line="163" w:lineRule="exact"/>
        <w:rPr>
          <w:rFonts w:ascii="Arial" w:cs="Arial" w:eastAsia="Arial" w:hAnsi="Arial"/>
          <w:sz w:val="15"/>
          <w:szCs w:val="15"/>
          <w:color w:val="477157"/>
        </w:rPr>
      </w:pPr>
    </w:p>
    <w:p>
      <w:pPr>
        <w:jc w:val="both"/>
        <w:ind w:left="3480" w:hanging="143"/>
        <w:spacing w:after="0" w:line="237" w:lineRule="auto"/>
        <w:tabs>
          <w:tab w:leader="none" w:pos="3480" w:val="left"/>
        </w:tabs>
        <w:numPr>
          <w:ilvl w:val="0"/>
          <w:numId w:val="12"/>
        </w:numPr>
        <w:rPr>
          <w:rFonts w:ascii="Arial" w:cs="Arial" w:eastAsia="Arial" w:hAnsi="Arial"/>
          <w:sz w:val="15"/>
          <w:szCs w:val="15"/>
          <w:color w:val="477157"/>
        </w:rPr>
      </w:pPr>
      <w:r>
        <w:rPr>
          <w:rFonts w:ascii="Arial" w:cs="Arial" w:eastAsia="Arial" w:hAnsi="Arial"/>
          <w:sz w:val="15"/>
          <w:szCs w:val="15"/>
          <w:color w:val="auto"/>
        </w:rPr>
        <w:t>Finally, the Audit Committee reviewed and discussed, with the Company's management and Ernst &amp; Young, the Company's audited consolidated balance sheet as of December 31, 2019, and consolidated statements of operations, comprehensive income, cash flows and changes in equity for the fiscal year ended December 31, 2019, including the quality, not just the acceptability, of the accounting principles, the reasonableness of significant judgments and the clarity of the disclosure.</w:t>
      </w:r>
    </w:p>
    <w:p>
      <w:pPr>
        <w:spacing w:after="0" w:line="174" w:lineRule="exact"/>
        <w:rPr>
          <w:sz w:val="20"/>
          <w:szCs w:val="20"/>
          <w:color w:val="auto"/>
        </w:rPr>
      </w:pPr>
    </w:p>
    <w:p>
      <w:pPr>
        <w:jc w:val="both"/>
        <w:ind w:left="3340"/>
        <w:spacing w:after="0" w:line="237" w:lineRule="auto"/>
        <w:rPr>
          <w:sz w:val="20"/>
          <w:szCs w:val="20"/>
          <w:color w:val="auto"/>
        </w:rPr>
      </w:pPr>
      <w:r>
        <w:rPr>
          <w:rFonts w:ascii="Arial" w:cs="Arial" w:eastAsia="Arial" w:hAnsi="Arial"/>
          <w:sz w:val="15"/>
          <w:szCs w:val="15"/>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175" w:lineRule="exact"/>
        <w:rPr>
          <w:sz w:val="20"/>
          <w:szCs w:val="20"/>
          <w:color w:val="auto"/>
        </w:rPr>
      </w:pPr>
    </w:p>
    <w:p>
      <w:pPr>
        <w:jc w:val="both"/>
        <w:ind w:left="3340"/>
        <w:spacing w:after="0" w:line="237" w:lineRule="auto"/>
        <w:rPr>
          <w:sz w:val="20"/>
          <w:szCs w:val="20"/>
          <w:color w:val="auto"/>
        </w:rPr>
      </w:pPr>
      <w:r>
        <w:rPr>
          <w:rFonts w:ascii="Arial" w:cs="Arial" w:eastAsia="Arial" w:hAnsi="Arial"/>
          <w:sz w:val="15"/>
          <w:szCs w:val="15"/>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168" w:lineRule="exact"/>
        <w:rPr>
          <w:sz w:val="20"/>
          <w:szCs w:val="20"/>
          <w:color w:val="auto"/>
        </w:rPr>
      </w:pPr>
    </w:p>
    <w:p>
      <w:pPr>
        <w:jc w:val="right"/>
        <w:spacing w:after="0"/>
        <w:tabs>
          <w:tab w:leader="none" w:pos="280" w:val="left"/>
          <w:tab w:leader="none" w:pos="6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-99060</wp:posOffset>
            </wp:positionV>
            <wp:extent cx="429260" cy="114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155180" cy="13881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5180" cy="1388110"/>
                    </a:xfrm>
                    <a:prstGeom prst="rect">
                      <a:avLst/>
                    </a:prstGeom>
                    <a:noFill/>
                  </pic:spPr>
                </pic:pic>
              </a:graphicData>
            </a:graphic>
          </wp:anchor>
        </w:drawing>
      </w:r>
    </w:p>
    <w:p>
      <w:pPr>
        <w:spacing w:after="0" w:line="6" w:lineRule="exact"/>
        <w:rPr>
          <w:sz w:val="20"/>
          <w:szCs w:val="20"/>
          <w:color w:val="auto"/>
        </w:rPr>
      </w:pPr>
    </w:p>
    <w:p>
      <w:pPr>
        <w:jc w:val="both"/>
        <w:ind w:left="3340"/>
        <w:spacing w:after="0" w:line="237" w:lineRule="auto"/>
        <w:rPr>
          <w:sz w:val="20"/>
          <w:szCs w:val="20"/>
          <w:color w:val="auto"/>
        </w:rPr>
      </w:pPr>
      <w:r>
        <w:rPr>
          <w:rFonts w:ascii="Arial" w:cs="Arial" w:eastAsia="Arial" w:hAnsi="Arial"/>
          <w:sz w:val="15"/>
          <w:szCs w:val="15"/>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2019. The Committee has also approved the selection of Ernst &amp; Young LLP as the Company's independent registered public accounting firm for fiscal year 2020.</w:t>
      </w:r>
    </w:p>
    <w:p>
      <w:pPr>
        <w:spacing w:after="0" w:line="164" w:lineRule="exact"/>
        <w:rPr>
          <w:sz w:val="20"/>
          <w:szCs w:val="20"/>
          <w:color w:val="auto"/>
        </w:rPr>
      </w:pPr>
    </w:p>
    <w:p>
      <w:pPr>
        <w:ind w:left="3340"/>
        <w:spacing w:after="0"/>
        <w:rPr>
          <w:sz w:val="20"/>
          <w:szCs w:val="20"/>
          <w:color w:val="auto"/>
        </w:rPr>
      </w:pPr>
      <w:r>
        <w:rPr>
          <w:rFonts w:ascii="Arial" w:cs="Arial" w:eastAsia="Arial" w:hAnsi="Arial"/>
          <w:sz w:val="15"/>
          <w:szCs w:val="15"/>
          <w:color w:val="auto"/>
        </w:rPr>
        <w:t>The Audit Committee of the Board of Directors</w:t>
      </w:r>
    </w:p>
    <w:p>
      <w:pPr>
        <w:spacing w:after="0" w:line="118" w:lineRule="exact"/>
        <w:rPr>
          <w:sz w:val="20"/>
          <w:szCs w:val="20"/>
          <w:color w:val="auto"/>
        </w:rPr>
      </w:pPr>
    </w:p>
    <w:p>
      <w:pPr>
        <w:ind w:left="3340"/>
        <w:spacing w:after="0"/>
        <w:rPr>
          <w:sz w:val="20"/>
          <w:szCs w:val="20"/>
          <w:color w:val="auto"/>
        </w:rPr>
      </w:pPr>
      <w:r>
        <w:rPr>
          <w:rFonts w:ascii="Arial" w:cs="Arial" w:eastAsia="Arial" w:hAnsi="Arial"/>
          <w:sz w:val="15"/>
          <w:szCs w:val="15"/>
          <w:color w:val="auto"/>
        </w:rPr>
        <w:t xml:space="preserve">Patrick W. Gross, </w:t>
      </w:r>
      <w:r>
        <w:rPr>
          <w:rFonts w:ascii="Arial" w:cs="Arial" w:eastAsia="Arial" w:hAnsi="Arial"/>
          <w:sz w:val="15"/>
          <w:szCs w:val="15"/>
          <w:i w:val="1"/>
          <w:iCs w:val="1"/>
          <w:color w:val="auto"/>
        </w:rPr>
        <w:t>Chairman</w:t>
      </w:r>
    </w:p>
    <w:p>
      <w:pPr>
        <w:spacing w:after="0" w:line="7" w:lineRule="exact"/>
        <w:rPr>
          <w:sz w:val="20"/>
          <w:szCs w:val="20"/>
          <w:color w:val="auto"/>
        </w:rPr>
      </w:pPr>
    </w:p>
    <w:p>
      <w:pPr>
        <w:ind w:left="3340"/>
        <w:spacing w:after="0"/>
        <w:rPr>
          <w:sz w:val="20"/>
          <w:szCs w:val="20"/>
          <w:color w:val="auto"/>
        </w:rPr>
      </w:pPr>
      <w:r>
        <w:rPr>
          <w:rFonts w:ascii="Arial" w:cs="Arial" w:eastAsia="Arial" w:hAnsi="Arial"/>
          <w:sz w:val="15"/>
          <w:szCs w:val="15"/>
          <w:color w:val="auto"/>
        </w:rPr>
        <w:t>Frank M. Clark, Jr.</w:t>
      </w:r>
    </w:p>
    <w:p>
      <w:pPr>
        <w:ind w:left="3340"/>
        <w:spacing w:after="0" w:line="235" w:lineRule="auto"/>
        <w:rPr>
          <w:sz w:val="20"/>
          <w:szCs w:val="20"/>
          <w:color w:val="auto"/>
        </w:rPr>
      </w:pPr>
      <w:r>
        <w:rPr>
          <w:rFonts w:ascii="Arial" w:cs="Arial" w:eastAsia="Arial" w:hAnsi="Arial"/>
          <w:sz w:val="15"/>
          <w:szCs w:val="15"/>
          <w:color w:val="auto"/>
        </w:rPr>
        <w:t>Andrés R. Gluski</w:t>
      </w:r>
    </w:p>
    <w:p>
      <w:pPr>
        <w:ind w:left="3340"/>
        <w:spacing w:after="0" w:line="235" w:lineRule="auto"/>
        <w:rPr>
          <w:sz w:val="20"/>
          <w:szCs w:val="20"/>
          <w:color w:val="auto"/>
        </w:rPr>
      </w:pPr>
      <w:r>
        <w:rPr>
          <w:rFonts w:ascii="Arial" w:cs="Arial" w:eastAsia="Arial" w:hAnsi="Arial"/>
          <w:sz w:val="15"/>
          <w:szCs w:val="15"/>
          <w:color w:val="auto"/>
        </w:rPr>
        <w:t>Victoria M. Holt</w:t>
      </w:r>
    </w:p>
    <w:p>
      <w:pPr>
        <w:ind w:left="3340"/>
        <w:spacing w:after="0" w:line="235" w:lineRule="auto"/>
        <w:rPr>
          <w:sz w:val="20"/>
          <w:szCs w:val="20"/>
          <w:color w:val="auto"/>
        </w:rPr>
      </w:pPr>
      <w:r>
        <w:rPr>
          <w:rFonts w:ascii="Arial" w:cs="Arial" w:eastAsia="Arial" w:hAnsi="Arial"/>
          <w:sz w:val="15"/>
          <w:szCs w:val="15"/>
          <w:color w:val="auto"/>
        </w:rPr>
        <w:t>William B. Plummer</w:t>
      </w:r>
    </w:p>
    <w:p>
      <w:pPr>
        <w:ind w:left="3340"/>
        <w:spacing w:after="0"/>
        <w:rPr>
          <w:sz w:val="20"/>
          <w:szCs w:val="20"/>
          <w:color w:val="auto"/>
        </w:rPr>
      </w:pPr>
      <w:r>
        <w:rPr>
          <w:rFonts w:ascii="Arial" w:cs="Arial" w:eastAsia="Arial" w:hAnsi="Arial"/>
          <w:sz w:val="15"/>
          <w:szCs w:val="15"/>
          <w:color w:val="auto"/>
        </w:rPr>
        <w:t>Thomas H. Weidemeyer</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10</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Borders>
              <w:bottom w:val="single" w:sz="8" w:color="477157"/>
            </w:tcBorders>
          </w:tcPr>
          <w:p>
            <w:pPr>
              <w:spacing w:after="0"/>
              <w:rPr>
                <w:sz w:val="16"/>
                <w:szCs w:val="16"/>
                <w:color w:val="auto"/>
              </w:rPr>
            </w:pPr>
          </w:p>
        </w:tc>
        <w:tc>
          <w:tcPr>
            <w:tcW w:w="740" w:type="dxa"/>
            <w:vAlign w:val="bottom"/>
            <w:tcBorders>
              <w:bottom w:val="single" w:sz="8" w:color="477157"/>
            </w:tcBorders>
          </w:tcPr>
          <w:p>
            <w:pPr>
              <w:spacing w:after="0"/>
              <w:rPr>
                <w:sz w:val="16"/>
                <w:szCs w:val="16"/>
                <w:color w:val="auto"/>
              </w:rPr>
            </w:pPr>
          </w:p>
        </w:tc>
        <w:tc>
          <w:tcPr>
            <w:tcW w:w="7840" w:type="dxa"/>
            <w:vAlign w:val="bottom"/>
            <w:tcBorders>
              <w:bottom w:val="single" w:sz="8" w:color="477157"/>
            </w:tcBorders>
          </w:tcPr>
          <w:p>
            <w:pPr>
              <w:ind w:left="6160"/>
              <w:spacing w:after="0"/>
              <w:rPr>
                <w:sz w:val="20"/>
                <w:szCs w:val="20"/>
                <w:color w:val="auto"/>
              </w:rPr>
            </w:pPr>
            <w:r>
              <w:rPr>
                <w:rFonts w:ascii="Arial" w:cs="Arial" w:eastAsia="Arial" w:hAnsi="Arial"/>
                <w:sz w:val="15"/>
                <w:szCs w:val="15"/>
                <w:b w:val="1"/>
                <w:bCs w:val="1"/>
                <w:color w:val="auto"/>
                <w:w w:val="96"/>
              </w:rPr>
              <w:t>BOARD OF DIRECTORS</w:t>
            </w:r>
          </w:p>
        </w:tc>
        <w:tc>
          <w:tcPr>
            <w:tcW w:w="0" w:type="dxa"/>
            <w:vAlign w:val="bottom"/>
          </w:tcPr>
          <w:p>
            <w:pPr>
              <w:spacing w:after="0"/>
              <w:rPr>
                <w:sz w:val="1"/>
                <w:szCs w:val="1"/>
                <w:color w:val="auto"/>
              </w:rPr>
            </w:pPr>
          </w:p>
        </w:tc>
      </w:tr>
      <w:tr>
        <w:trPr>
          <w:trHeight w:val="163"/>
        </w:trPr>
        <w:tc>
          <w:tcPr>
            <w:tcW w:w="2680" w:type="dxa"/>
            <w:vAlign w:val="bottom"/>
            <w:vMerge w:val="restart"/>
          </w:tcPr>
          <w:p>
            <w:pPr>
              <w:spacing w:after="0"/>
              <w:rPr>
                <w:sz w:val="20"/>
                <w:szCs w:val="20"/>
                <w:color w:val="auto"/>
              </w:rPr>
            </w:pPr>
            <w:r>
              <w:rPr>
                <w:rFonts w:ascii="Arial" w:cs="Arial" w:eastAsia="Arial" w:hAnsi="Arial"/>
                <w:sz w:val="20"/>
                <w:szCs w:val="20"/>
                <w:b w:val="1"/>
                <w:bCs w:val="1"/>
                <w:color w:val="477157"/>
              </w:rPr>
              <w:t>THE MANAGEMENT</w:t>
            </w:r>
          </w:p>
        </w:tc>
        <w:tc>
          <w:tcPr>
            <w:tcW w:w="8580" w:type="dxa"/>
            <w:vAlign w:val="bottom"/>
            <w:gridSpan w:val="2"/>
          </w:tcPr>
          <w:p>
            <w:pPr>
              <w:ind w:left="660"/>
              <w:spacing w:after="0" w:line="163" w:lineRule="exact"/>
              <w:rPr>
                <w:sz w:val="20"/>
                <w:szCs w:val="20"/>
                <w:color w:val="auto"/>
              </w:rPr>
            </w:pPr>
            <w:r>
              <w:rPr>
                <w:rFonts w:ascii="Arial" w:cs="Arial" w:eastAsia="Arial" w:hAnsi="Arial"/>
                <w:sz w:val="15"/>
                <w:szCs w:val="15"/>
                <w:color w:val="auto"/>
              </w:rPr>
              <w:t>Mr. Clark has served as the Chairman of our MD&amp;C Committee since May 2011. The other members of the Committee</w:t>
            </w:r>
          </w:p>
        </w:tc>
        <w:tc>
          <w:tcPr>
            <w:tcW w:w="0" w:type="dxa"/>
            <w:vAlign w:val="bottom"/>
          </w:tcPr>
          <w:p>
            <w:pPr>
              <w:spacing w:after="0"/>
              <w:rPr>
                <w:sz w:val="1"/>
                <w:szCs w:val="1"/>
                <w:color w:val="auto"/>
              </w:rPr>
            </w:pPr>
          </w:p>
        </w:tc>
      </w:tr>
      <w:tr>
        <w:trPr>
          <w:trHeight w:val="169"/>
        </w:trPr>
        <w:tc>
          <w:tcPr>
            <w:tcW w:w="2680" w:type="dxa"/>
            <w:vAlign w:val="bottom"/>
            <w:vMerge w:val="continue"/>
          </w:tcPr>
          <w:p>
            <w:pPr>
              <w:spacing w:after="0"/>
              <w:rPr>
                <w:sz w:val="14"/>
                <w:szCs w:val="14"/>
                <w:color w:val="auto"/>
              </w:rPr>
            </w:pPr>
          </w:p>
        </w:tc>
        <w:tc>
          <w:tcPr>
            <w:tcW w:w="8580" w:type="dxa"/>
            <w:vAlign w:val="bottom"/>
            <w:gridSpan w:val="2"/>
          </w:tcPr>
          <w:p>
            <w:pPr>
              <w:ind w:left="660"/>
              <w:spacing w:after="0" w:line="169" w:lineRule="exact"/>
              <w:rPr>
                <w:sz w:val="20"/>
                <w:szCs w:val="20"/>
                <w:color w:val="auto"/>
              </w:rPr>
            </w:pPr>
            <w:r>
              <w:rPr>
                <w:rFonts w:ascii="Arial" w:cs="Arial" w:eastAsia="Arial" w:hAnsi="Arial"/>
                <w:sz w:val="15"/>
                <w:szCs w:val="15"/>
                <w:color w:val="auto"/>
              </w:rPr>
              <w:t>are Mr. Gluski, Ms. Holt, Ms. Mazzarella, Mr. Plummer, Mr. Pope and Mr. Weidemeyer. Each member of our MD&amp;C</w:t>
            </w:r>
          </w:p>
        </w:tc>
        <w:tc>
          <w:tcPr>
            <w:tcW w:w="0" w:type="dxa"/>
            <w:vAlign w:val="bottom"/>
          </w:tcPr>
          <w:p>
            <w:pPr>
              <w:spacing w:after="0"/>
              <w:rPr>
                <w:sz w:val="1"/>
                <w:szCs w:val="1"/>
                <w:color w:val="auto"/>
              </w:rPr>
            </w:pPr>
          </w:p>
        </w:tc>
      </w:tr>
      <w:tr>
        <w:trPr>
          <w:trHeight w:val="241"/>
        </w:trPr>
        <w:tc>
          <w:tcPr>
            <w:tcW w:w="2680" w:type="dxa"/>
            <w:vAlign w:val="bottom"/>
          </w:tcPr>
          <w:p>
            <w:pPr>
              <w:spacing w:after="0"/>
              <w:rPr>
                <w:sz w:val="20"/>
                <w:szCs w:val="20"/>
                <w:color w:val="auto"/>
              </w:rPr>
            </w:pPr>
            <w:r>
              <w:rPr>
                <w:rFonts w:ascii="Arial" w:cs="Arial" w:eastAsia="Arial" w:hAnsi="Arial"/>
                <w:sz w:val="20"/>
                <w:szCs w:val="20"/>
                <w:b w:val="1"/>
                <w:bCs w:val="1"/>
                <w:color w:val="477157"/>
              </w:rPr>
              <w:t>DEVELOPMENT AND</w:t>
            </w:r>
          </w:p>
        </w:tc>
        <w:tc>
          <w:tcPr>
            <w:tcW w:w="8580" w:type="dxa"/>
            <w:vAlign w:val="bottom"/>
            <w:gridSpan w:val="2"/>
          </w:tcPr>
          <w:p>
            <w:pPr>
              <w:ind w:left="660"/>
              <w:spacing w:after="0"/>
              <w:rPr>
                <w:sz w:val="20"/>
                <w:szCs w:val="20"/>
                <w:color w:val="auto"/>
              </w:rPr>
            </w:pPr>
            <w:r>
              <w:rPr>
                <w:rFonts w:ascii="Arial" w:cs="Arial" w:eastAsia="Arial" w:hAnsi="Arial"/>
                <w:sz w:val="15"/>
                <w:szCs w:val="15"/>
                <w:color w:val="auto"/>
              </w:rPr>
              <w:t>Committee is independent in accordance with the rules and regulations of the New York Stock Exchange.</w:t>
            </w: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r>
              <w:rPr>
                <w:rFonts w:ascii="Arial" w:cs="Arial" w:eastAsia="Arial" w:hAnsi="Arial"/>
                <w:sz w:val="20"/>
                <w:szCs w:val="20"/>
                <w:b w:val="1"/>
                <w:bCs w:val="1"/>
                <w:color w:val="477157"/>
              </w:rPr>
              <w:t>COMPENSATION</w:t>
            </w:r>
          </w:p>
        </w:tc>
        <w:tc>
          <w:tcPr>
            <w:tcW w:w="8580" w:type="dxa"/>
            <w:vAlign w:val="bottom"/>
            <w:gridSpan w:val="2"/>
          </w:tcPr>
          <w:p>
            <w:pPr>
              <w:ind w:left="660"/>
              <w:spacing w:after="0"/>
              <w:rPr>
                <w:sz w:val="20"/>
                <w:szCs w:val="20"/>
                <w:color w:val="auto"/>
              </w:rPr>
            </w:pPr>
            <w:r>
              <w:rPr>
                <w:rFonts w:ascii="Arial" w:cs="Arial" w:eastAsia="Arial" w:hAnsi="Arial"/>
                <w:sz w:val="12"/>
                <w:szCs w:val="12"/>
                <w:b w:val="1"/>
                <w:bCs w:val="1"/>
                <w:color w:val="477157"/>
              </w:rPr>
              <w:t>Key Functions</w:t>
            </w: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Arial" w:cs="Arial" w:eastAsia="Arial" w:hAnsi="Arial"/>
                <w:sz w:val="20"/>
                <w:szCs w:val="20"/>
                <w:b w:val="1"/>
                <w:bCs w:val="1"/>
                <w:color w:val="477157"/>
              </w:rPr>
              <w:t>COMMITTEE</w:t>
            </w:r>
          </w:p>
        </w:tc>
        <w:tc>
          <w:tcPr>
            <w:tcW w:w="8580" w:type="dxa"/>
            <w:vAlign w:val="bottom"/>
            <w:gridSpan w:val="2"/>
            <w:vMerge w:val="restart"/>
          </w:tcPr>
          <w:p>
            <w:pPr>
              <w:ind w:left="660"/>
              <w:spacing w:after="0"/>
              <w:rPr>
                <w:sz w:val="20"/>
                <w:szCs w:val="20"/>
                <w:color w:val="auto"/>
              </w:rPr>
            </w:pPr>
            <w:r>
              <w:rPr>
                <w:rFonts w:ascii="Arial" w:cs="Arial" w:eastAsia="Arial" w:hAnsi="Arial"/>
                <w:sz w:val="15"/>
                <w:szCs w:val="15"/>
                <w:color w:val="auto"/>
              </w:rPr>
              <w:t>Our MD&amp;C Committee is responsible for overseeing our executive officer compensation, as well as developing the</w:t>
            </w:r>
          </w:p>
        </w:tc>
        <w:tc>
          <w:tcPr>
            <w:tcW w:w="0" w:type="dxa"/>
            <w:vAlign w:val="bottom"/>
          </w:tcPr>
          <w:p>
            <w:pPr>
              <w:spacing w:after="0"/>
              <w:rPr>
                <w:sz w:val="1"/>
                <w:szCs w:val="1"/>
                <w:color w:val="auto"/>
              </w:rPr>
            </w:pPr>
          </w:p>
        </w:tc>
      </w:tr>
      <w:tr>
        <w:trPr>
          <w:trHeight w:val="78"/>
        </w:trPr>
        <w:tc>
          <w:tcPr>
            <w:tcW w:w="2680" w:type="dxa"/>
            <w:vAlign w:val="bottom"/>
          </w:tcPr>
          <w:p>
            <w:pPr>
              <w:spacing w:after="0"/>
              <w:rPr>
                <w:sz w:val="6"/>
                <w:szCs w:val="6"/>
                <w:color w:val="auto"/>
              </w:rPr>
            </w:pPr>
          </w:p>
        </w:tc>
        <w:tc>
          <w:tcPr>
            <w:tcW w:w="85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680" w:type="dxa"/>
            <w:vAlign w:val="bottom"/>
            <w:vMerge w:val="restart"/>
          </w:tcPr>
          <w:p>
            <w:pPr>
              <w:ind w:left="60"/>
              <w:spacing w:after="0"/>
              <w:rPr>
                <w:sz w:val="20"/>
                <w:szCs w:val="20"/>
                <w:color w:val="auto"/>
              </w:rPr>
            </w:pPr>
            <w:r>
              <w:rPr>
                <w:rFonts w:ascii="Arial" w:cs="Arial" w:eastAsia="Arial" w:hAnsi="Arial"/>
                <w:sz w:val="12"/>
                <w:szCs w:val="12"/>
                <w:b w:val="1"/>
                <w:bCs w:val="1"/>
                <w:color w:val="477157"/>
              </w:rPr>
              <w:t>Members</w:t>
            </w:r>
          </w:p>
        </w:tc>
        <w:tc>
          <w:tcPr>
            <w:tcW w:w="8580" w:type="dxa"/>
            <w:vAlign w:val="bottom"/>
            <w:gridSpan w:val="2"/>
          </w:tcPr>
          <w:p>
            <w:pPr>
              <w:ind w:left="660"/>
              <w:spacing w:after="0" w:line="169" w:lineRule="exact"/>
              <w:rPr>
                <w:sz w:val="20"/>
                <w:szCs w:val="20"/>
                <w:color w:val="auto"/>
              </w:rPr>
            </w:pPr>
            <w:r>
              <w:rPr>
                <w:rFonts w:ascii="Arial" w:cs="Arial" w:eastAsia="Arial" w:hAnsi="Arial"/>
                <w:sz w:val="15"/>
                <w:szCs w:val="15"/>
                <w:color w:val="auto"/>
              </w:rPr>
              <w:t>Company's compensation philosophy generally. The MD&amp;C Committee's written charter, which was approved by the</w:t>
            </w:r>
          </w:p>
        </w:tc>
        <w:tc>
          <w:tcPr>
            <w:tcW w:w="0" w:type="dxa"/>
            <w:vAlign w:val="bottom"/>
          </w:tcPr>
          <w:p>
            <w:pPr>
              <w:spacing w:after="0"/>
              <w:rPr>
                <w:sz w:val="1"/>
                <w:szCs w:val="1"/>
                <w:color w:val="auto"/>
              </w:rPr>
            </w:pPr>
          </w:p>
        </w:tc>
      </w:tr>
      <w:tr>
        <w:trPr>
          <w:trHeight w:val="78"/>
        </w:trPr>
        <w:tc>
          <w:tcPr>
            <w:tcW w:w="2680" w:type="dxa"/>
            <w:vAlign w:val="bottom"/>
            <w:vMerge w:val="continue"/>
          </w:tcPr>
          <w:p>
            <w:pPr>
              <w:spacing w:after="0"/>
              <w:rPr>
                <w:sz w:val="6"/>
                <w:szCs w:val="6"/>
                <w:color w:val="auto"/>
              </w:rPr>
            </w:pPr>
          </w:p>
        </w:tc>
        <w:tc>
          <w:tcPr>
            <w:tcW w:w="8580" w:type="dxa"/>
            <w:vAlign w:val="bottom"/>
            <w:gridSpan w:val="2"/>
            <w:vMerge w:val="restart"/>
          </w:tcPr>
          <w:p>
            <w:pPr>
              <w:ind w:left="660"/>
              <w:spacing w:after="0" w:line="169" w:lineRule="exact"/>
              <w:rPr>
                <w:sz w:val="20"/>
                <w:szCs w:val="20"/>
                <w:color w:val="auto"/>
              </w:rPr>
            </w:pPr>
            <w:r>
              <w:rPr>
                <w:rFonts w:ascii="Arial" w:cs="Arial" w:eastAsia="Arial" w:hAnsi="Arial"/>
                <w:sz w:val="15"/>
                <w:szCs w:val="15"/>
                <w:color w:val="auto"/>
              </w:rPr>
              <w:t>Board of Directors, can be found on our website. In fulfilling its duties, the MD&amp;C Committee has the following</w:t>
            </w:r>
          </w:p>
        </w:tc>
        <w:tc>
          <w:tcPr>
            <w:tcW w:w="0" w:type="dxa"/>
            <w:vAlign w:val="bottom"/>
          </w:tcPr>
          <w:p>
            <w:pPr>
              <w:spacing w:after="0"/>
              <w:rPr>
                <w:sz w:val="1"/>
                <w:szCs w:val="1"/>
                <w:color w:val="auto"/>
              </w:rPr>
            </w:pPr>
          </w:p>
        </w:tc>
      </w:tr>
      <w:tr>
        <w:trPr>
          <w:trHeight w:val="91"/>
        </w:trPr>
        <w:tc>
          <w:tcPr>
            <w:tcW w:w="2680" w:type="dxa"/>
            <w:vAlign w:val="bottom"/>
          </w:tcPr>
          <w:p>
            <w:pPr>
              <w:spacing w:after="0"/>
              <w:rPr>
                <w:sz w:val="7"/>
                <w:szCs w:val="7"/>
                <w:color w:val="auto"/>
              </w:rPr>
            </w:pPr>
          </w:p>
        </w:tc>
        <w:tc>
          <w:tcPr>
            <w:tcW w:w="8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680" w:type="dxa"/>
            <w:vAlign w:val="bottom"/>
          </w:tcPr>
          <w:p>
            <w:pPr>
              <w:ind w:left="60"/>
              <w:spacing w:after="0"/>
              <w:rPr>
                <w:sz w:val="20"/>
                <w:szCs w:val="20"/>
                <w:color w:val="auto"/>
              </w:rPr>
            </w:pPr>
            <w:r>
              <w:rPr>
                <w:rFonts w:ascii="Arial" w:cs="Arial" w:eastAsia="Arial" w:hAnsi="Arial"/>
                <w:sz w:val="12"/>
                <w:szCs w:val="12"/>
                <w:b w:val="1"/>
                <w:bCs w:val="1"/>
                <w:color w:val="auto"/>
              </w:rPr>
              <w:t xml:space="preserve">Frank M. Clark, Jr., </w:t>
            </w:r>
            <w:r>
              <w:rPr>
                <w:rFonts w:ascii="Arial" w:cs="Arial" w:eastAsia="Arial" w:hAnsi="Arial"/>
                <w:sz w:val="12"/>
                <w:szCs w:val="12"/>
                <w:b w:val="1"/>
                <w:bCs w:val="1"/>
                <w:i w:val="1"/>
                <w:iCs w:val="1"/>
                <w:color w:val="auto"/>
              </w:rPr>
              <w:t>Chairman</w:t>
            </w:r>
          </w:p>
        </w:tc>
        <w:tc>
          <w:tcPr>
            <w:tcW w:w="8580" w:type="dxa"/>
            <w:vAlign w:val="bottom"/>
            <w:gridSpan w:val="2"/>
          </w:tcPr>
          <w:p>
            <w:pPr>
              <w:ind w:left="660"/>
              <w:spacing w:after="0"/>
              <w:rPr>
                <w:sz w:val="20"/>
                <w:szCs w:val="20"/>
                <w:color w:val="auto"/>
              </w:rPr>
            </w:pPr>
            <w:r>
              <w:rPr>
                <w:rFonts w:ascii="Arial" w:cs="Arial" w:eastAsia="Arial" w:hAnsi="Arial"/>
                <w:sz w:val="15"/>
                <w:szCs w:val="15"/>
                <w:color w:val="auto"/>
              </w:rPr>
              <w:t>responsibilities:</w:t>
            </w:r>
          </w:p>
        </w:tc>
        <w:tc>
          <w:tcPr>
            <w:tcW w:w="0" w:type="dxa"/>
            <w:vAlign w:val="bottom"/>
          </w:tcPr>
          <w:p>
            <w:pPr>
              <w:spacing w:after="0"/>
              <w:rPr>
                <w:sz w:val="1"/>
                <w:szCs w:val="1"/>
                <w:color w:val="auto"/>
              </w:rPr>
            </w:pPr>
          </w:p>
        </w:tc>
      </w:tr>
      <w:tr>
        <w:trPr>
          <w:trHeight w:val="270"/>
        </w:trPr>
        <w:tc>
          <w:tcPr>
            <w:tcW w:w="2680" w:type="dxa"/>
            <w:vAlign w:val="bottom"/>
          </w:tcPr>
          <w:p>
            <w:pPr>
              <w:ind w:left="60"/>
              <w:spacing w:after="0"/>
              <w:rPr>
                <w:sz w:val="20"/>
                <w:szCs w:val="20"/>
                <w:color w:val="auto"/>
              </w:rPr>
            </w:pPr>
            <w:r>
              <w:rPr>
                <w:rFonts w:ascii="Arial" w:cs="Arial" w:eastAsia="Arial" w:hAnsi="Arial"/>
                <w:sz w:val="12"/>
                <w:szCs w:val="12"/>
                <w:b w:val="1"/>
                <w:bCs w:val="1"/>
                <w:color w:val="auto"/>
              </w:rPr>
              <w:t>Andrés R. Gluski</w:t>
            </w:r>
          </w:p>
        </w:tc>
        <w:tc>
          <w:tcPr>
            <w:tcW w:w="740" w:type="dxa"/>
            <w:vAlign w:val="bottom"/>
            <w:vMerge w:val="restart"/>
          </w:tcPr>
          <w:p>
            <w:pPr>
              <w:ind w:left="660"/>
              <w:spacing w:after="0"/>
              <w:rPr>
                <w:sz w:val="20"/>
                <w:szCs w:val="20"/>
                <w:color w:val="auto"/>
              </w:rPr>
            </w:pPr>
            <w:r>
              <w:rPr>
                <w:rFonts w:ascii="Arial" w:cs="Arial" w:eastAsia="Arial" w:hAnsi="Arial"/>
                <w:sz w:val="15"/>
                <w:szCs w:val="15"/>
                <w:color w:val="477157"/>
              </w:rPr>
              <w:t>•</w:t>
            </w:r>
          </w:p>
        </w:tc>
        <w:tc>
          <w:tcPr>
            <w:tcW w:w="7840" w:type="dxa"/>
            <w:vAlign w:val="bottom"/>
            <w:vMerge w:val="restart"/>
          </w:tcPr>
          <w:p>
            <w:pPr>
              <w:ind w:left="60"/>
              <w:spacing w:after="0"/>
              <w:rPr>
                <w:sz w:val="20"/>
                <w:szCs w:val="20"/>
                <w:color w:val="auto"/>
              </w:rPr>
            </w:pPr>
            <w:r>
              <w:rPr>
                <w:rFonts w:ascii="Arial" w:cs="Arial" w:eastAsia="Arial" w:hAnsi="Arial"/>
                <w:sz w:val="15"/>
                <w:szCs w:val="15"/>
                <w:color w:val="auto"/>
              </w:rPr>
              <w:t>Review and establish policies governing the compensation and benefits of our executive officers;</w:t>
            </w:r>
          </w:p>
        </w:tc>
        <w:tc>
          <w:tcPr>
            <w:tcW w:w="0" w:type="dxa"/>
            <w:vAlign w:val="bottom"/>
          </w:tcPr>
          <w:p>
            <w:pPr>
              <w:spacing w:after="0"/>
              <w:rPr>
                <w:sz w:val="1"/>
                <w:szCs w:val="1"/>
                <w:color w:val="auto"/>
              </w:rPr>
            </w:pPr>
          </w:p>
        </w:tc>
      </w:tr>
      <w:tr>
        <w:trPr>
          <w:trHeight w:val="76"/>
        </w:trPr>
        <w:tc>
          <w:tcPr>
            <w:tcW w:w="26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60"/>
              <w:spacing w:after="0"/>
              <w:rPr>
                <w:sz w:val="20"/>
                <w:szCs w:val="20"/>
                <w:color w:val="auto"/>
              </w:rPr>
            </w:pPr>
            <w:r>
              <w:rPr>
                <w:rFonts w:ascii="Arial" w:cs="Arial" w:eastAsia="Arial" w:hAnsi="Arial"/>
                <w:sz w:val="12"/>
                <w:szCs w:val="12"/>
                <w:b w:val="1"/>
                <w:bCs w:val="1"/>
                <w:color w:val="auto"/>
              </w:rPr>
              <w:t>Victoria M. Holt</w:t>
            </w:r>
          </w:p>
        </w:tc>
        <w:tc>
          <w:tcPr>
            <w:tcW w:w="740" w:type="dxa"/>
            <w:vAlign w:val="bottom"/>
            <w:vMerge w:val="restart"/>
          </w:tcPr>
          <w:p>
            <w:pPr>
              <w:ind w:left="660"/>
              <w:spacing w:after="0"/>
              <w:rPr>
                <w:sz w:val="20"/>
                <w:szCs w:val="20"/>
                <w:color w:val="auto"/>
              </w:rPr>
            </w:pPr>
            <w:r>
              <w:rPr>
                <w:rFonts w:ascii="Arial" w:cs="Arial" w:eastAsia="Arial" w:hAnsi="Arial"/>
                <w:sz w:val="15"/>
                <w:szCs w:val="15"/>
                <w:color w:val="477157"/>
              </w:rPr>
              <w:t>•</w:t>
            </w:r>
          </w:p>
        </w:tc>
        <w:tc>
          <w:tcPr>
            <w:tcW w:w="7840" w:type="dxa"/>
            <w:vAlign w:val="bottom"/>
            <w:vMerge w:val="restart"/>
          </w:tcPr>
          <w:p>
            <w:pPr>
              <w:ind w:left="60"/>
              <w:spacing w:after="0"/>
              <w:rPr>
                <w:sz w:val="20"/>
                <w:szCs w:val="20"/>
                <w:color w:val="auto"/>
              </w:rPr>
            </w:pPr>
            <w:r>
              <w:rPr>
                <w:rFonts w:ascii="Arial" w:cs="Arial" w:eastAsia="Arial" w:hAnsi="Arial"/>
                <w:sz w:val="15"/>
                <w:szCs w:val="15"/>
                <w:color w:val="auto"/>
              </w:rPr>
              <w:t>Approve the compensation of our executive officers and set the bonus plan goals for those individuals;</w:t>
            </w:r>
          </w:p>
        </w:tc>
        <w:tc>
          <w:tcPr>
            <w:tcW w:w="0" w:type="dxa"/>
            <w:vAlign w:val="bottom"/>
          </w:tcPr>
          <w:p>
            <w:pPr>
              <w:spacing w:after="0"/>
              <w:rPr>
                <w:sz w:val="1"/>
                <w:szCs w:val="1"/>
                <w:color w:val="auto"/>
              </w:rPr>
            </w:pPr>
          </w:p>
        </w:tc>
      </w:tr>
      <w:tr>
        <w:trPr>
          <w:trHeight w:val="143"/>
        </w:trPr>
        <w:tc>
          <w:tcPr>
            <w:tcW w:w="2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Kathleen M. Mazzarella</w:t>
            </w:r>
          </w:p>
        </w:tc>
        <w:tc>
          <w:tcPr>
            <w:tcW w:w="740" w:type="dxa"/>
            <w:vAlign w:val="bottom"/>
            <w:vMerge w:val="continue"/>
          </w:tcPr>
          <w:p>
            <w:pPr>
              <w:spacing w:after="0"/>
              <w:rPr>
                <w:sz w:val="12"/>
                <w:szCs w:val="12"/>
                <w:color w:val="auto"/>
              </w:rPr>
            </w:pPr>
          </w:p>
        </w:tc>
        <w:tc>
          <w:tcPr>
            <w:tcW w:w="7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8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William B. Plummer</w:t>
            </w:r>
          </w:p>
        </w:tc>
        <w:tc>
          <w:tcPr>
            <w:tcW w:w="740" w:type="dxa"/>
            <w:vAlign w:val="bottom"/>
          </w:tcPr>
          <w:p>
            <w:pPr>
              <w:ind w:left="660"/>
              <w:spacing w:after="0"/>
              <w:rPr>
                <w:sz w:val="20"/>
                <w:szCs w:val="20"/>
                <w:color w:val="auto"/>
              </w:rPr>
            </w:pPr>
            <w:r>
              <w:rPr>
                <w:rFonts w:ascii="Arial" w:cs="Arial" w:eastAsia="Arial" w:hAnsi="Arial"/>
                <w:sz w:val="15"/>
                <w:szCs w:val="15"/>
                <w:color w:val="477157"/>
              </w:rPr>
              <w:t>•</w:t>
            </w:r>
          </w:p>
        </w:tc>
        <w:tc>
          <w:tcPr>
            <w:tcW w:w="7840" w:type="dxa"/>
            <w:vAlign w:val="bottom"/>
          </w:tcPr>
          <w:p>
            <w:pPr>
              <w:ind w:left="60"/>
              <w:spacing w:after="0"/>
              <w:rPr>
                <w:sz w:val="20"/>
                <w:szCs w:val="20"/>
                <w:color w:val="auto"/>
              </w:rPr>
            </w:pPr>
            <w:r>
              <w:rPr>
                <w:rFonts w:ascii="Arial" w:cs="Arial" w:eastAsia="Arial" w:hAnsi="Arial"/>
                <w:sz w:val="15"/>
                <w:szCs w:val="15"/>
                <w:color w:val="auto"/>
              </w:rPr>
              <w:t>Conduct an annual evaluation of our Chief Executive Officer by all independent directors and set his compensation;</w:t>
            </w:r>
          </w:p>
        </w:tc>
        <w:tc>
          <w:tcPr>
            <w:tcW w:w="0" w:type="dxa"/>
            <w:vAlign w:val="bottom"/>
          </w:tcPr>
          <w:p>
            <w:pPr>
              <w:spacing w:after="0"/>
              <w:rPr>
                <w:sz w:val="1"/>
                <w:szCs w:val="1"/>
                <w:color w:val="auto"/>
              </w:rPr>
            </w:pPr>
          </w:p>
        </w:tc>
      </w:tr>
      <w:tr>
        <w:trPr>
          <w:trHeight w:val="60"/>
        </w:trPr>
        <w:tc>
          <w:tcPr>
            <w:tcW w:w="2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7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680" w:type="dxa"/>
            <w:vAlign w:val="bottom"/>
          </w:tcPr>
          <w:p>
            <w:pPr>
              <w:ind w:left="60"/>
              <w:spacing w:after="0"/>
              <w:rPr>
                <w:sz w:val="20"/>
                <w:szCs w:val="20"/>
                <w:color w:val="auto"/>
              </w:rPr>
            </w:pPr>
            <w:r>
              <w:rPr>
                <w:rFonts w:ascii="Arial" w:cs="Arial" w:eastAsia="Arial" w:hAnsi="Arial"/>
                <w:sz w:val="12"/>
                <w:szCs w:val="12"/>
                <w:b w:val="1"/>
                <w:bCs w:val="1"/>
                <w:color w:val="auto"/>
              </w:rPr>
              <w:t>John C. Pope</w:t>
            </w:r>
          </w:p>
        </w:tc>
        <w:tc>
          <w:tcPr>
            <w:tcW w:w="740" w:type="dxa"/>
            <w:vAlign w:val="bottom"/>
          </w:tcPr>
          <w:p>
            <w:pPr>
              <w:ind w:left="660"/>
              <w:spacing w:after="0"/>
              <w:rPr>
                <w:sz w:val="20"/>
                <w:szCs w:val="20"/>
                <w:color w:val="auto"/>
              </w:rPr>
            </w:pPr>
            <w:r>
              <w:rPr>
                <w:rFonts w:ascii="Arial" w:cs="Arial" w:eastAsia="Arial" w:hAnsi="Arial"/>
                <w:sz w:val="15"/>
                <w:szCs w:val="15"/>
                <w:color w:val="477157"/>
              </w:rPr>
              <w:t>•</w:t>
            </w:r>
          </w:p>
        </w:tc>
        <w:tc>
          <w:tcPr>
            <w:tcW w:w="7840" w:type="dxa"/>
            <w:vAlign w:val="bottom"/>
          </w:tcPr>
          <w:p>
            <w:pPr>
              <w:ind w:left="60"/>
              <w:spacing w:after="0"/>
              <w:rPr>
                <w:sz w:val="20"/>
                <w:szCs w:val="20"/>
                <w:color w:val="auto"/>
              </w:rPr>
            </w:pPr>
            <w:r>
              <w:rPr>
                <w:rFonts w:ascii="Arial" w:cs="Arial" w:eastAsia="Arial" w:hAnsi="Arial"/>
                <w:sz w:val="15"/>
                <w:szCs w:val="15"/>
                <w:color w:val="auto"/>
              </w:rPr>
              <w:t>Oversee the administration of our equity-based incentive plans;</w:t>
            </w:r>
          </w:p>
        </w:tc>
        <w:tc>
          <w:tcPr>
            <w:tcW w:w="0" w:type="dxa"/>
            <w:vAlign w:val="bottom"/>
          </w:tcPr>
          <w:p>
            <w:pPr>
              <w:spacing w:after="0"/>
              <w:rPr>
                <w:sz w:val="1"/>
                <w:szCs w:val="1"/>
                <w:color w:val="auto"/>
              </w:rPr>
            </w:pPr>
          </w:p>
        </w:tc>
      </w:tr>
      <w:tr>
        <w:trPr>
          <w:trHeight w:val="262"/>
        </w:trPr>
        <w:tc>
          <w:tcPr>
            <w:tcW w:w="2680" w:type="dxa"/>
            <w:vAlign w:val="bottom"/>
          </w:tcPr>
          <w:p>
            <w:pPr>
              <w:ind w:left="60"/>
              <w:spacing w:after="0"/>
              <w:rPr>
                <w:sz w:val="20"/>
                <w:szCs w:val="20"/>
                <w:color w:val="auto"/>
              </w:rPr>
            </w:pPr>
            <w:r>
              <w:rPr>
                <w:rFonts w:ascii="Arial" w:cs="Arial" w:eastAsia="Arial" w:hAnsi="Arial"/>
                <w:sz w:val="12"/>
                <w:szCs w:val="12"/>
                <w:b w:val="1"/>
                <w:bCs w:val="1"/>
                <w:color w:val="auto"/>
              </w:rPr>
              <w:t>Thomas H. Weidemeyer</w:t>
            </w:r>
          </w:p>
        </w:tc>
        <w:tc>
          <w:tcPr>
            <w:tcW w:w="740" w:type="dxa"/>
            <w:vAlign w:val="bottom"/>
            <w:vMerge w:val="restart"/>
          </w:tcPr>
          <w:p>
            <w:pPr>
              <w:ind w:left="660"/>
              <w:spacing w:after="0"/>
              <w:rPr>
                <w:sz w:val="20"/>
                <w:szCs w:val="20"/>
                <w:color w:val="auto"/>
              </w:rPr>
            </w:pPr>
            <w:r>
              <w:rPr>
                <w:rFonts w:ascii="Arial" w:cs="Arial" w:eastAsia="Arial" w:hAnsi="Arial"/>
                <w:sz w:val="15"/>
                <w:szCs w:val="15"/>
                <w:color w:val="477157"/>
              </w:rPr>
              <w:t>•</w:t>
            </w:r>
          </w:p>
        </w:tc>
        <w:tc>
          <w:tcPr>
            <w:tcW w:w="7840" w:type="dxa"/>
            <w:vAlign w:val="bottom"/>
            <w:vMerge w:val="restart"/>
          </w:tcPr>
          <w:p>
            <w:pPr>
              <w:ind w:left="60"/>
              <w:spacing w:after="0"/>
              <w:rPr>
                <w:sz w:val="20"/>
                <w:szCs w:val="20"/>
                <w:color w:val="auto"/>
              </w:rPr>
            </w:pPr>
            <w:r>
              <w:rPr>
                <w:rFonts w:ascii="Arial" w:cs="Arial" w:eastAsia="Arial" w:hAnsi="Arial"/>
                <w:sz w:val="15"/>
                <w:szCs w:val="15"/>
                <w:color w:val="auto"/>
                <w:w w:val="99"/>
              </w:rPr>
              <w:t>Review the results of the stockholder advisory vote on executive compensation and consider any implications of such</w:t>
            </w:r>
          </w:p>
        </w:tc>
        <w:tc>
          <w:tcPr>
            <w:tcW w:w="0" w:type="dxa"/>
            <w:vAlign w:val="bottom"/>
          </w:tcPr>
          <w:p>
            <w:pPr>
              <w:spacing w:after="0"/>
              <w:rPr>
                <w:sz w:val="1"/>
                <w:szCs w:val="1"/>
                <w:color w:val="auto"/>
              </w:rPr>
            </w:pPr>
          </w:p>
        </w:tc>
      </w:tr>
      <w:tr>
        <w:trPr>
          <w:trHeight w:val="57"/>
        </w:trPr>
        <w:tc>
          <w:tcPr>
            <w:tcW w:w="26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680" w:type="dxa"/>
            <w:vAlign w:val="bottom"/>
          </w:tcPr>
          <w:p>
            <w:pPr>
              <w:ind w:left="60"/>
              <w:spacing w:after="0"/>
              <w:rPr>
                <w:sz w:val="20"/>
                <w:szCs w:val="20"/>
                <w:color w:val="auto"/>
              </w:rPr>
            </w:pPr>
            <w:r>
              <w:rPr>
                <w:rFonts w:ascii="Arial" w:cs="Arial" w:eastAsia="Arial" w:hAnsi="Arial"/>
                <w:sz w:val="12"/>
                <w:szCs w:val="12"/>
                <w:b w:val="1"/>
                <w:bCs w:val="1"/>
                <w:color w:val="477157"/>
              </w:rPr>
              <w:t>Number of Meetings Held in 2019</w:t>
            </w:r>
          </w:p>
        </w:tc>
        <w:tc>
          <w:tcPr>
            <w:tcW w:w="740" w:type="dxa"/>
            <w:vAlign w:val="bottom"/>
          </w:tcPr>
          <w:p>
            <w:pPr>
              <w:spacing w:after="0"/>
              <w:rPr>
                <w:sz w:val="18"/>
                <w:szCs w:val="18"/>
                <w:color w:val="auto"/>
              </w:rPr>
            </w:pPr>
          </w:p>
        </w:tc>
        <w:tc>
          <w:tcPr>
            <w:tcW w:w="7840" w:type="dxa"/>
            <w:vAlign w:val="bottom"/>
          </w:tcPr>
          <w:p>
            <w:pPr>
              <w:ind w:left="60"/>
              <w:spacing w:after="0"/>
              <w:rPr>
                <w:sz w:val="20"/>
                <w:szCs w:val="20"/>
                <w:color w:val="auto"/>
              </w:rPr>
            </w:pPr>
            <w:r>
              <w:rPr>
                <w:rFonts w:ascii="Arial" w:cs="Arial" w:eastAsia="Arial" w:hAnsi="Arial"/>
                <w:sz w:val="15"/>
                <w:szCs w:val="15"/>
                <w:color w:val="auto"/>
              </w:rPr>
              <w:t>voting results on the Company's compensation programs;</w:t>
            </w:r>
          </w:p>
        </w:tc>
        <w:tc>
          <w:tcPr>
            <w:tcW w:w="0" w:type="dxa"/>
            <w:vAlign w:val="bottom"/>
          </w:tcPr>
          <w:p>
            <w:pPr>
              <w:spacing w:after="0"/>
              <w:rPr>
                <w:sz w:val="1"/>
                <w:szCs w:val="1"/>
                <w:color w:val="auto"/>
              </w:rPr>
            </w:pPr>
          </w:p>
        </w:tc>
      </w:tr>
      <w:tr>
        <w:trPr>
          <w:trHeight w:val="312"/>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740" w:type="dxa"/>
            <w:vAlign w:val="bottom"/>
          </w:tcPr>
          <w:p>
            <w:pPr>
              <w:ind w:left="660"/>
              <w:spacing w:after="0"/>
              <w:rPr>
                <w:sz w:val="20"/>
                <w:szCs w:val="20"/>
                <w:color w:val="auto"/>
              </w:rPr>
            </w:pPr>
            <w:r>
              <w:rPr>
                <w:rFonts w:ascii="Arial" w:cs="Arial" w:eastAsia="Arial" w:hAnsi="Arial"/>
                <w:sz w:val="15"/>
                <w:szCs w:val="15"/>
                <w:color w:val="477157"/>
              </w:rPr>
              <w:t>•</w:t>
            </w:r>
          </w:p>
        </w:tc>
        <w:tc>
          <w:tcPr>
            <w:tcW w:w="7840" w:type="dxa"/>
            <w:vAlign w:val="bottom"/>
          </w:tcPr>
          <w:p>
            <w:pPr>
              <w:ind w:left="60"/>
              <w:spacing w:after="0"/>
              <w:rPr>
                <w:sz w:val="20"/>
                <w:szCs w:val="20"/>
                <w:color w:val="auto"/>
              </w:rPr>
            </w:pPr>
            <w:r>
              <w:rPr>
                <w:rFonts w:ascii="Arial" w:cs="Arial" w:eastAsia="Arial" w:hAnsi="Arial"/>
                <w:sz w:val="15"/>
                <w:szCs w:val="15"/>
                <w:color w:val="auto"/>
              </w:rPr>
              <w:t>Recommend to the full Board new Company compensation and benefit plans or changes to our existing plans;</w:t>
            </w:r>
          </w:p>
        </w:tc>
        <w:tc>
          <w:tcPr>
            <w:tcW w:w="0" w:type="dxa"/>
            <w:vAlign w:val="bottom"/>
          </w:tcPr>
          <w:p>
            <w:pPr>
              <w:spacing w:after="0"/>
              <w:rPr>
                <w:sz w:val="1"/>
                <w:szCs w:val="1"/>
                <w:color w:val="auto"/>
              </w:rPr>
            </w:pPr>
          </w:p>
        </w:tc>
      </w:tr>
      <w:tr>
        <w:trPr>
          <w:trHeight w:val="338"/>
        </w:trPr>
        <w:tc>
          <w:tcPr>
            <w:tcW w:w="2680" w:type="dxa"/>
            <w:vAlign w:val="bottom"/>
          </w:tcPr>
          <w:p>
            <w:pPr>
              <w:spacing w:after="0"/>
              <w:rPr>
                <w:sz w:val="24"/>
                <w:szCs w:val="24"/>
                <w:color w:val="auto"/>
              </w:rPr>
            </w:pPr>
          </w:p>
        </w:tc>
        <w:tc>
          <w:tcPr>
            <w:tcW w:w="740" w:type="dxa"/>
            <w:vAlign w:val="bottom"/>
          </w:tcPr>
          <w:p>
            <w:pPr>
              <w:ind w:left="660"/>
              <w:spacing w:after="0"/>
              <w:rPr>
                <w:sz w:val="20"/>
                <w:szCs w:val="20"/>
                <w:color w:val="auto"/>
              </w:rPr>
            </w:pPr>
            <w:r>
              <w:rPr>
                <w:rFonts w:ascii="Arial" w:cs="Arial" w:eastAsia="Arial" w:hAnsi="Arial"/>
                <w:sz w:val="15"/>
                <w:szCs w:val="15"/>
                <w:color w:val="477157"/>
              </w:rPr>
              <w:t>•</w:t>
            </w:r>
          </w:p>
        </w:tc>
        <w:tc>
          <w:tcPr>
            <w:tcW w:w="7840" w:type="dxa"/>
            <w:vAlign w:val="bottom"/>
          </w:tcPr>
          <w:p>
            <w:pPr>
              <w:ind w:left="60"/>
              <w:spacing w:after="0"/>
              <w:rPr>
                <w:sz w:val="20"/>
                <w:szCs w:val="20"/>
                <w:color w:val="auto"/>
              </w:rPr>
            </w:pPr>
            <w:r>
              <w:rPr>
                <w:rFonts w:ascii="Arial" w:cs="Arial" w:eastAsia="Arial" w:hAnsi="Arial"/>
                <w:sz w:val="15"/>
                <w:szCs w:val="15"/>
                <w:color w:val="auto"/>
              </w:rPr>
              <w:t>Evaluate and recommend to the Board the compensation paid to our non-employee directors;</w:t>
            </w:r>
          </w:p>
        </w:tc>
        <w:tc>
          <w:tcPr>
            <w:tcW w:w="0" w:type="dxa"/>
            <w:vAlign w:val="bottom"/>
          </w:tcPr>
          <w:p>
            <w:pPr>
              <w:spacing w:after="0"/>
              <w:rPr>
                <w:sz w:val="1"/>
                <w:szCs w:val="1"/>
                <w:color w:val="auto"/>
              </w:rPr>
            </w:pPr>
          </w:p>
        </w:tc>
      </w:tr>
      <w:tr>
        <w:trPr>
          <w:trHeight w:val="338"/>
        </w:trPr>
        <w:tc>
          <w:tcPr>
            <w:tcW w:w="2680" w:type="dxa"/>
            <w:vAlign w:val="bottom"/>
          </w:tcPr>
          <w:p>
            <w:pPr>
              <w:spacing w:after="0"/>
              <w:rPr>
                <w:sz w:val="24"/>
                <w:szCs w:val="24"/>
                <w:color w:val="auto"/>
              </w:rPr>
            </w:pPr>
          </w:p>
        </w:tc>
        <w:tc>
          <w:tcPr>
            <w:tcW w:w="740" w:type="dxa"/>
            <w:vAlign w:val="bottom"/>
          </w:tcPr>
          <w:p>
            <w:pPr>
              <w:ind w:left="660"/>
              <w:spacing w:after="0"/>
              <w:rPr>
                <w:sz w:val="20"/>
                <w:szCs w:val="20"/>
                <w:color w:val="auto"/>
              </w:rPr>
            </w:pPr>
            <w:r>
              <w:rPr>
                <w:rFonts w:ascii="Arial" w:cs="Arial" w:eastAsia="Arial" w:hAnsi="Arial"/>
                <w:sz w:val="15"/>
                <w:szCs w:val="15"/>
                <w:color w:val="477157"/>
              </w:rPr>
              <w:t>•</w:t>
            </w:r>
          </w:p>
        </w:tc>
        <w:tc>
          <w:tcPr>
            <w:tcW w:w="7840" w:type="dxa"/>
            <w:vAlign w:val="bottom"/>
          </w:tcPr>
          <w:p>
            <w:pPr>
              <w:ind w:left="60"/>
              <w:spacing w:after="0"/>
              <w:rPr>
                <w:sz w:val="20"/>
                <w:szCs w:val="20"/>
                <w:color w:val="auto"/>
              </w:rPr>
            </w:pPr>
            <w:r>
              <w:rPr>
                <w:rFonts w:ascii="Arial" w:cs="Arial" w:eastAsia="Arial" w:hAnsi="Arial"/>
                <w:sz w:val="15"/>
                <w:szCs w:val="15"/>
                <w:color w:val="auto"/>
              </w:rPr>
              <w:t>Review the independence of the MD&amp;C Committee's compensation consultant annually; and</w:t>
            </w:r>
          </w:p>
        </w:tc>
        <w:tc>
          <w:tcPr>
            <w:tcW w:w="0" w:type="dxa"/>
            <w:vAlign w:val="bottom"/>
          </w:tcPr>
          <w:p>
            <w:pPr>
              <w:spacing w:after="0"/>
              <w:rPr>
                <w:sz w:val="1"/>
                <w:szCs w:val="1"/>
                <w:color w:val="auto"/>
              </w:rPr>
            </w:pPr>
          </w:p>
        </w:tc>
      </w:tr>
      <w:tr>
        <w:trPr>
          <w:trHeight w:val="319"/>
        </w:trPr>
        <w:tc>
          <w:tcPr>
            <w:tcW w:w="2680" w:type="dxa"/>
            <w:vAlign w:val="bottom"/>
          </w:tcPr>
          <w:p>
            <w:pPr>
              <w:spacing w:after="0"/>
              <w:rPr>
                <w:sz w:val="24"/>
                <w:szCs w:val="24"/>
                <w:color w:val="auto"/>
              </w:rPr>
            </w:pPr>
          </w:p>
        </w:tc>
        <w:tc>
          <w:tcPr>
            <w:tcW w:w="740" w:type="dxa"/>
            <w:vAlign w:val="bottom"/>
          </w:tcPr>
          <w:p>
            <w:pPr>
              <w:ind w:left="660"/>
              <w:spacing w:after="0"/>
              <w:rPr>
                <w:sz w:val="20"/>
                <w:szCs w:val="20"/>
                <w:color w:val="auto"/>
              </w:rPr>
            </w:pPr>
            <w:r>
              <w:rPr>
                <w:rFonts w:ascii="Arial" w:cs="Arial" w:eastAsia="Arial" w:hAnsi="Arial"/>
                <w:sz w:val="15"/>
                <w:szCs w:val="15"/>
                <w:color w:val="477157"/>
              </w:rPr>
              <w:t>•</w:t>
            </w:r>
          </w:p>
        </w:tc>
        <w:tc>
          <w:tcPr>
            <w:tcW w:w="7840" w:type="dxa"/>
            <w:vAlign w:val="bottom"/>
          </w:tcPr>
          <w:p>
            <w:pPr>
              <w:ind w:left="60"/>
              <w:spacing w:after="0"/>
              <w:rPr>
                <w:sz w:val="20"/>
                <w:szCs w:val="20"/>
                <w:color w:val="auto"/>
              </w:rPr>
            </w:pPr>
            <w:r>
              <w:rPr>
                <w:rFonts w:ascii="Arial" w:cs="Arial" w:eastAsia="Arial" w:hAnsi="Arial"/>
                <w:sz w:val="15"/>
                <w:szCs w:val="15"/>
                <w:color w:val="auto"/>
              </w:rPr>
              <w:t>Perform an annual review of its performance relative to its charter and report the results of its evaluation to the full</w:t>
            </w:r>
          </w:p>
        </w:tc>
        <w:tc>
          <w:tcPr>
            <w:tcW w:w="0" w:type="dxa"/>
            <w:vAlign w:val="bottom"/>
          </w:tcPr>
          <w:p>
            <w:pPr>
              <w:spacing w:after="0"/>
              <w:rPr>
                <w:sz w:val="1"/>
                <w:szCs w:val="1"/>
                <w:color w:val="auto"/>
              </w:rPr>
            </w:pPr>
          </w:p>
        </w:tc>
      </w:tr>
      <w:tr>
        <w:trPr>
          <w:trHeight w:val="177"/>
        </w:trPr>
        <w:tc>
          <w:tcPr>
            <w:tcW w:w="2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40" w:type="dxa"/>
            <w:vAlign w:val="bottom"/>
          </w:tcPr>
          <w:p>
            <w:pPr>
              <w:ind w:left="60"/>
              <w:spacing w:after="0"/>
              <w:rPr>
                <w:sz w:val="20"/>
                <w:szCs w:val="20"/>
                <w:color w:val="auto"/>
              </w:rPr>
            </w:pPr>
            <w:r>
              <w:rPr>
                <w:rFonts w:ascii="Arial" w:cs="Arial" w:eastAsia="Arial" w:hAnsi="Arial"/>
                <w:sz w:val="15"/>
                <w:szCs w:val="15"/>
                <w:color w:val="auto"/>
              </w:rPr>
              <w:t>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-3211195</wp:posOffset>
            </wp:positionV>
            <wp:extent cx="7155180" cy="3971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5180" cy="3971290"/>
                    </a:xfrm>
                    <a:prstGeom prst="rect">
                      <a:avLst/>
                    </a:prstGeom>
                    <a:noFill/>
                  </pic:spPr>
                </pic:pic>
              </a:graphicData>
            </a:graphic>
          </wp:anchor>
        </w:drawing>
      </w:r>
    </w:p>
    <w:p>
      <w:pPr>
        <w:spacing w:after="0" w:line="153" w:lineRule="exact"/>
        <w:rPr>
          <w:sz w:val="20"/>
          <w:szCs w:val="20"/>
          <w:color w:val="auto"/>
        </w:rPr>
      </w:pPr>
    </w:p>
    <w:p>
      <w:pPr>
        <w:jc w:val="both"/>
        <w:ind w:left="3340"/>
        <w:spacing w:after="0" w:line="236" w:lineRule="auto"/>
        <w:rPr>
          <w:sz w:val="20"/>
          <w:szCs w:val="20"/>
          <w:color w:val="auto"/>
        </w:rPr>
      </w:pPr>
      <w:r>
        <w:rPr>
          <w:rFonts w:ascii="Arial" w:cs="Arial" w:eastAsia="Arial" w:hAnsi="Arial"/>
          <w:sz w:val="15"/>
          <w:szCs w:val="15"/>
          <w:color w:val="auto"/>
        </w:rPr>
        <w:t xml:space="preserve">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to Company employees under those plans for matters affecting the compensation and benefits of the executive officers. For additional information on the MD&amp;C Committee, see the </w:t>
      </w:r>
      <w:r>
        <w:rPr>
          <w:rFonts w:ascii="Arial" w:cs="Arial" w:eastAsia="Arial" w:hAnsi="Arial"/>
          <w:sz w:val="15"/>
          <w:szCs w:val="15"/>
          <w:i w:val="1"/>
          <w:iCs w:val="1"/>
          <w:color w:val="auto"/>
        </w:rPr>
        <w:t>Compensation 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w:t>
      </w:r>
      <w:r>
        <w:rPr>
          <w:rFonts w:ascii="Arial" w:cs="Arial" w:eastAsia="Arial" w:hAnsi="Arial"/>
          <w:sz w:val="15"/>
          <w:szCs w:val="15"/>
          <w:color w:val="auto"/>
        </w:rPr>
        <w:t>beginning on page 26.</w:t>
      </w:r>
    </w:p>
    <w:p>
      <w:pPr>
        <w:spacing w:after="0" w:line="169"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374"/>
        </w:trPr>
        <w:tc>
          <w:tcPr>
            <w:tcW w:w="2060" w:type="dxa"/>
            <w:vAlign w:val="bottom"/>
            <w:tcBorders>
              <w:top w:val="single" w:sz="8" w:color="477157"/>
            </w:tcBorders>
            <w:gridSpan w:val="2"/>
            <w:shd w:val="clear" w:color="auto" w:fill="DDE8E1"/>
          </w:tcPr>
          <w:p>
            <w:pPr>
              <w:spacing w:after="0"/>
              <w:rPr>
                <w:sz w:val="20"/>
                <w:szCs w:val="20"/>
                <w:color w:val="auto"/>
              </w:rPr>
            </w:pPr>
            <w:r>
              <w:rPr>
                <w:rFonts w:ascii="Arial" w:cs="Arial" w:eastAsia="Arial" w:hAnsi="Arial"/>
                <w:sz w:val="20"/>
                <w:szCs w:val="20"/>
                <w:b w:val="1"/>
                <w:bCs w:val="1"/>
                <w:color w:val="477157"/>
              </w:rPr>
              <w:t>COMPENSATION</w:t>
            </w:r>
          </w:p>
        </w:tc>
        <w:tc>
          <w:tcPr>
            <w:tcW w:w="9200" w:type="dxa"/>
            <w:vAlign w:val="bottom"/>
            <w:tcBorders>
              <w:top w:val="single" w:sz="8" w:color="477157"/>
            </w:tcBorders>
            <w:shd w:val="clear" w:color="auto" w:fill="DDE8E1"/>
          </w:tcPr>
          <w:p>
            <w:pPr>
              <w:spacing w:after="0"/>
              <w:rPr>
                <w:sz w:val="20"/>
                <w:szCs w:val="20"/>
                <w:color w:val="auto"/>
              </w:rPr>
            </w:pPr>
            <w:r>
              <w:rPr>
                <w:rFonts w:ascii="Arial" w:cs="Arial" w:eastAsia="Arial" w:hAnsi="Arial"/>
                <w:sz w:val="15"/>
                <w:szCs w:val="15"/>
                <w:color w:val="auto"/>
                <w:w w:val="99"/>
              </w:rPr>
              <w:t xml:space="preserve">The MD&amp;C Committee has reviewed and discussed the </w:t>
            </w:r>
            <w:r>
              <w:rPr>
                <w:rFonts w:ascii="Arial" w:cs="Arial" w:eastAsia="Arial" w:hAnsi="Arial"/>
                <w:sz w:val="15"/>
                <w:szCs w:val="15"/>
                <w:i w:val="1"/>
                <w:iCs w:val="1"/>
                <w:color w:val="auto"/>
                <w:w w:val="99"/>
              </w:rPr>
              <w:t>Compensation Discussion and Analysis</w:t>
            </w:r>
            <w:r>
              <w:rPr>
                <w:rFonts w:ascii="Arial" w:cs="Arial" w:eastAsia="Arial" w:hAnsi="Arial"/>
                <w:sz w:val="15"/>
                <w:szCs w:val="15"/>
                <w:color w:val="auto"/>
                <w:w w:val="99"/>
              </w:rPr>
              <w:t>, beginning on page 26, with management.</w:t>
            </w:r>
          </w:p>
        </w:tc>
        <w:tc>
          <w:tcPr>
            <w:tcW w:w="0" w:type="dxa"/>
            <w:vAlign w:val="bottom"/>
          </w:tcPr>
          <w:p>
            <w:pPr>
              <w:spacing w:after="0"/>
              <w:rPr>
                <w:sz w:val="1"/>
                <w:szCs w:val="1"/>
                <w:color w:val="auto"/>
              </w:rPr>
            </w:pPr>
          </w:p>
        </w:tc>
      </w:tr>
      <w:tr>
        <w:trPr>
          <w:trHeight w:val="146"/>
        </w:trPr>
        <w:tc>
          <w:tcPr>
            <w:tcW w:w="1360" w:type="dxa"/>
            <w:vAlign w:val="bottom"/>
            <w:vMerge w:val="restart"/>
            <w:shd w:val="clear" w:color="auto" w:fill="DDE8E1"/>
          </w:tcPr>
          <w:p>
            <w:pPr>
              <w:spacing w:after="0"/>
              <w:rPr>
                <w:sz w:val="20"/>
                <w:szCs w:val="20"/>
                <w:color w:val="auto"/>
              </w:rPr>
            </w:pPr>
            <w:r>
              <w:rPr>
                <w:rFonts w:ascii="Arial" w:cs="Arial" w:eastAsia="Arial" w:hAnsi="Arial"/>
                <w:sz w:val="20"/>
                <w:szCs w:val="20"/>
                <w:b w:val="1"/>
                <w:bCs w:val="1"/>
                <w:color w:val="477157"/>
              </w:rPr>
              <w:t>COMMITTEE</w:t>
            </w:r>
          </w:p>
        </w:tc>
        <w:tc>
          <w:tcPr>
            <w:tcW w:w="700" w:type="dxa"/>
            <w:vAlign w:val="bottom"/>
            <w:shd w:val="clear" w:color="auto" w:fill="DDE8E1"/>
          </w:tcPr>
          <w:p>
            <w:pPr>
              <w:spacing w:after="0"/>
              <w:rPr>
                <w:sz w:val="12"/>
                <w:szCs w:val="12"/>
                <w:color w:val="auto"/>
              </w:rPr>
            </w:pPr>
          </w:p>
        </w:tc>
        <w:tc>
          <w:tcPr>
            <w:tcW w:w="9200" w:type="dxa"/>
            <w:vAlign w:val="bottom"/>
            <w:shd w:val="clear" w:color="auto" w:fill="DDE8E1"/>
          </w:tcPr>
          <w:p>
            <w:pPr>
              <w:spacing w:after="0" w:line="146" w:lineRule="exact"/>
              <w:rPr>
                <w:sz w:val="20"/>
                <w:szCs w:val="20"/>
                <w:color w:val="auto"/>
              </w:rPr>
            </w:pPr>
            <w:r>
              <w:rPr>
                <w:rFonts w:ascii="Arial" w:cs="Arial" w:eastAsia="Arial" w:hAnsi="Arial"/>
                <w:sz w:val="15"/>
                <w:szCs w:val="15"/>
                <w:color w:val="auto"/>
                <w:w w:val="97"/>
              </w:rPr>
              <w:t xml:space="preserve">Based on their review and discussions, the MD&amp;C Committee recommended to the Board of Directors that the </w:t>
            </w:r>
            <w:r>
              <w:rPr>
                <w:rFonts w:ascii="Arial" w:cs="Arial" w:eastAsia="Arial" w:hAnsi="Arial"/>
                <w:sz w:val="15"/>
                <w:szCs w:val="15"/>
                <w:i w:val="1"/>
                <w:iCs w:val="1"/>
                <w:color w:val="auto"/>
                <w:w w:val="97"/>
              </w:rPr>
              <w:t>Compensation Discussion and</w:t>
            </w:r>
          </w:p>
        </w:tc>
        <w:tc>
          <w:tcPr>
            <w:tcW w:w="0" w:type="dxa"/>
            <w:vAlign w:val="bottom"/>
          </w:tcPr>
          <w:p>
            <w:pPr>
              <w:spacing w:after="0"/>
              <w:rPr>
                <w:sz w:val="1"/>
                <w:szCs w:val="1"/>
                <w:color w:val="auto"/>
              </w:rPr>
            </w:pPr>
          </w:p>
        </w:tc>
      </w:tr>
      <w:tr>
        <w:trPr>
          <w:trHeight w:val="147"/>
        </w:trPr>
        <w:tc>
          <w:tcPr>
            <w:tcW w:w="1360" w:type="dxa"/>
            <w:vAlign w:val="bottom"/>
            <w:vMerge w:val="continue"/>
            <w:shd w:val="clear" w:color="auto" w:fill="DDE8E1"/>
          </w:tcPr>
          <w:p>
            <w:pPr>
              <w:spacing w:after="0"/>
              <w:rPr>
                <w:sz w:val="12"/>
                <w:szCs w:val="12"/>
                <w:color w:val="auto"/>
              </w:rPr>
            </w:pPr>
          </w:p>
        </w:tc>
        <w:tc>
          <w:tcPr>
            <w:tcW w:w="700" w:type="dxa"/>
            <w:vAlign w:val="bottom"/>
            <w:shd w:val="clear" w:color="auto" w:fill="DDE8E1"/>
          </w:tcPr>
          <w:p>
            <w:pPr>
              <w:spacing w:after="0"/>
              <w:rPr>
                <w:sz w:val="12"/>
                <w:szCs w:val="12"/>
                <w:color w:val="auto"/>
              </w:rPr>
            </w:pPr>
          </w:p>
        </w:tc>
        <w:tc>
          <w:tcPr>
            <w:tcW w:w="9200" w:type="dxa"/>
            <w:vAlign w:val="bottom"/>
            <w:shd w:val="clear" w:color="auto" w:fill="DDE8E1"/>
          </w:tcPr>
          <w:p>
            <w:pPr>
              <w:spacing w:after="0" w:line="146" w:lineRule="exact"/>
              <w:rPr>
                <w:sz w:val="20"/>
                <w:szCs w:val="20"/>
                <w:color w:val="auto"/>
              </w:rPr>
            </w:pPr>
            <w:r>
              <w:rPr>
                <w:rFonts w:ascii="Arial" w:cs="Arial" w:eastAsia="Arial" w:hAnsi="Arial"/>
                <w:sz w:val="15"/>
                <w:szCs w:val="15"/>
                <w:i w:val="1"/>
                <w:iCs w:val="1"/>
                <w:color w:val="auto"/>
              </w:rPr>
              <w:t xml:space="preserve">Analysis </w:t>
            </w:r>
            <w:r>
              <w:rPr>
                <w:rFonts w:ascii="Arial" w:cs="Arial" w:eastAsia="Arial" w:hAnsi="Arial"/>
                <w:sz w:val="15"/>
                <w:szCs w:val="15"/>
                <w:color w:val="auto"/>
              </w:rPr>
              <w:t>be included in the Company's Proxy Statement.</w:t>
            </w:r>
          </w:p>
        </w:tc>
        <w:tc>
          <w:tcPr>
            <w:tcW w:w="0" w:type="dxa"/>
            <w:vAlign w:val="bottom"/>
          </w:tcPr>
          <w:p>
            <w:pPr>
              <w:spacing w:after="0"/>
              <w:rPr>
                <w:sz w:val="1"/>
                <w:szCs w:val="1"/>
                <w:color w:val="auto"/>
              </w:rPr>
            </w:pPr>
          </w:p>
        </w:tc>
      </w:tr>
      <w:tr>
        <w:trPr>
          <w:trHeight w:val="268"/>
        </w:trPr>
        <w:tc>
          <w:tcPr>
            <w:tcW w:w="1360" w:type="dxa"/>
            <w:vAlign w:val="bottom"/>
            <w:shd w:val="clear" w:color="auto" w:fill="DDE8E1"/>
          </w:tcPr>
          <w:p>
            <w:pPr>
              <w:spacing w:after="0"/>
              <w:rPr>
                <w:sz w:val="20"/>
                <w:szCs w:val="20"/>
                <w:color w:val="auto"/>
              </w:rPr>
            </w:pPr>
            <w:r>
              <w:rPr>
                <w:rFonts w:ascii="Arial" w:cs="Arial" w:eastAsia="Arial" w:hAnsi="Arial"/>
                <w:sz w:val="20"/>
                <w:szCs w:val="20"/>
                <w:b w:val="1"/>
                <w:bCs w:val="1"/>
                <w:color w:val="477157"/>
              </w:rPr>
              <w:t>REPORT</w:t>
            </w:r>
          </w:p>
        </w:tc>
        <w:tc>
          <w:tcPr>
            <w:tcW w:w="700" w:type="dxa"/>
            <w:vAlign w:val="bottom"/>
            <w:shd w:val="clear" w:color="auto" w:fill="DDE8E1"/>
          </w:tcPr>
          <w:p>
            <w:pPr>
              <w:spacing w:after="0"/>
              <w:rPr>
                <w:sz w:val="23"/>
                <w:szCs w:val="23"/>
                <w:color w:val="auto"/>
              </w:rPr>
            </w:pPr>
          </w:p>
        </w:tc>
        <w:tc>
          <w:tcPr>
            <w:tcW w:w="9200" w:type="dxa"/>
            <w:vAlign w:val="bottom"/>
            <w:vMerge w:val="restart"/>
            <w:shd w:val="clear" w:color="auto" w:fill="DDE8E1"/>
          </w:tcPr>
          <w:p>
            <w:pPr>
              <w:ind w:left="180"/>
              <w:spacing w:after="0"/>
              <w:rPr>
                <w:sz w:val="20"/>
                <w:szCs w:val="20"/>
                <w:color w:val="auto"/>
              </w:rPr>
            </w:pPr>
            <w:r>
              <w:rPr>
                <w:rFonts w:ascii="Arial" w:cs="Arial" w:eastAsia="Arial" w:hAnsi="Arial"/>
                <w:sz w:val="15"/>
                <w:szCs w:val="15"/>
                <w:color w:val="auto"/>
              </w:rPr>
              <w:t>The Management Development and Compensation</w:t>
            </w:r>
          </w:p>
        </w:tc>
        <w:tc>
          <w:tcPr>
            <w:tcW w:w="0" w:type="dxa"/>
            <w:vAlign w:val="bottom"/>
          </w:tcPr>
          <w:p>
            <w:pPr>
              <w:spacing w:after="0"/>
              <w:rPr>
                <w:sz w:val="1"/>
                <w:szCs w:val="1"/>
                <w:color w:val="auto"/>
              </w:rPr>
            </w:pPr>
          </w:p>
        </w:tc>
      </w:tr>
      <w:tr>
        <w:trPr>
          <w:trHeight w:val="114"/>
        </w:trPr>
        <w:tc>
          <w:tcPr>
            <w:tcW w:w="1360" w:type="dxa"/>
            <w:vAlign w:val="bottom"/>
            <w:shd w:val="clear" w:color="auto" w:fill="DDE8E1"/>
          </w:tcPr>
          <w:p>
            <w:pPr>
              <w:spacing w:after="0"/>
              <w:rPr>
                <w:sz w:val="9"/>
                <w:szCs w:val="9"/>
                <w:color w:val="auto"/>
              </w:rPr>
            </w:pPr>
          </w:p>
        </w:tc>
        <w:tc>
          <w:tcPr>
            <w:tcW w:w="700" w:type="dxa"/>
            <w:vAlign w:val="bottom"/>
            <w:shd w:val="clear" w:color="auto" w:fill="DDE8E1"/>
          </w:tcPr>
          <w:p>
            <w:pPr>
              <w:spacing w:after="0"/>
              <w:rPr>
                <w:sz w:val="9"/>
                <w:szCs w:val="9"/>
                <w:color w:val="auto"/>
              </w:rPr>
            </w:pPr>
          </w:p>
        </w:tc>
        <w:tc>
          <w:tcPr>
            <w:tcW w:w="9200" w:type="dxa"/>
            <w:vAlign w:val="bottom"/>
            <w:vMerge w:val="continue"/>
            <w:shd w:val="clear" w:color="auto" w:fill="DDE8E1"/>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60" w:type="dxa"/>
            <w:vAlign w:val="bottom"/>
            <w:shd w:val="clear" w:color="auto" w:fill="DDE8E1"/>
          </w:tcPr>
          <w:p>
            <w:pPr>
              <w:spacing w:after="0"/>
              <w:rPr>
                <w:sz w:val="24"/>
                <w:szCs w:val="24"/>
                <w:color w:val="auto"/>
              </w:rPr>
            </w:pPr>
          </w:p>
        </w:tc>
        <w:tc>
          <w:tcPr>
            <w:tcW w:w="700" w:type="dxa"/>
            <w:vAlign w:val="bottom"/>
            <w:shd w:val="clear" w:color="auto" w:fill="DDE8E1"/>
          </w:tcPr>
          <w:p>
            <w:pPr>
              <w:spacing w:after="0"/>
              <w:rPr>
                <w:sz w:val="24"/>
                <w:szCs w:val="24"/>
                <w:color w:val="auto"/>
              </w:rPr>
            </w:pPr>
          </w:p>
        </w:tc>
        <w:tc>
          <w:tcPr>
            <w:tcW w:w="9200" w:type="dxa"/>
            <w:vAlign w:val="bottom"/>
            <w:shd w:val="clear" w:color="auto" w:fill="DDE8E1"/>
          </w:tcPr>
          <w:p>
            <w:pPr>
              <w:ind w:left="180"/>
              <w:spacing w:after="0"/>
              <w:rPr>
                <w:sz w:val="20"/>
                <w:szCs w:val="20"/>
                <w:color w:val="auto"/>
              </w:rPr>
            </w:pPr>
            <w:r>
              <w:rPr>
                <w:rFonts w:ascii="Arial" w:cs="Arial" w:eastAsia="Arial" w:hAnsi="Arial"/>
                <w:sz w:val="15"/>
                <w:szCs w:val="15"/>
                <w:color w:val="auto"/>
              </w:rPr>
              <w:t>Committee of the Board of Directors</w:t>
            </w:r>
          </w:p>
        </w:tc>
        <w:tc>
          <w:tcPr>
            <w:tcW w:w="0" w:type="dxa"/>
            <w:vAlign w:val="bottom"/>
          </w:tcPr>
          <w:p>
            <w:pPr>
              <w:spacing w:after="0"/>
              <w:rPr>
                <w:sz w:val="1"/>
                <w:szCs w:val="1"/>
                <w:color w:val="auto"/>
              </w:rPr>
            </w:pPr>
          </w:p>
        </w:tc>
      </w:tr>
      <w:tr>
        <w:trPr>
          <w:trHeight w:val="297"/>
        </w:trPr>
        <w:tc>
          <w:tcPr>
            <w:tcW w:w="1360" w:type="dxa"/>
            <w:vAlign w:val="bottom"/>
            <w:shd w:val="clear" w:color="auto" w:fill="DDE8E1"/>
          </w:tcPr>
          <w:p>
            <w:pPr>
              <w:spacing w:after="0"/>
              <w:rPr>
                <w:sz w:val="24"/>
                <w:szCs w:val="24"/>
                <w:color w:val="auto"/>
              </w:rPr>
            </w:pPr>
          </w:p>
        </w:tc>
        <w:tc>
          <w:tcPr>
            <w:tcW w:w="700" w:type="dxa"/>
            <w:vAlign w:val="bottom"/>
            <w:shd w:val="clear" w:color="auto" w:fill="DDE8E1"/>
          </w:tcPr>
          <w:p>
            <w:pPr>
              <w:spacing w:after="0"/>
              <w:rPr>
                <w:sz w:val="24"/>
                <w:szCs w:val="24"/>
                <w:color w:val="auto"/>
              </w:rPr>
            </w:pPr>
          </w:p>
        </w:tc>
        <w:tc>
          <w:tcPr>
            <w:tcW w:w="9200" w:type="dxa"/>
            <w:vAlign w:val="bottom"/>
            <w:shd w:val="clear" w:color="auto" w:fill="DDE8E1"/>
          </w:tcPr>
          <w:p>
            <w:pPr>
              <w:ind w:left="180"/>
              <w:spacing w:after="0"/>
              <w:rPr>
                <w:sz w:val="20"/>
                <w:szCs w:val="20"/>
                <w:color w:val="auto"/>
              </w:rPr>
            </w:pPr>
            <w:r>
              <w:rPr>
                <w:rFonts w:ascii="Arial" w:cs="Arial" w:eastAsia="Arial" w:hAnsi="Arial"/>
                <w:sz w:val="15"/>
                <w:szCs w:val="15"/>
                <w:color w:val="auto"/>
              </w:rPr>
              <w:t xml:space="preserve">Frank M. Clark, Jr., </w:t>
            </w:r>
            <w:r>
              <w:rPr>
                <w:rFonts w:ascii="Arial" w:cs="Arial" w:eastAsia="Arial" w:hAnsi="Arial"/>
                <w:sz w:val="15"/>
                <w:szCs w:val="15"/>
                <w:i w:val="1"/>
                <w:iCs w:val="1"/>
                <w:color w:val="auto"/>
              </w:rPr>
              <w:t>Chairman</w:t>
            </w:r>
          </w:p>
        </w:tc>
        <w:tc>
          <w:tcPr>
            <w:tcW w:w="0" w:type="dxa"/>
            <w:vAlign w:val="bottom"/>
          </w:tcPr>
          <w:p>
            <w:pPr>
              <w:spacing w:after="0"/>
              <w:rPr>
                <w:sz w:val="1"/>
                <w:szCs w:val="1"/>
                <w:color w:val="auto"/>
              </w:rPr>
            </w:pPr>
          </w:p>
        </w:tc>
      </w:tr>
      <w:tr>
        <w:trPr>
          <w:trHeight w:val="169"/>
        </w:trPr>
        <w:tc>
          <w:tcPr>
            <w:tcW w:w="1360" w:type="dxa"/>
            <w:vAlign w:val="bottom"/>
            <w:shd w:val="clear" w:color="auto" w:fill="DDE8E1"/>
          </w:tcPr>
          <w:p>
            <w:pPr>
              <w:spacing w:after="0"/>
              <w:rPr>
                <w:sz w:val="14"/>
                <w:szCs w:val="14"/>
                <w:color w:val="auto"/>
              </w:rPr>
            </w:pPr>
          </w:p>
        </w:tc>
        <w:tc>
          <w:tcPr>
            <w:tcW w:w="700" w:type="dxa"/>
            <w:vAlign w:val="bottom"/>
            <w:shd w:val="clear" w:color="auto" w:fill="DDE8E1"/>
          </w:tcPr>
          <w:p>
            <w:pPr>
              <w:spacing w:after="0"/>
              <w:rPr>
                <w:sz w:val="14"/>
                <w:szCs w:val="14"/>
                <w:color w:val="auto"/>
              </w:rPr>
            </w:pPr>
          </w:p>
        </w:tc>
        <w:tc>
          <w:tcPr>
            <w:tcW w:w="9200" w:type="dxa"/>
            <w:vAlign w:val="bottom"/>
            <w:shd w:val="clear" w:color="auto" w:fill="DDE8E1"/>
          </w:tcPr>
          <w:p>
            <w:pPr>
              <w:ind w:left="180"/>
              <w:spacing w:after="0" w:line="169" w:lineRule="exact"/>
              <w:rPr>
                <w:sz w:val="20"/>
                <w:szCs w:val="20"/>
                <w:color w:val="auto"/>
              </w:rPr>
            </w:pPr>
            <w:r>
              <w:rPr>
                <w:rFonts w:ascii="Arial" w:cs="Arial" w:eastAsia="Arial" w:hAnsi="Arial"/>
                <w:sz w:val="15"/>
                <w:szCs w:val="15"/>
                <w:color w:val="auto"/>
              </w:rPr>
              <w:t>Andrés R. Gluski</w:t>
            </w:r>
          </w:p>
        </w:tc>
        <w:tc>
          <w:tcPr>
            <w:tcW w:w="0" w:type="dxa"/>
            <w:vAlign w:val="bottom"/>
          </w:tcPr>
          <w:p>
            <w:pPr>
              <w:spacing w:after="0"/>
              <w:rPr>
                <w:sz w:val="1"/>
                <w:szCs w:val="1"/>
                <w:color w:val="auto"/>
              </w:rPr>
            </w:pPr>
          </w:p>
        </w:tc>
      </w:tr>
      <w:tr>
        <w:trPr>
          <w:trHeight w:val="169"/>
        </w:trPr>
        <w:tc>
          <w:tcPr>
            <w:tcW w:w="1360" w:type="dxa"/>
            <w:vAlign w:val="bottom"/>
            <w:shd w:val="clear" w:color="auto" w:fill="DDE8E1"/>
          </w:tcPr>
          <w:p>
            <w:pPr>
              <w:spacing w:after="0"/>
              <w:rPr>
                <w:sz w:val="14"/>
                <w:szCs w:val="14"/>
                <w:color w:val="auto"/>
              </w:rPr>
            </w:pPr>
          </w:p>
        </w:tc>
        <w:tc>
          <w:tcPr>
            <w:tcW w:w="700" w:type="dxa"/>
            <w:vAlign w:val="bottom"/>
            <w:shd w:val="clear" w:color="auto" w:fill="DDE8E1"/>
          </w:tcPr>
          <w:p>
            <w:pPr>
              <w:spacing w:after="0"/>
              <w:rPr>
                <w:sz w:val="14"/>
                <w:szCs w:val="14"/>
                <w:color w:val="auto"/>
              </w:rPr>
            </w:pPr>
          </w:p>
        </w:tc>
        <w:tc>
          <w:tcPr>
            <w:tcW w:w="9200" w:type="dxa"/>
            <w:vAlign w:val="bottom"/>
            <w:shd w:val="clear" w:color="auto" w:fill="DDE8E1"/>
          </w:tcPr>
          <w:p>
            <w:pPr>
              <w:ind w:left="180"/>
              <w:spacing w:after="0" w:line="169" w:lineRule="exact"/>
              <w:rPr>
                <w:sz w:val="20"/>
                <w:szCs w:val="20"/>
                <w:color w:val="auto"/>
              </w:rPr>
            </w:pPr>
            <w:r>
              <w:rPr>
                <w:rFonts w:ascii="Arial" w:cs="Arial" w:eastAsia="Arial" w:hAnsi="Arial"/>
                <w:sz w:val="15"/>
                <w:szCs w:val="15"/>
                <w:color w:val="auto"/>
              </w:rPr>
              <w:t>Victoria M. Holt</w:t>
            </w:r>
          </w:p>
        </w:tc>
        <w:tc>
          <w:tcPr>
            <w:tcW w:w="0" w:type="dxa"/>
            <w:vAlign w:val="bottom"/>
          </w:tcPr>
          <w:p>
            <w:pPr>
              <w:spacing w:after="0"/>
              <w:rPr>
                <w:sz w:val="1"/>
                <w:szCs w:val="1"/>
                <w:color w:val="auto"/>
              </w:rPr>
            </w:pPr>
          </w:p>
        </w:tc>
      </w:tr>
      <w:tr>
        <w:trPr>
          <w:trHeight w:val="169"/>
        </w:trPr>
        <w:tc>
          <w:tcPr>
            <w:tcW w:w="1360" w:type="dxa"/>
            <w:vAlign w:val="bottom"/>
            <w:shd w:val="clear" w:color="auto" w:fill="DDE8E1"/>
          </w:tcPr>
          <w:p>
            <w:pPr>
              <w:spacing w:after="0"/>
              <w:rPr>
                <w:sz w:val="14"/>
                <w:szCs w:val="14"/>
                <w:color w:val="auto"/>
              </w:rPr>
            </w:pPr>
          </w:p>
        </w:tc>
        <w:tc>
          <w:tcPr>
            <w:tcW w:w="700" w:type="dxa"/>
            <w:vAlign w:val="bottom"/>
            <w:shd w:val="clear" w:color="auto" w:fill="DDE8E1"/>
          </w:tcPr>
          <w:p>
            <w:pPr>
              <w:spacing w:after="0"/>
              <w:rPr>
                <w:sz w:val="14"/>
                <w:szCs w:val="14"/>
                <w:color w:val="auto"/>
              </w:rPr>
            </w:pPr>
          </w:p>
        </w:tc>
        <w:tc>
          <w:tcPr>
            <w:tcW w:w="9200" w:type="dxa"/>
            <w:vAlign w:val="bottom"/>
            <w:shd w:val="clear" w:color="auto" w:fill="DDE8E1"/>
          </w:tcPr>
          <w:p>
            <w:pPr>
              <w:ind w:left="180"/>
              <w:spacing w:after="0" w:line="169" w:lineRule="exact"/>
              <w:rPr>
                <w:sz w:val="20"/>
                <w:szCs w:val="20"/>
                <w:color w:val="auto"/>
              </w:rPr>
            </w:pPr>
            <w:r>
              <w:rPr>
                <w:rFonts w:ascii="Arial" w:cs="Arial" w:eastAsia="Arial" w:hAnsi="Arial"/>
                <w:sz w:val="15"/>
                <w:szCs w:val="15"/>
                <w:color w:val="auto"/>
              </w:rPr>
              <w:t>Kathleen M. Mazzarella</w:t>
            </w:r>
          </w:p>
        </w:tc>
        <w:tc>
          <w:tcPr>
            <w:tcW w:w="0" w:type="dxa"/>
            <w:vAlign w:val="bottom"/>
          </w:tcPr>
          <w:p>
            <w:pPr>
              <w:spacing w:after="0"/>
              <w:rPr>
                <w:sz w:val="1"/>
                <w:szCs w:val="1"/>
                <w:color w:val="auto"/>
              </w:rPr>
            </w:pPr>
          </w:p>
        </w:tc>
      </w:tr>
      <w:tr>
        <w:trPr>
          <w:trHeight w:val="169"/>
        </w:trPr>
        <w:tc>
          <w:tcPr>
            <w:tcW w:w="1360" w:type="dxa"/>
            <w:vAlign w:val="bottom"/>
            <w:shd w:val="clear" w:color="auto" w:fill="DDE8E1"/>
          </w:tcPr>
          <w:p>
            <w:pPr>
              <w:spacing w:after="0"/>
              <w:rPr>
                <w:sz w:val="14"/>
                <w:szCs w:val="14"/>
                <w:color w:val="auto"/>
              </w:rPr>
            </w:pPr>
          </w:p>
        </w:tc>
        <w:tc>
          <w:tcPr>
            <w:tcW w:w="700" w:type="dxa"/>
            <w:vAlign w:val="bottom"/>
            <w:shd w:val="clear" w:color="auto" w:fill="DDE8E1"/>
          </w:tcPr>
          <w:p>
            <w:pPr>
              <w:spacing w:after="0"/>
              <w:rPr>
                <w:sz w:val="14"/>
                <w:szCs w:val="14"/>
                <w:color w:val="auto"/>
              </w:rPr>
            </w:pPr>
          </w:p>
        </w:tc>
        <w:tc>
          <w:tcPr>
            <w:tcW w:w="9200" w:type="dxa"/>
            <w:vAlign w:val="bottom"/>
            <w:shd w:val="clear" w:color="auto" w:fill="DDE8E1"/>
          </w:tcPr>
          <w:p>
            <w:pPr>
              <w:ind w:left="180"/>
              <w:spacing w:after="0" w:line="169" w:lineRule="exact"/>
              <w:rPr>
                <w:sz w:val="20"/>
                <w:szCs w:val="20"/>
                <w:color w:val="auto"/>
              </w:rPr>
            </w:pPr>
            <w:r>
              <w:rPr>
                <w:rFonts w:ascii="Arial" w:cs="Arial" w:eastAsia="Arial" w:hAnsi="Arial"/>
                <w:sz w:val="15"/>
                <w:szCs w:val="15"/>
                <w:color w:val="auto"/>
              </w:rPr>
              <w:t>William B. Plummer</w:t>
            </w:r>
          </w:p>
        </w:tc>
        <w:tc>
          <w:tcPr>
            <w:tcW w:w="0" w:type="dxa"/>
            <w:vAlign w:val="bottom"/>
          </w:tcPr>
          <w:p>
            <w:pPr>
              <w:spacing w:after="0"/>
              <w:rPr>
                <w:sz w:val="1"/>
                <w:szCs w:val="1"/>
                <w:color w:val="auto"/>
              </w:rPr>
            </w:pPr>
          </w:p>
        </w:tc>
      </w:tr>
      <w:tr>
        <w:trPr>
          <w:trHeight w:val="169"/>
        </w:trPr>
        <w:tc>
          <w:tcPr>
            <w:tcW w:w="1360" w:type="dxa"/>
            <w:vAlign w:val="bottom"/>
            <w:shd w:val="clear" w:color="auto" w:fill="DDE8E1"/>
          </w:tcPr>
          <w:p>
            <w:pPr>
              <w:spacing w:after="0"/>
              <w:rPr>
                <w:sz w:val="14"/>
                <w:szCs w:val="14"/>
                <w:color w:val="auto"/>
              </w:rPr>
            </w:pPr>
          </w:p>
        </w:tc>
        <w:tc>
          <w:tcPr>
            <w:tcW w:w="700" w:type="dxa"/>
            <w:vAlign w:val="bottom"/>
            <w:shd w:val="clear" w:color="auto" w:fill="DDE8E1"/>
          </w:tcPr>
          <w:p>
            <w:pPr>
              <w:spacing w:after="0"/>
              <w:rPr>
                <w:sz w:val="14"/>
                <w:szCs w:val="14"/>
                <w:color w:val="auto"/>
              </w:rPr>
            </w:pPr>
          </w:p>
        </w:tc>
        <w:tc>
          <w:tcPr>
            <w:tcW w:w="9200" w:type="dxa"/>
            <w:vAlign w:val="bottom"/>
            <w:shd w:val="clear" w:color="auto" w:fill="DDE8E1"/>
          </w:tcPr>
          <w:p>
            <w:pPr>
              <w:ind w:left="180"/>
              <w:spacing w:after="0" w:line="169" w:lineRule="exact"/>
              <w:rPr>
                <w:sz w:val="20"/>
                <w:szCs w:val="20"/>
                <w:color w:val="auto"/>
              </w:rPr>
            </w:pPr>
            <w:r>
              <w:rPr>
                <w:rFonts w:ascii="Arial" w:cs="Arial" w:eastAsia="Arial" w:hAnsi="Arial"/>
                <w:sz w:val="15"/>
                <w:szCs w:val="15"/>
                <w:color w:val="auto"/>
              </w:rPr>
              <w:t>John C. Pope</w:t>
            </w:r>
          </w:p>
        </w:tc>
        <w:tc>
          <w:tcPr>
            <w:tcW w:w="0" w:type="dxa"/>
            <w:vAlign w:val="bottom"/>
          </w:tcPr>
          <w:p>
            <w:pPr>
              <w:spacing w:after="0"/>
              <w:rPr>
                <w:sz w:val="1"/>
                <w:szCs w:val="1"/>
                <w:color w:val="auto"/>
              </w:rPr>
            </w:pPr>
          </w:p>
        </w:tc>
      </w:tr>
      <w:tr>
        <w:trPr>
          <w:trHeight w:val="166"/>
        </w:trPr>
        <w:tc>
          <w:tcPr>
            <w:tcW w:w="1360" w:type="dxa"/>
            <w:vAlign w:val="bottom"/>
            <w:shd w:val="clear" w:color="auto" w:fill="DDE8E1"/>
          </w:tcPr>
          <w:p>
            <w:pPr>
              <w:spacing w:after="0"/>
              <w:rPr>
                <w:sz w:val="14"/>
                <w:szCs w:val="14"/>
                <w:color w:val="auto"/>
              </w:rPr>
            </w:pPr>
          </w:p>
        </w:tc>
        <w:tc>
          <w:tcPr>
            <w:tcW w:w="700" w:type="dxa"/>
            <w:vAlign w:val="bottom"/>
            <w:shd w:val="clear" w:color="auto" w:fill="DDE8E1"/>
          </w:tcPr>
          <w:p>
            <w:pPr>
              <w:spacing w:after="0"/>
              <w:rPr>
                <w:sz w:val="14"/>
                <w:szCs w:val="14"/>
                <w:color w:val="auto"/>
              </w:rPr>
            </w:pPr>
          </w:p>
        </w:tc>
        <w:tc>
          <w:tcPr>
            <w:tcW w:w="9200" w:type="dxa"/>
            <w:vAlign w:val="bottom"/>
            <w:shd w:val="clear" w:color="auto" w:fill="DDE8E1"/>
          </w:tcPr>
          <w:p>
            <w:pPr>
              <w:ind w:left="180"/>
              <w:spacing w:after="0" w:line="167" w:lineRule="exact"/>
              <w:rPr>
                <w:sz w:val="20"/>
                <w:szCs w:val="20"/>
                <w:color w:val="auto"/>
              </w:rPr>
            </w:pPr>
            <w:r>
              <w:rPr>
                <w:rFonts w:ascii="Arial" w:cs="Arial" w:eastAsia="Arial" w:hAnsi="Arial"/>
                <w:sz w:val="15"/>
                <w:szCs w:val="15"/>
                <w:color w:val="auto"/>
              </w:rPr>
              <w:t>Thomas H. Weidemeyer</w:t>
            </w:r>
          </w:p>
        </w:tc>
        <w:tc>
          <w:tcPr>
            <w:tcW w:w="0" w:type="dxa"/>
            <w:vAlign w:val="bottom"/>
          </w:tcPr>
          <w:p>
            <w:pPr>
              <w:spacing w:after="0"/>
              <w:rPr>
                <w:sz w:val="1"/>
                <w:szCs w:val="1"/>
                <w:color w:val="auto"/>
              </w:rPr>
            </w:pPr>
          </w:p>
        </w:tc>
      </w:tr>
      <w:tr>
        <w:trPr>
          <w:trHeight w:val="383"/>
        </w:trPr>
        <w:tc>
          <w:tcPr>
            <w:tcW w:w="2060" w:type="dxa"/>
            <w:vAlign w:val="bottom"/>
            <w:gridSpan w:val="2"/>
            <w:shd w:val="clear" w:color="auto" w:fill="DDE8E1"/>
          </w:tcPr>
          <w:p>
            <w:pPr>
              <w:spacing w:after="0"/>
              <w:rPr>
                <w:sz w:val="20"/>
                <w:szCs w:val="20"/>
                <w:color w:val="auto"/>
              </w:rPr>
            </w:pPr>
            <w:r>
              <w:rPr>
                <w:rFonts w:ascii="Arial" w:cs="Arial" w:eastAsia="Arial" w:hAnsi="Arial"/>
                <w:sz w:val="20"/>
                <w:szCs w:val="20"/>
                <w:b w:val="1"/>
                <w:bCs w:val="1"/>
                <w:color w:val="477157"/>
              </w:rPr>
              <w:t>COMPENSATION</w:t>
            </w:r>
          </w:p>
        </w:tc>
        <w:tc>
          <w:tcPr>
            <w:tcW w:w="9200" w:type="dxa"/>
            <w:vAlign w:val="bottom"/>
            <w:shd w:val="clear" w:color="auto" w:fill="DDE8E1"/>
          </w:tcPr>
          <w:p>
            <w:pPr>
              <w:spacing w:after="0"/>
              <w:rPr>
                <w:sz w:val="20"/>
                <w:szCs w:val="20"/>
                <w:color w:val="auto"/>
              </w:rPr>
            </w:pPr>
            <w:r>
              <w:rPr>
                <w:rFonts w:ascii="Arial" w:cs="Arial" w:eastAsia="Arial" w:hAnsi="Arial"/>
                <w:sz w:val="15"/>
                <w:szCs w:val="15"/>
                <w:color w:val="auto"/>
              </w:rPr>
              <w:t>During 2019, Ms. Holt, Ms. Mazzarella and Messrs. Clark, Gluski, Plummer, Pope and Weidemeyer served on the MD&amp;C Committee. No</w:t>
            </w:r>
          </w:p>
        </w:tc>
        <w:tc>
          <w:tcPr>
            <w:tcW w:w="0" w:type="dxa"/>
            <w:vAlign w:val="bottom"/>
          </w:tcPr>
          <w:p>
            <w:pPr>
              <w:spacing w:after="0"/>
              <w:rPr>
                <w:sz w:val="1"/>
                <w:szCs w:val="1"/>
                <w:color w:val="auto"/>
              </w:rPr>
            </w:pPr>
          </w:p>
        </w:tc>
      </w:tr>
      <w:tr>
        <w:trPr>
          <w:trHeight w:val="160"/>
        </w:trPr>
        <w:tc>
          <w:tcPr>
            <w:tcW w:w="1360" w:type="dxa"/>
            <w:vAlign w:val="bottom"/>
            <w:vMerge w:val="restart"/>
            <w:shd w:val="clear" w:color="auto" w:fill="DDE8E1"/>
          </w:tcPr>
          <w:p>
            <w:pPr>
              <w:spacing w:after="0"/>
              <w:rPr>
                <w:sz w:val="20"/>
                <w:szCs w:val="20"/>
                <w:color w:val="auto"/>
              </w:rPr>
            </w:pPr>
            <w:r>
              <w:rPr>
                <w:rFonts w:ascii="Arial" w:cs="Arial" w:eastAsia="Arial" w:hAnsi="Arial"/>
                <w:sz w:val="20"/>
                <w:szCs w:val="20"/>
                <w:b w:val="1"/>
                <w:bCs w:val="1"/>
                <w:color w:val="477157"/>
              </w:rPr>
              <w:t>COMMITTEE</w:t>
            </w:r>
          </w:p>
        </w:tc>
        <w:tc>
          <w:tcPr>
            <w:tcW w:w="700" w:type="dxa"/>
            <w:vAlign w:val="bottom"/>
            <w:shd w:val="clear" w:color="auto" w:fill="DDE8E1"/>
          </w:tcPr>
          <w:p>
            <w:pPr>
              <w:spacing w:after="0"/>
              <w:rPr>
                <w:sz w:val="13"/>
                <w:szCs w:val="13"/>
                <w:color w:val="auto"/>
              </w:rPr>
            </w:pPr>
          </w:p>
        </w:tc>
        <w:tc>
          <w:tcPr>
            <w:tcW w:w="9200" w:type="dxa"/>
            <w:vAlign w:val="bottom"/>
            <w:shd w:val="clear" w:color="auto" w:fill="DDE8E1"/>
          </w:tcPr>
          <w:p>
            <w:pPr>
              <w:spacing w:after="0" w:line="161" w:lineRule="exact"/>
              <w:rPr>
                <w:sz w:val="20"/>
                <w:szCs w:val="20"/>
                <w:color w:val="auto"/>
              </w:rPr>
            </w:pPr>
            <w:r>
              <w:rPr>
                <w:rFonts w:ascii="Arial" w:cs="Arial" w:eastAsia="Arial" w:hAnsi="Arial"/>
                <w:sz w:val="15"/>
                <w:szCs w:val="15"/>
                <w:color w:val="auto"/>
                <w:w w:val="99"/>
              </w:rPr>
              <w:t>member of the MD&amp;C Committee was an officer or employee of the Company during 2019; no member of the MD&amp;C Committee is a former</w:t>
            </w:r>
          </w:p>
        </w:tc>
        <w:tc>
          <w:tcPr>
            <w:tcW w:w="0" w:type="dxa"/>
            <w:vAlign w:val="bottom"/>
          </w:tcPr>
          <w:p>
            <w:pPr>
              <w:spacing w:after="0"/>
              <w:rPr>
                <w:sz w:val="1"/>
                <w:szCs w:val="1"/>
                <w:color w:val="auto"/>
              </w:rPr>
            </w:pPr>
          </w:p>
        </w:tc>
      </w:tr>
      <w:tr>
        <w:trPr>
          <w:trHeight w:val="133"/>
        </w:trPr>
        <w:tc>
          <w:tcPr>
            <w:tcW w:w="1360" w:type="dxa"/>
            <w:vAlign w:val="bottom"/>
            <w:vMerge w:val="continue"/>
            <w:shd w:val="clear" w:color="auto" w:fill="DDE8E1"/>
          </w:tcPr>
          <w:p>
            <w:pPr>
              <w:spacing w:after="0"/>
              <w:rPr>
                <w:sz w:val="11"/>
                <w:szCs w:val="11"/>
                <w:color w:val="auto"/>
              </w:rPr>
            </w:pPr>
          </w:p>
        </w:tc>
        <w:tc>
          <w:tcPr>
            <w:tcW w:w="700" w:type="dxa"/>
            <w:vAlign w:val="bottom"/>
            <w:shd w:val="clear" w:color="auto" w:fill="DDE8E1"/>
          </w:tcPr>
          <w:p>
            <w:pPr>
              <w:spacing w:after="0"/>
              <w:rPr>
                <w:sz w:val="11"/>
                <w:szCs w:val="11"/>
                <w:color w:val="auto"/>
              </w:rPr>
            </w:pPr>
          </w:p>
        </w:tc>
        <w:tc>
          <w:tcPr>
            <w:tcW w:w="9200" w:type="dxa"/>
            <w:vAlign w:val="bottom"/>
            <w:shd w:val="clear" w:color="auto" w:fill="DDE8E1"/>
          </w:tcPr>
          <w:p>
            <w:pPr>
              <w:spacing w:after="0" w:line="133" w:lineRule="exact"/>
              <w:rPr>
                <w:sz w:val="20"/>
                <w:szCs w:val="20"/>
                <w:color w:val="auto"/>
              </w:rPr>
            </w:pPr>
            <w:r>
              <w:rPr>
                <w:rFonts w:ascii="Arial" w:cs="Arial" w:eastAsia="Arial" w:hAnsi="Arial"/>
                <w:sz w:val="15"/>
                <w:szCs w:val="15"/>
                <w:color w:val="auto"/>
              </w:rPr>
              <w:t>officer of the Company; and during 2019, none of our executive officers served as a member of a board of directors or compensation</w:t>
            </w:r>
          </w:p>
        </w:tc>
        <w:tc>
          <w:tcPr>
            <w:tcW w:w="0" w:type="dxa"/>
            <w:vAlign w:val="bottom"/>
          </w:tcPr>
          <w:p>
            <w:pPr>
              <w:spacing w:after="0"/>
              <w:rPr>
                <w:sz w:val="1"/>
                <w:szCs w:val="1"/>
                <w:color w:val="auto"/>
              </w:rPr>
            </w:pPr>
          </w:p>
        </w:tc>
      </w:tr>
      <w:tr>
        <w:trPr>
          <w:trHeight w:val="209"/>
        </w:trPr>
        <w:tc>
          <w:tcPr>
            <w:tcW w:w="2060" w:type="dxa"/>
            <w:vAlign w:val="bottom"/>
            <w:gridSpan w:val="2"/>
            <w:shd w:val="clear" w:color="auto" w:fill="DDE8E1"/>
          </w:tcPr>
          <w:p>
            <w:pPr>
              <w:spacing w:after="0" w:line="209" w:lineRule="exact"/>
              <w:rPr>
                <w:sz w:val="20"/>
                <w:szCs w:val="20"/>
                <w:color w:val="auto"/>
              </w:rPr>
            </w:pPr>
            <w:r>
              <w:rPr>
                <w:rFonts w:ascii="Arial" w:cs="Arial" w:eastAsia="Arial" w:hAnsi="Arial"/>
                <w:sz w:val="20"/>
                <w:szCs w:val="20"/>
                <w:b w:val="1"/>
                <w:bCs w:val="1"/>
                <w:color w:val="477157"/>
              </w:rPr>
              <w:t>INTERLOCKS AND</w:t>
            </w:r>
          </w:p>
        </w:tc>
        <w:tc>
          <w:tcPr>
            <w:tcW w:w="9200" w:type="dxa"/>
            <w:vAlign w:val="bottom"/>
            <w:shd w:val="clear" w:color="auto" w:fill="DDE8E1"/>
          </w:tcPr>
          <w:p>
            <w:pPr>
              <w:spacing w:after="0"/>
              <w:rPr>
                <w:sz w:val="20"/>
                <w:szCs w:val="20"/>
                <w:color w:val="auto"/>
              </w:rPr>
            </w:pPr>
            <w:r>
              <w:rPr>
                <w:rFonts w:ascii="Arial" w:cs="Arial" w:eastAsia="Arial" w:hAnsi="Arial"/>
                <w:sz w:val="15"/>
                <w:szCs w:val="15"/>
                <w:color w:val="auto"/>
              </w:rPr>
              <w:t>committee of any entity that has one or more executive officers who serve on our Board of Directors or MD&amp;C Committee.</w:t>
            </w:r>
          </w:p>
        </w:tc>
        <w:tc>
          <w:tcPr>
            <w:tcW w:w="0" w:type="dxa"/>
            <w:vAlign w:val="bottom"/>
          </w:tcPr>
          <w:p>
            <w:pPr>
              <w:spacing w:after="0"/>
              <w:rPr>
                <w:sz w:val="1"/>
                <w:szCs w:val="1"/>
                <w:color w:val="auto"/>
              </w:rPr>
            </w:pPr>
          </w:p>
        </w:tc>
      </w:tr>
      <w:tr>
        <w:trPr>
          <w:trHeight w:val="237"/>
        </w:trPr>
        <w:tc>
          <w:tcPr>
            <w:tcW w:w="1360" w:type="dxa"/>
            <w:vAlign w:val="bottom"/>
            <w:shd w:val="clear" w:color="auto" w:fill="DDE8E1"/>
          </w:tcPr>
          <w:p>
            <w:pPr>
              <w:spacing w:after="0"/>
              <w:rPr>
                <w:sz w:val="20"/>
                <w:szCs w:val="20"/>
                <w:color w:val="auto"/>
              </w:rPr>
            </w:pPr>
            <w:r>
              <w:rPr>
                <w:rFonts w:ascii="Arial" w:cs="Arial" w:eastAsia="Arial" w:hAnsi="Arial"/>
                <w:sz w:val="20"/>
                <w:szCs w:val="20"/>
                <w:b w:val="1"/>
                <w:bCs w:val="1"/>
                <w:color w:val="477157"/>
              </w:rPr>
              <w:t>INSIDER</w:t>
            </w:r>
          </w:p>
        </w:tc>
        <w:tc>
          <w:tcPr>
            <w:tcW w:w="700" w:type="dxa"/>
            <w:vAlign w:val="bottom"/>
            <w:shd w:val="clear" w:color="auto" w:fill="DDE8E1"/>
          </w:tcPr>
          <w:p>
            <w:pPr>
              <w:spacing w:after="0"/>
              <w:rPr>
                <w:sz w:val="20"/>
                <w:szCs w:val="20"/>
                <w:color w:val="auto"/>
              </w:rPr>
            </w:pPr>
          </w:p>
        </w:tc>
        <w:tc>
          <w:tcPr>
            <w:tcW w:w="9200" w:type="dxa"/>
            <w:vAlign w:val="bottom"/>
            <w:shd w:val="clear" w:color="auto" w:fill="DDE8E1"/>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60" w:type="dxa"/>
            <w:vAlign w:val="bottom"/>
            <w:tcBorders>
              <w:bottom w:val="single" w:sz="8" w:color="477157"/>
            </w:tcBorders>
            <w:gridSpan w:val="2"/>
            <w:shd w:val="clear" w:color="auto" w:fill="DDE8E1"/>
          </w:tcPr>
          <w:p>
            <w:pPr>
              <w:spacing w:after="0"/>
              <w:rPr>
                <w:sz w:val="20"/>
                <w:szCs w:val="20"/>
                <w:color w:val="auto"/>
              </w:rPr>
            </w:pPr>
            <w:r>
              <w:rPr>
                <w:rFonts w:ascii="Arial" w:cs="Arial" w:eastAsia="Arial" w:hAnsi="Arial"/>
                <w:sz w:val="20"/>
                <w:szCs w:val="20"/>
                <w:b w:val="1"/>
                <w:bCs w:val="1"/>
                <w:color w:val="477157"/>
              </w:rPr>
              <w:t>PARTICIPATION</w:t>
            </w:r>
          </w:p>
        </w:tc>
        <w:tc>
          <w:tcPr>
            <w:tcW w:w="9200" w:type="dxa"/>
            <w:vAlign w:val="bottom"/>
            <w:tcBorders>
              <w:bottom w:val="single" w:sz="8" w:color="477157"/>
            </w:tcBorders>
            <w:shd w:val="clear" w:color="auto" w:fill="DDE8E1"/>
          </w:tcPr>
          <w:p>
            <w:pPr>
              <w:spacing w:after="0"/>
              <w:rPr>
                <w:sz w:val="22"/>
                <w:szCs w:val="22"/>
                <w:color w:val="auto"/>
              </w:rPr>
            </w:pPr>
          </w:p>
        </w:tc>
        <w:tc>
          <w:tcPr>
            <w:tcW w:w="0" w:type="dxa"/>
            <w:vAlign w:val="bottom"/>
          </w:tcPr>
          <w:p>
            <w:pPr>
              <w:spacing w:after="0"/>
              <w:rPr>
                <w:sz w:val="1"/>
                <w:szCs w:val="1"/>
                <w:color w:val="auto"/>
              </w:rPr>
            </w:pPr>
          </w:p>
        </w:tc>
      </w:tr>
      <w:tr>
        <w:trPr>
          <w:trHeight w:val="396"/>
        </w:trPr>
        <w:tc>
          <w:tcPr>
            <w:tcW w:w="1360" w:type="dxa"/>
            <w:vAlign w:val="bottom"/>
          </w:tcPr>
          <w:p>
            <w:pPr>
              <w:spacing w:after="0"/>
              <w:rPr>
                <w:sz w:val="20"/>
                <w:szCs w:val="20"/>
                <w:color w:val="auto"/>
              </w:rPr>
            </w:pPr>
            <w:r>
              <w:rPr>
                <w:rFonts w:ascii="Arial" w:cs="Arial" w:eastAsia="Arial" w:hAnsi="Arial"/>
                <w:sz w:val="15"/>
                <w:szCs w:val="15"/>
                <w:color w:val="auto"/>
              </w:rPr>
              <w:t xml:space="preserve">12   </w:t>
            </w:r>
            <w:r>
              <w:rPr>
                <w:rFonts w:ascii="Arial" w:cs="Arial" w:eastAsia="Arial" w:hAnsi="Arial"/>
                <w:sz w:val="18"/>
                <w:szCs w:val="18"/>
                <w:b w:val="1"/>
                <w:bCs w:val="1"/>
                <w:color w:val="00673E"/>
              </w:rPr>
              <w:t>|</w:t>
            </w:r>
          </w:p>
        </w:tc>
        <w:tc>
          <w:tcPr>
            <w:tcW w:w="9900" w:type="dxa"/>
            <w:vAlign w:val="bottom"/>
            <w:gridSpan w:val="2"/>
          </w:tcPr>
          <w:p>
            <w:pPr>
              <w:ind w:left="140"/>
              <w:spacing w:after="0"/>
              <w:rPr>
                <w:sz w:val="20"/>
                <w:szCs w:val="20"/>
                <w:color w:val="auto"/>
              </w:rPr>
            </w:pPr>
            <w:r>
              <w:rPr>
                <w:rFonts w:ascii="Arial" w:cs="Arial" w:eastAsia="Arial" w:hAnsi="Arial"/>
                <w:sz w:val="15"/>
                <w:szCs w:val="15"/>
                <w:color w:val="auto"/>
              </w:rPr>
              <w:t>2020 Proxy Statement</w:t>
            </w:r>
          </w:p>
        </w:tc>
        <w:tc>
          <w:tcPr>
            <w:tcW w:w="0" w:type="dxa"/>
            <w:vAlign w:val="bottom"/>
          </w:tcPr>
          <w:p>
            <w:pPr>
              <w:spacing w:after="0"/>
              <w:rPr>
                <w:sz w:val="1"/>
                <w:szCs w:val="1"/>
                <w:color w:val="auto"/>
              </w:rPr>
            </w:pPr>
          </w:p>
        </w:tc>
      </w:tr>
      <w:tr>
        <w:trPr>
          <w:trHeight w:val="188"/>
        </w:trPr>
        <w:tc>
          <w:tcPr>
            <w:tcW w:w="136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92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-12700</wp:posOffset>
            </wp:positionV>
            <wp:extent cx="1270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-252730</wp:posOffset>
            </wp:positionV>
            <wp:extent cx="429260" cy="114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Borders>
              <w:bottom w:val="single" w:sz="8" w:color="477157"/>
            </w:tcBorders>
          </w:tcPr>
          <w:p>
            <w:pPr>
              <w:spacing w:after="0"/>
              <w:rPr>
                <w:sz w:val="16"/>
                <w:szCs w:val="16"/>
                <w:color w:val="auto"/>
              </w:rPr>
            </w:pPr>
          </w:p>
        </w:tc>
        <w:tc>
          <w:tcPr>
            <w:tcW w:w="760" w:type="dxa"/>
            <w:vAlign w:val="bottom"/>
            <w:tcBorders>
              <w:bottom w:val="single" w:sz="8" w:color="477157"/>
            </w:tcBorders>
          </w:tcPr>
          <w:p>
            <w:pPr>
              <w:spacing w:after="0"/>
              <w:rPr>
                <w:sz w:val="16"/>
                <w:szCs w:val="16"/>
                <w:color w:val="auto"/>
              </w:rPr>
            </w:pPr>
          </w:p>
        </w:tc>
        <w:tc>
          <w:tcPr>
            <w:tcW w:w="7840" w:type="dxa"/>
            <w:vAlign w:val="bottom"/>
            <w:tcBorders>
              <w:bottom w:val="single" w:sz="8" w:color="477157"/>
            </w:tcBorders>
          </w:tcPr>
          <w:p>
            <w:pPr>
              <w:ind w:left="6160"/>
              <w:spacing w:after="0"/>
              <w:rPr>
                <w:sz w:val="20"/>
                <w:szCs w:val="20"/>
                <w:color w:val="auto"/>
              </w:rPr>
            </w:pPr>
            <w:r>
              <w:rPr>
                <w:rFonts w:ascii="Arial" w:cs="Arial" w:eastAsia="Arial" w:hAnsi="Arial"/>
                <w:sz w:val="15"/>
                <w:szCs w:val="15"/>
                <w:b w:val="1"/>
                <w:bCs w:val="1"/>
                <w:color w:val="auto"/>
                <w:w w:val="96"/>
              </w:rPr>
              <w:t>BOARD OF DIRECTORS</w:t>
            </w:r>
          </w:p>
        </w:tc>
        <w:tc>
          <w:tcPr>
            <w:tcW w:w="0" w:type="dxa"/>
            <w:vAlign w:val="bottom"/>
          </w:tcPr>
          <w:p>
            <w:pPr>
              <w:spacing w:after="0"/>
              <w:rPr>
                <w:sz w:val="1"/>
                <w:szCs w:val="1"/>
                <w:color w:val="auto"/>
              </w:rPr>
            </w:pPr>
          </w:p>
        </w:tc>
      </w:tr>
      <w:tr>
        <w:trPr>
          <w:trHeight w:val="163"/>
        </w:trPr>
        <w:tc>
          <w:tcPr>
            <w:tcW w:w="2660" w:type="dxa"/>
            <w:vAlign w:val="bottom"/>
            <w:vMerge w:val="restart"/>
          </w:tcPr>
          <w:p>
            <w:pPr>
              <w:spacing w:after="0"/>
              <w:rPr>
                <w:sz w:val="20"/>
                <w:szCs w:val="20"/>
                <w:color w:val="auto"/>
              </w:rPr>
            </w:pPr>
            <w:r>
              <w:rPr>
                <w:rFonts w:ascii="Arial" w:cs="Arial" w:eastAsia="Arial" w:hAnsi="Arial"/>
                <w:sz w:val="20"/>
                <w:szCs w:val="20"/>
                <w:b w:val="1"/>
                <w:bCs w:val="1"/>
                <w:color w:val="477157"/>
              </w:rPr>
              <w:t>THE NOMINATING</w:t>
            </w:r>
          </w:p>
        </w:tc>
        <w:tc>
          <w:tcPr>
            <w:tcW w:w="8600" w:type="dxa"/>
            <w:vAlign w:val="bottom"/>
            <w:gridSpan w:val="2"/>
          </w:tcPr>
          <w:p>
            <w:pPr>
              <w:ind w:left="680"/>
              <w:spacing w:after="0" w:line="163" w:lineRule="exact"/>
              <w:rPr>
                <w:sz w:val="20"/>
                <w:szCs w:val="20"/>
                <w:color w:val="auto"/>
              </w:rPr>
            </w:pPr>
            <w:r>
              <w:rPr>
                <w:rFonts w:ascii="Arial" w:cs="Arial" w:eastAsia="Arial" w:hAnsi="Arial"/>
                <w:sz w:val="15"/>
                <w:szCs w:val="15"/>
                <w:color w:val="auto"/>
                <w:w w:val="97"/>
              </w:rPr>
              <w:t>Ms. Mazzarella was named Chairman of our Nominating and Governance Committee in May 2018. The other members of</w:t>
            </w:r>
          </w:p>
        </w:tc>
        <w:tc>
          <w:tcPr>
            <w:tcW w:w="0" w:type="dxa"/>
            <w:vAlign w:val="bottom"/>
          </w:tcPr>
          <w:p>
            <w:pPr>
              <w:spacing w:after="0"/>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8600" w:type="dxa"/>
            <w:vAlign w:val="bottom"/>
            <w:gridSpan w:val="2"/>
          </w:tcPr>
          <w:p>
            <w:pPr>
              <w:ind w:left="680"/>
              <w:spacing w:after="0" w:line="169" w:lineRule="exact"/>
              <w:rPr>
                <w:sz w:val="20"/>
                <w:szCs w:val="20"/>
                <w:color w:val="auto"/>
              </w:rPr>
            </w:pPr>
            <w:r>
              <w:rPr>
                <w:rFonts w:ascii="Arial" w:cs="Arial" w:eastAsia="Arial" w:hAnsi="Arial"/>
                <w:sz w:val="15"/>
                <w:szCs w:val="15"/>
                <w:color w:val="auto"/>
              </w:rPr>
              <w:t>the Committee include Messrs. Gross, Pope and Weidemeyer. Each member of our Nominating and Governance</w:t>
            </w:r>
          </w:p>
        </w:tc>
        <w:tc>
          <w:tcPr>
            <w:tcW w:w="0" w:type="dxa"/>
            <w:vAlign w:val="bottom"/>
          </w:tcPr>
          <w:p>
            <w:pPr>
              <w:spacing w:after="0"/>
              <w:rPr>
                <w:sz w:val="1"/>
                <w:szCs w:val="1"/>
                <w:color w:val="auto"/>
              </w:rPr>
            </w:pPr>
          </w:p>
        </w:tc>
      </w:tr>
      <w:tr>
        <w:trPr>
          <w:trHeight w:val="241"/>
        </w:trPr>
        <w:tc>
          <w:tcPr>
            <w:tcW w:w="2660" w:type="dxa"/>
            <w:vAlign w:val="bottom"/>
          </w:tcPr>
          <w:p>
            <w:pPr>
              <w:spacing w:after="0"/>
              <w:rPr>
                <w:sz w:val="20"/>
                <w:szCs w:val="20"/>
                <w:color w:val="auto"/>
              </w:rPr>
            </w:pPr>
            <w:r>
              <w:rPr>
                <w:rFonts w:ascii="Arial" w:cs="Arial" w:eastAsia="Arial" w:hAnsi="Arial"/>
                <w:sz w:val="20"/>
                <w:szCs w:val="20"/>
                <w:b w:val="1"/>
                <w:bCs w:val="1"/>
                <w:color w:val="477157"/>
              </w:rPr>
              <w:t>AND GOVERNANCE</w:t>
            </w:r>
          </w:p>
        </w:tc>
        <w:tc>
          <w:tcPr>
            <w:tcW w:w="8600" w:type="dxa"/>
            <w:vAlign w:val="bottom"/>
            <w:gridSpan w:val="2"/>
          </w:tcPr>
          <w:p>
            <w:pPr>
              <w:ind w:left="680"/>
              <w:spacing w:after="0"/>
              <w:rPr>
                <w:sz w:val="20"/>
                <w:szCs w:val="20"/>
                <w:color w:val="auto"/>
              </w:rPr>
            </w:pPr>
            <w:r>
              <w:rPr>
                <w:rFonts w:ascii="Arial" w:cs="Arial" w:eastAsia="Arial" w:hAnsi="Arial"/>
                <w:sz w:val="15"/>
                <w:szCs w:val="15"/>
                <w:color w:val="auto"/>
              </w:rPr>
              <w:t>Committee is independent in accordance with the rules and regulations of the New York Stock Exchange.</w:t>
            </w:r>
          </w:p>
        </w:tc>
        <w:tc>
          <w:tcPr>
            <w:tcW w:w="0" w:type="dxa"/>
            <w:vAlign w:val="bottom"/>
          </w:tcPr>
          <w:p>
            <w:pPr>
              <w:spacing w:after="0"/>
              <w:rPr>
                <w:sz w:val="1"/>
                <w:szCs w:val="1"/>
                <w:color w:val="auto"/>
              </w:rPr>
            </w:pPr>
          </w:p>
        </w:tc>
      </w:tr>
      <w:tr>
        <w:trPr>
          <w:trHeight w:val="268"/>
        </w:trPr>
        <w:tc>
          <w:tcPr>
            <w:tcW w:w="2660" w:type="dxa"/>
            <w:vAlign w:val="bottom"/>
          </w:tcPr>
          <w:p>
            <w:pPr>
              <w:spacing w:after="0"/>
              <w:rPr>
                <w:sz w:val="20"/>
                <w:szCs w:val="20"/>
                <w:color w:val="auto"/>
              </w:rPr>
            </w:pPr>
            <w:r>
              <w:rPr>
                <w:rFonts w:ascii="Arial" w:cs="Arial" w:eastAsia="Arial" w:hAnsi="Arial"/>
                <w:sz w:val="20"/>
                <w:szCs w:val="20"/>
                <w:b w:val="1"/>
                <w:bCs w:val="1"/>
                <w:color w:val="477157"/>
              </w:rPr>
              <w:t>COMMITTEE</w:t>
            </w:r>
          </w:p>
        </w:tc>
        <w:tc>
          <w:tcPr>
            <w:tcW w:w="8600" w:type="dxa"/>
            <w:vAlign w:val="bottom"/>
            <w:gridSpan w:val="2"/>
          </w:tcPr>
          <w:p>
            <w:pPr>
              <w:ind w:left="680"/>
              <w:spacing w:after="0"/>
              <w:rPr>
                <w:sz w:val="20"/>
                <w:szCs w:val="20"/>
                <w:color w:val="auto"/>
              </w:rPr>
            </w:pPr>
            <w:r>
              <w:rPr>
                <w:rFonts w:ascii="Arial" w:cs="Arial" w:eastAsia="Arial" w:hAnsi="Arial"/>
                <w:sz w:val="12"/>
                <w:szCs w:val="12"/>
                <w:b w:val="1"/>
                <w:bCs w:val="1"/>
                <w:color w:val="477157"/>
              </w:rPr>
              <w:t>Key Functions</w:t>
            </w:r>
          </w:p>
        </w:tc>
        <w:tc>
          <w:tcPr>
            <w:tcW w:w="0" w:type="dxa"/>
            <w:vAlign w:val="bottom"/>
          </w:tcPr>
          <w:p>
            <w:pPr>
              <w:spacing w:after="0"/>
              <w:rPr>
                <w:sz w:val="1"/>
                <w:szCs w:val="1"/>
                <w:color w:val="auto"/>
              </w:rPr>
            </w:pPr>
          </w:p>
        </w:tc>
      </w:tr>
      <w:tr>
        <w:trPr>
          <w:trHeight w:val="314"/>
        </w:trPr>
        <w:tc>
          <w:tcPr>
            <w:tcW w:w="2660" w:type="dxa"/>
            <w:vAlign w:val="bottom"/>
          </w:tcPr>
          <w:p>
            <w:pPr>
              <w:ind w:left="60"/>
              <w:spacing w:after="0"/>
              <w:rPr>
                <w:sz w:val="20"/>
                <w:szCs w:val="20"/>
                <w:color w:val="auto"/>
              </w:rPr>
            </w:pPr>
            <w:r>
              <w:rPr>
                <w:rFonts w:ascii="Arial" w:cs="Arial" w:eastAsia="Arial" w:hAnsi="Arial"/>
                <w:sz w:val="12"/>
                <w:szCs w:val="12"/>
                <w:b w:val="1"/>
                <w:bCs w:val="1"/>
                <w:color w:val="477157"/>
              </w:rPr>
              <w:t>Members</w:t>
            </w:r>
          </w:p>
        </w:tc>
        <w:tc>
          <w:tcPr>
            <w:tcW w:w="8600" w:type="dxa"/>
            <w:vAlign w:val="bottom"/>
            <w:gridSpan w:val="2"/>
          </w:tcPr>
          <w:p>
            <w:pPr>
              <w:ind w:left="680"/>
              <w:spacing w:after="0"/>
              <w:rPr>
                <w:sz w:val="20"/>
                <w:szCs w:val="20"/>
                <w:color w:val="auto"/>
              </w:rPr>
            </w:pPr>
            <w:r>
              <w:rPr>
                <w:rFonts w:ascii="Arial" w:cs="Arial" w:eastAsia="Arial" w:hAnsi="Arial"/>
                <w:sz w:val="15"/>
                <w:szCs w:val="15"/>
                <w:color w:val="auto"/>
                <w:w w:val="98"/>
              </w:rPr>
              <w:t>The Nominating and Governance Committee has a written charter that has been approved by the Board of Directors and</w:t>
            </w:r>
          </w:p>
        </w:tc>
        <w:tc>
          <w:tcPr>
            <w:tcW w:w="0" w:type="dxa"/>
            <w:vAlign w:val="bottom"/>
          </w:tcPr>
          <w:p>
            <w:pPr>
              <w:spacing w:after="0"/>
              <w:rPr>
                <w:sz w:val="1"/>
                <w:szCs w:val="1"/>
                <w:color w:val="auto"/>
              </w:rPr>
            </w:pPr>
          </w:p>
        </w:tc>
      </w:tr>
      <w:tr>
        <w:trPr>
          <w:trHeight w:val="169"/>
        </w:trPr>
        <w:tc>
          <w:tcPr>
            <w:tcW w:w="2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 xml:space="preserve">Kathleen M. Mazzarella, </w:t>
            </w:r>
            <w:r>
              <w:rPr>
                <w:rFonts w:ascii="Arial" w:cs="Arial" w:eastAsia="Arial" w:hAnsi="Arial"/>
                <w:sz w:val="12"/>
                <w:szCs w:val="12"/>
                <w:b w:val="1"/>
                <w:bCs w:val="1"/>
                <w:i w:val="1"/>
                <w:iCs w:val="1"/>
                <w:color w:val="auto"/>
              </w:rPr>
              <w:t>Chairman</w:t>
            </w:r>
          </w:p>
        </w:tc>
        <w:tc>
          <w:tcPr>
            <w:tcW w:w="8600" w:type="dxa"/>
            <w:vAlign w:val="bottom"/>
            <w:gridSpan w:val="2"/>
          </w:tcPr>
          <w:p>
            <w:pPr>
              <w:ind w:left="680"/>
              <w:spacing w:after="0" w:line="169" w:lineRule="exact"/>
              <w:rPr>
                <w:sz w:val="20"/>
                <w:szCs w:val="20"/>
                <w:color w:val="auto"/>
              </w:rPr>
            </w:pPr>
            <w:r>
              <w:rPr>
                <w:rFonts w:ascii="Arial" w:cs="Arial" w:eastAsia="Arial" w:hAnsi="Arial"/>
                <w:sz w:val="15"/>
                <w:szCs w:val="15"/>
                <w:color w:val="auto"/>
              </w:rPr>
              <w:t>can be found on our website. It is the duty of the Nominating and Governance Committee to oversee matters regarding</w:t>
            </w:r>
          </w:p>
        </w:tc>
        <w:tc>
          <w:tcPr>
            <w:tcW w:w="0" w:type="dxa"/>
            <w:vAlign w:val="bottom"/>
          </w:tcPr>
          <w:p>
            <w:pPr>
              <w:spacing w:after="0"/>
              <w:rPr>
                <w:sz w:val="1"/>
                <w:szCs w:val="1"/>
                <w:color w:val="auto"/>
              </w:rPr>
            </w:pPr>
          </w:p>
        </w:tc>
      </w:tr>
      <w:tr>
        <w:trPr>
          <w:trHeight w:val="112"/>
        </w:trPr>
        <w:tc>
          <w:tcPr>
            <w:tcW w:w="2660" w:type="dxa"/>
            <w:vAlign w:val="bottom"/>
            <w:vMerge w:val="continue"/>
          </w:tcPr>
          <w:p>
            <w:pPr>
              <w:spacing w:after="0"/>
              <w:rPr>
                <w:sz w:val="9"/>
                <w:szCs w:val="9"/>
                <w:color w:val="auto"/>
              </w:rPr>
            </w:pPr>
          </w:p>
        </w:tc>
        <w:tc>
          <w:tcPr>
            <w:tcW w:w="8600" w:type="dxa"/>
            <w:vAlign w:val="bottom"/>
            <w:gridSpan w:val="2"/>
            <w:vMerge w:val="restart"/>
          </w:tcPr>
          <w:p>
            <w:pPr>
              <w:ind w:left="680"/>
              <w:spacing w:after="0"/>
              <w:rPr>
                <w:sz w:val="20"/>
                <w:szCs w:val="20"/>
                <w:color w:val="auto"/>
              </w:rPr>
            </w:pPr>
            <w:r>
              <w:rPr>
                <w:rFonts w:ascii="Arial" w:cs="Arial" w:eastAsia="Arial" w:hAnsi="Arial"/>
                <w:sz w:val="15"/>
                <w:szCs w:val="15"/>
                <w:color w:val="auto"/>
                <w:w w:val="97"/>
              </w:rPr>
              <w:t>corporate governance. In fulfilling its duties, the Nominating and Governance Committee has the following responsibilities:</w:t>
            </w:r>
          </w:p>
        </w:tc>
        <w:tc>
          <w:tcPr>
            <w:tcW w:w="0" w:type="dxa"/>
            <w:vAlign w:val="bottom"/>
          </w:tcPr>
          <w:p>
            <w:pPr>
              <w:spacing w:after="0"/>
              <w:rPr>
                <w:sz w:val="1"/>
                <w:szCs w:val="1"/>
                <w:color w:val="auto"/>
              </w:rPr>
            </w:pPr>
          </w:p>
        </w:tc>
      </w:tr>
      <w:tr>
        <w:trPr>
          <w:trHeight w:val="64"/>
        </w:trPr>
        <w:tc>
          <w:tcPr>
            <w:tcW w:w="2660" w:type="dxa"/>
            <w:vAlign w:val="bottom"/>
          </w:tcPr>
          <w:p>
            <w:pPr>
              <w:spacing w:after="0"/>
              <w:rPr>
                <w:sz w:val="5"/>
                <w:szCs w:val="5"/>
                <w:color w:val="auto"/>
              </w:rPr>
            </w:pPr>
          </w:p>
        </w:tc>
        <w:tc>
          <w:tcPr>
            <w:tcW w:w="8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60"/>
              <w:spacing w:after="0"/>
              <w:rPr>
                <w:sz w:val="20"/>
                <w:szCs w:val="20"/>
                <w:color w:val="auto"/>
              </w:rPr>
            </w:pPr>
            <w:r>
              <w:rPr>
                <w:rFonts w:ascii="Arial" w:cs="Arial" w:eastAsia="Arial" w:hAnsi="Arial"/>
                <w:sz w:val="12"/>
                <w:szCs w:val="12"/>
                <w:b w:val="1"/>
                <w:bCs w:val="1"/>
                <w:color w:val="auto"/>
              </w:rPr>
              <w:t>Patrick W. Gross</w:t>
            </w:r>
          </w:p>
        </w:tc>
        <w:tc>
          <w:tcPr>
            <w:tcW w:w="760" w:type="dxa"/>
            <w:vAlign w:val="bottom"/>
            <w:vMerge w:val="restart"/>
          </w:tcPr>
          <w:p>
            <w:pPr>
              <w:ind w:left="680"/>
              <w:spacing w:after="0"/>
              <w:rPr>
                <w:sz w:val="20"/>
                <w:szCs w:val="20"/>
                <w:color w:val="auto"/>
              </w:rPr>
            </w:pPr>
            <w:r>
              <w:rPr>
                <w:rFonts w:ascii="Arial" w:cs="Arial" w:eastAsia="Arial" w:hAnsi="Arial"/>
                <w:sz w:val="15"/>
                <w:szCs w:val="15"/>
                <w:color w:val="477157"/>
              </w:rPr>
              <w:t>•</w:t>
            </w:r>
          </w:p>
        </w:tc>
        <w:tc>
          <w:tcPr>
            <w:tcW w:w="7840" w:type="dxa"/>
            <w:vAlign w:val="bottom"/>
            <w:vMerge w:val="restart"/>
          </w:tcPr>
          <w:p>
            <w:pPr>
              <w:ind w:left="60"/>
              <w:spacing w:after="0"/>
              <w:rPr>
                <w:sz w:val="20"/>
                <w:szCs w:val="20"/>
                <w:color w:val="auto"/>
              </w:rPr>
            </w:pPr>
            <w:r>
              <w:rPr>
                <w:rFonts w:ascii="Arial" w:cs="Arial" w:eastAsia="Arial" w:hAnsi="Arial"/>
                <w:sz w:val="15"/>
                <w:szCs w:val="15"/>
                <w:color w:val="auto"/>
              </w:rPr>
              <w:t>Review and recommend the composition of our Board, including the nature and duties of each of our committees, in</w:t>
            </w:r>
          </w:p>
        </w:tc>
        <w:tc>
          <w:tcPr>
            <w:tcW w:w="0" w:type="dxa"/>
            <w:vAlign w:val="bottom"/>
          </w:tcPr>
          <w:p>
            <w:pPr>
              <w:spacing w:after="0"/>
              <w:rPr>
                <w:sz w:val="1"/>
                <w:szCs w:val="1"/>
                <w:color w:val="auto"/>
              </w:rPr>
            </w:pPr>
          </w:p>
        </w:tc>
      </w:tr>
      <w:tr>
        <w:trPr>
          <w:trHeight w:val="124"/>
        </w:trPr>
        <w:tc>
          <w:tcPr>
            <w:tcW w:w="2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John C. Pope</w:t>
            </w:r>
          </w:p>
        </w:tc>
        <w:tc>
          <w:tcPr>
            <w:tcW w:w="760" w:type="dxa"/>
            <w:vAlign w:val="bottom"/>
            <w:vMerge w:val="continue"/>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6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7840" w:type="dxa"/>
            <w:vAlign w:val="bottom"/>
          </w:tcPr>
          <w:p>
            <w:pPr>
              <w:ind w:left="60"/>
              <w:spacing w:after="0"/>
              <w:rPr>
                <w:sz w:val="20"/>
                <w:szCs w:val="20"/>
                <w:color w:val="auto"/>
              </w:rPr>
            </w:pPr>
            <w:r>
              <w:rPr>
                <w:rFonts w:ascii="Arial" w:cs="Arial" w:eastAsia="Arial" w:hAnsi="Arial"/>
                <w:sz w:val="15"/>
                <w:szCs w:val="15"/>
                <w:color w:val="auto"/>
              </w:rPr>
              <w:t>accordance with our Corporate Governance Guidelines;</w:t>
            </w:r>
          </w:p>
        </w:tc>
        <w:tc>
          <w:tcPr>
            <w:tcW w:w="0" w:type="dxa"/>
            <w:vAlign w:val="bottom"/>
          </w:tcPr>
          <w:p>
            <w:pPr>
              <w:spacing w:after="0"/>
              <w:rPr>
                <w:sz w:val="1"/>
                <w:szCs w:val="1"/>
                <w:color w:val="auto"/>
              </w:rPr>
            </w:pPr>
          </w:p>
        </w:tc>
      </w:tr>
      <w:tr>
        <w:trPr>
          <w:trHeight w:val="240"/>
        </w:trPr>
        <w:tc>
          <w:tcPr>
            <w:tcW w:w="2660" w:type="dxa"/>
            <w:vAlign w:val="bottom"/>
          </w:tcPr>
          <w:p>
            <w:pPr>
              <w:ind w:left="60"/>
              <w:spacing w:after="0"/>
              <w:rPr>
                <w:sz w:val="20"/>
                <w:szCs w:val="20"/>
                <w:color w:val="auto"/>
              </w:rPr>
            </w:pPr>
            <w:r>
              <w:rPr>
                <w:rFonts w:ascii="Arial" w:cs="Arial" w:eastAsia="Arial" w:hAnsi="Arial"/>
                <w:sz w:val="12"/>
                <w:szCs w:val="12"/>
                <w:b w:val="1"/>
                <w:bCs w:val="1"/>
                <w:color w:val="auto"/>
              </w:rPr>
              <w:t>Thomas H. Weidemeyer</w:t>
            </w:r>
          </w:p>
        </w:tc>
        <w:tc>
          <w:tcPr>
            <w:tcW w:w="760" w:type="dxa"/>
            <w:vAlign w:val="bottom"/>
            <w:vMerge w:val="restart"/>
          </w:tcPr>
          <w:p>
            <w:pPr>
              <w:ind w:left="680"/>
              <w:spacing w:after="0"/>
              <w:rPr>
                <w:sz w:val="20"/>
                <w:szCs w:val="20"/>
                <w:color w:val="auto"/>
              </w:rPr>
            </w:pPr>
            <w:r>
              <w:rPr>
                <w:rFonts w:ascii="Arial" w:cs="Arial" w:eastAsia="Arial" w:hAnsi="Arial"/>
                <w:sz w:val="15"/>
                <w:szCs w:val="15"/>
                <w:color w:val="477157"/>
              </w:rPr>
              <w:t>•</w:t>
            </w:r>
          </w:p>
        </w:tc>
        <w:tc>
          <w:tcPr>
            <w:tcW w:w="7840" w:type="dxa"/>
            <w:vAlign w:val="bottom"/>
            <w:vMerge w:val="restart"/>
          </w:tcPr>
          <w:p>
            <w:pPr>
              <w:ind w:left="60"/>
              <w:spacing w:after="0"/>
              <w:rPr>
                <w:sz w:val="20"/>
                <w:szCs w:val="20"/>
                <w:color w:val="auto"/>
              </w:rPr>
            </w:pPr>
            <w:r>
              <w:rPr>
                <w:rFonts w:ascii="Arial" w:cs="Arial" w:eastAsia="Arial" w:hAnsi="Arial"/>
                <w:sz w:val="15"/>
                <w:szCs w:val="15"/>
                <w:color w:val="auto"/>
              </w:rPr>
              <w:t>Evaluate the charters of each of the committees and recommend directors to serve as committee chairs;</w:t>
            </w:r>
          </w:p>
        </w:tc>
        <w:tc>
          <w:tcPr>
            <w:tcW w:w="0" w:type="dxa"/>
            <w:vAlign w:val="bottom"/>
          </w:tcPr>
          <w:p>
            <w:pPr>
              <w:spacing w:after="0"/>
              <w:rPr>
                <w:sz w:val="1"/>
                <w:szCs w:val="1"/>
                <w:color w:val="auto"/>
              </w:rPr>
            </w:pPr>
          </w:p>
        </w:tc>
      </w:tr>
      <w:tr>
        <w:trPr>
          <w:trHeight w:val="109"/>
        </w:trPr>
        <w:tc>
          <w:tcPr>
            <w:tcW w:w="26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660" w:type="dxa"/>
            <w:vAlign w:val="bottom"/>
          </w:tcPr>
          <w:p>
            <w:pPr>
              <w:ind w:left="60"/>
              <w:spacing w:after="0"/>
              <w:rPr>
                <w:sz w:val="20"/>
                <w:szCs w:val="20"/>
                <w:color w:val="auto"/>
              </w:rPr>
            </w:pPr>
            <w:r>
              <w:rPr>
                <w:rFonts w:ascii="Arial" w:cs="Arial" w:eastAsia="Arial" w:hAnsi="Arial"/>
                <w:sz w:val="12"/>
                <w:szCs w:val="12"/>
                <w:b w:val="1"/>
                <w:bCs w:val="1"/>
                <w:color w:val="477157"/>
              </w:rPr>
              <w:t>Number of Meetings Held in 2019</w:t>
            </w:r>
          </w:p>
        </w:tc>
        <w:tc>
          <w:tcPr>
            <w:tcW w:w="760" w:type="dxa"/>
            <w:vAlign w:val="bottom"/>
          </w:tcPr>
          <w:p>
            <w:pPr>
              <w:spacing w:after="0"/>
              <w:rPr>
                <w:sz w:val="14"/>
                <w:szCs w:val="14"/>
                <w:color w:val="auto"/>
              </w:rPr>
            </w:pPr>
          </w:p>
        </w:tc>
        <w:tc>
          <w:tcPr>
            <w:tcW w:w="7840" w:type="dxa"/>
            <w:vAlign w:val="bottom"/>
            <w:vMerge w:val="restart"/>
          </w:tcPr>
          <w:p>
            <w:pPr>
              <w:ind w:left="60"/>
              <w:spacing w:after="0"/>
              <w:rPr>
                <w:sz w:val="20"/>
                <w:szCs w:val="20"/>
                <w:color w:val="auto"/>
              </w:rPr>
            </w:pPr>
            <w:r>
              <w:rPr>
                <w:rFonts w:ascii="Arial" w:cs="Arial" w:eastAsia="Arial" w:hAnsi="Arial"/>
                <w:sz w:val="15"/>
                <w:szCs w:val="15"/>
                <w:color w:val="auto"/>
              </w:rPr>
              <w:t>Review individual director's performance in consultation with the Chairman of the Board and review the overall</w:t>
            </w:r>
          </w:p>
        </w:tc>
        <w:tc>
          <w:tcPr>
            <w:tcW w:w="0" w:type="dxa"/>
            <w:vAlign w:val="bottom"/>
          </w:tcPr>
          <w:p>
            <w:pPr>
              <w:spacing w:after="0"/>
              <w:rPr>
                <w:sz w:val="1"/>
                <w:szCs w:val="1"/>
                <w:color w:val="auto"/>
              </w:rPr>
            </w:pPr>
          </w:p>
        </w:tc>
      </w:tr>
      <w:tr>
        <w:trPr>
          <w:trHeight w:val="158"/>
        </w:trPr>
        <w:tc>
          <w:tcPr>
            <w:tcW w:w="26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5</w:t>
            </w:r>
          </w:p>
        </w:tc>
        <w:tc>
          <w:tcPr>
            <w:tcW w:w="760" w:type="dxa"/>
            <w:vAlign w:val="bottom"/>
          </w:tcPr>
          <w:p>
            <w:pPr>
              <w:ind w:left="680"/>
              <w:spacing w:after="0" w:line="159" w:lineRule="exact"/>
              <w:rPr>
                <w:sz w:val="20"/>
                <w:szCs w:val="20"/>
                <w:color w:val="auto"/>
              </w:rPr>
            </w:pPr>
            <w:r>
              <w:rPr>
                <w:rFonts w:ascii="Arial" w:cs="Arial" w:eastAsia="Arial" w:hAnsi="Arial"/>
                <w:sz w:val="15"/>
                <w:szCs w:val="15"/>
                <w:color w:val="477157"/>
              </w:rPr>
              <w:t>•</w:t>
            </w:r>
          </w:p>
        </w:tc>
        <w:tc>
          <w:tcPr>
            <w:tcW w:w="7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6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7840" w:type="dxa"/>
            <w:vAlign w:val="bottom"/>
          </w:tcPr>
          <w:p>
            <w:pPr>
              <w:ind w:left="60"/>
              <w:spacing w:after="0"/>
              <w:rPr>
                <w:sz w:val="20"/>
                <w:szCs w:val="20"/>
                <w:color w:val="auto"/>
              </w:rPr>
            </w:pPr>
            <w:r>
              <w:rPr>
                <w:rFonts w:ascii="Arial" w:cs="Arial" w:eastAsia="Arial" w:hAnsi="Arial"/>
                <w:sz w:val="15"/>
                <w:szCs w:val="15"/>
                <w:color w:val="auto"/>
              </w:rPr>
              <w:t>effectiveness of the Board;</w:t>
            </w:r>
          </w:p>
        </w:tc>
        <w:tc>
          <w:tcPr>
            <w:tcW w:w="0" w:type="dxa"/>
            <w:vAlign w:val="bottom"/>
          </w:tcPr>
          <w:p>
            <w:pPr>
              <w:spacing w:after="0"/>
              <w:rPr>
                <w:sz w:val="1"/>
                <w:szCs w:val="1"/>
                <w:color w:val="auto"/>
              </w:rPr>
            </w:pPr>
          </w:p>
        </w:tc>
      </w:tr>
      <w:tr>
        <w:trPr>
          <w:trHeight w:val="330"/>
        </w:trPr>
        <w:tc>
          <w:tcPr>
            <w:tcW w:w="2660" w:type="dxa"/>
            <w:vAlign w:val="bottom"/>
          </w:tcPr>
          <w:p>
            <w:pPr>
              <w:spacing w:after="0"/>
              <w:rPr>
                <w:sz w:val="24"/>
                <w:szCs w:val="24"/>
                <w:color w:val="auto"/>
              </w:rPr>
            </w:pPr>
          </w:p>
        </w:tc>
        <w:tc>
          <w:tcPr>
            <w:tcW w:w="760" w:type="dxa"/>
            <w:vAlign w:val="bottom"/>
          </w:tcPr>
          <w:p>
            <w:pPr>
              <w:ind w:left="680"/>
              <w:spacing w:after="0"/>
              <w:rPr>
                <w:sz w:val="20"/>
                <w:szCs w:val="20"/>
                <w:color w:val="auto"/>
              </w:rPr>
            </w:pPr>
            <w:r>
              <w:rPr>
                <w:rFonts w:ascii="Arial" w:cs="Arial" w:eastAsia="Arial" w:hAnsi="Arial"/>
                <w:sz w:val="15"/>
                <w:szCs w:val="15"/>
                <w:color w:val="477157"/>
              </w:rPr>
              <w:t>•</w:t>
            </w:r>
          </w:p>
        </w:tc>
        <w:tc>
          <w:tcPr>
            <w:tcW w:w="7840" w:type="dxa"/>
            <w:vAlign w:val="bottom"/>
          </w:tcPr>
          <w:p>
            <w:pPr>
              <w:ind w:left="60"/>
              <w:spacing w:after="0"/>
              <w:rPr>
                <w:sz w:val="20"/>
                <w:szCs w:val="20"/>
                <w:color w:val="auto"/>
              </w:rPr>
            </w:pPr>
            <w:r>
              <w:rPr>
                <w:rFonts w:ascii="Arial" w:cs="Arial" w:eastAsia="Arial" w:hAnsi="Arial"/>
                <w:sz w:val="15"/>
                <w:szCs w:val="15"/>
                <w:color w:val="auto"/>
              </w:rPr>
              <w:t>Recommend retirement policies for the Board, the terms for directors and the proper ratio of employee directors to</w:t>
            </w:r>
          </w:p>
        </w:tc>
        <w:tc>
          <w:tcPr>
            <w:tcW w:w="0" w:type="dxa"/>
            <w:vAlign w:val="bottom"/>
          </w:tcPr>
          <w:p>
            <w:pPr>
              <w:spacing w:after="0"/>
              <w:rPr>
                <w:sz w:val="1"/>
                <w:szCs w:val="1"/>
                <w:color w:val="auto"/>
              </w:rPr>
            </w:pPr>
          </w:p>
        </w:tc>
      </w:tr>
      <w:tr>
        <w:trPr>
          <w:trHeight w:val="177"/>
        </w:trPr>
        <w:tc>
          <w:tcPr>
            <w:tcW w:w="2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40" w:type="dxa"/>
            <w:vAlign w:val="bottom"/>
          </w:tcPr>
          <w:p>
            <w:pPr>
              <w:ind w:left="60"/>
              <w:spacing w:after="0"/>
              <w:rPr>
                <w:sz w:val="20"/>
                <w:szCs w:val="20"/>
                <w:color w:val="auto"/>
              </w:rPr>
            </w:pPr>
            <w:r>
              <w:rPr>
                <w:rFonts w:ascii="Arial" w:cs="Arial" w:eastAsia="Arial" w:hAnsi="Arial"/>
                <w:sz w:val="15"/>
                <w:szCs w:val="15"/>
                <w:color w:val="auto"/>
              </w:rPr>
              <w:t>outside directors;</w:t>
            </w:r>
          </w:p>
        </w:tc>
        <w:tc>
          <w:tcPr>
            <w:tcW w:w="0" w:type="dxa"/>
            <w:vAlign w:val="bottom"/>
          </w:tcPr>
          <w:p>
            <w:pPr>
              <w:spacing w:after="0"/>
              <w:rPr>
                <w:sz w:val="1"/>
                <w:szCs w:val="1"/>
                <w:color w:val="auto"/>
              </w:rPr>
            </w:pPr>
          </w:p>
        </w:tc>
      </w:tr>
      <w:tr>
        <w:trPr>
          <w:trHeight w:val="330"/>
        </w:trPr>
        <w:tc>
          <w:tcPr>
            <w:tcW w:w="2660" w:type="dxa"/>
            <w:vAlign w:val="bottom"/>
          </w:tcPr>
          <w:p>
            <w:pPr>
              <w:spacing w:after="0"/>
              <w:rPr>
                <w:sz w:val="24"/>
                <w:szCs w:val="24"/>
                <w:color w:val="auto"/>
              </w:rPr>
            </w:pPr>
          </w:p>
        </w:tc>
        <w:tc>
          <w:tcPr>
            <w:tcW w:w="760" w:type="dxa"/>
            <w:vAlign w:val="bottom"/>
          </w:tcPr>
          <w:p>
            <w:pPr>
              <w:ind w:left="680"/>
              <w:spacing w:after="0"/>
              <w:rPr>
                <w:sz w:val="20"/>
                <w:szCs w:val="20"/>
                <w:color w:val="auto"/>
              </w:rPr>
            </w:pPr>
            <w:r>
              <w:rPr>
                <w:rFonts w:ascii="Arial" w:cs="Arial" w:eastAsia="Arial" w:hAnsi="Arial"/>
                <w:sz w:val="15"/>
                <w:szCs w:val="15"/>
                <w:color w:val="477157"/>
              </w:rPr>
              <w:t>•</w:t>
            </w:r>
          </w:p>
        </w:tc>
        <w:tc>
          <w:tcPr>
            <w:tcW w:w="7840" w:type="dxa"/>
            <w:vAlign w:val="bottom"/>
          </w:tcPr>
          <w:p>
            <w:pPr>
              <w:ind w:left="60"/>
              <w:spacing w:after="0"/>
              <w:rPr>
                <w:sz w:val="20"/>
                <w:szCs w:val="20"/>
                <w:color w:val="auto"/>
              </w:rPr>
            </w:pPr>
            <w:r>
              <w:rPr>
                <w:rFonts w:ascii="Arial" w:cs="Arial" w:eastAsia="Arial" w:hAnsi="Arial"/>
                <w:sz w:val="15"/>
                <w:szCs w:val="15"/>
                <w:color w:val="auto"/>
              </w:rPr>
              <w:t>Perform an annual review of its performance relative to its charter and report the results of its evaluation to the full</w:t>
            </w:r>
          </w:p>
        </w:tc>
        <w:tc>
          <w:tcPr>
            <w:tcW w:w="0" w:type="dxa"/>
            <w:vAlign w:val="bottom"/>
          </w:tcPr>
          <w:p>
            <w:pPr>
              <w:spacing w:after="0"/>
              <w:rPr>
                <w:sz w:val="1"/>
                <w:szCs w:val="1"/>
                <w:color w:val="auto"/>
              </w:rPr>
            </w:pPr>
          </w:p>
        </w:tc>
      </w:tr>
      <w:tr>
        <w:trPr>
          <w:trHeight w:val="177"/>
        </w:trPr>
        <w:tc>
          <w:tcPr>
            <w:tcW w:w="2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40" w:type="dxa"/>
            <w:vAlign w:val="bottom"/>
          </w:tcPr>
          <w:p>
            <w:pPr>
              <w:ind w:left="60"/>
              <w:spacing w:after="0"/>
              <w:rPr>
                <w:sz w:val="20"/>
                <w:szCs w:val="20"/>
                <w:color w:val="auto"/>
              </w:rPr>
            </w:pPr>
            <w:r>
              <w:rPr>
                <w:rFonts w:ascii="Arial" w:cs="Arial" w:eastAsia="Arial" w:hAnsi="Arial"/>
                <w:sz w:val="15"/>
                <w:szCs w:val="15"/>
                <w:color w:val="auto"/>
              </w:rPr>
              <w:t>Board;</w:t>
            </w:r>
          </w:p>
        </w:tc>
        <w:tc>
          <w:tcPr>
            <w:tcW w:w="0" w:type="dxa"/>
            <w:vAlign w:val="bottom"/>
          </w:tcPr>
          <w:p>
            <w:pPr>
              <w:spacing w:after="0"/>
              <w:rPr>
                <w:sz w:val="1"/>
                <w:szCs w:val="1"/>
                <w:color w:val="auto"/>
              </w:rPr>
            </w:pPr>
          </w:p>
        </w:tc>
      </w:tr>
      <w:tr>
        <w:trPr>
          <w:trHeight w:val="330"/>
        </w:trPr>
        <w:tc>
          <w:tcPr>
            <w:tcW w:w="2660" w:type="dxa"/>
            <w:vAlign w:val="bottom"/>
          </w:tcPr>
          <w:p>
            <w:pPr>
              <w:spacing w:after="0"/>
              <w:rPr>
                <w:sz w:val="24"/>
                <w:szCs w:val="24"/>
                <w:color w:val="auto"/>
              </w:rPr>
            </w:pPr>
          </w:p>
        </w:tc>
        <w:tc>
          <w:tcPr>
            <w:tcW w:w="760" w:type="dxa"/>
            <w:vAlign w:val="bottom"/>
          </w:tcPr>
          <w:p>
            <w:pPr>
              <w:ind w:left="680"/>
              <w:spacing w:after="0"/>
              <w:rPr>
                <w:sz w:val="20"/>
                <w:szCs w:val="20"/>
                <w:color w:val="auto"/>
              </w:rPr>
            </w:pPr>
            <w:r>
              <w:rPr>
                <w:rFonts w:ascii="Arial" w:cs="Arial" w:eastAsia="Arial" w:hAnsi="Arial"/>
                <w:sz w:val="15"/>
                <w:szCs w:val="15"/>
                <w:color w:val="477157"/>
              </w:rPr>
              <w:t>•</w:t>
            </w:r>
          </w:p>
        </w:tc>
        <w:tc>
          <w:tcPr>
            <w:tcW w:w="7840" w:type="dxa"/>
            <w:vAlign w:val="bottom"/>
          </w:tcPr>
          <w:p>
            <w:pPr>
              <w:ind w:left="60"/>
              <w:spacing w:after="0"/>
              <w:rPr>
                <w:sz w:val="20"/>
                <w:szCs w:val="20"/>
                <w:color w:val="auto"/>
              </w:rPr>
            </w:pPr>
            <w:r>
              <w:rPr>
                <w:rFonts w:ascii="Arial" w:cs="Arial" w:eastAsia="Arial" w:hAnsi="Arial"/>
                <w:sz w:val="15"/>
                <w:szCs w:val="15"/>
                <w:color w:val="auto"/>
              </w:rPr>
              <w:t>Review stockholder proposals received for inclusion in the Company's proxy statement and recommend action to be</w:t>
            </w:r>
          </w:p>
        </w:tc>
        <w:tc>
          <w:tcPr>
            <w:tcW w:w="0" w:type="dxa"/>
            <w:vAlign w:val="bottom"/>
          </w:tcPr>
          <w:p>
            <w:pPr>
              <w:spacing w:after="0"/>
              <w:rPr>
                <w:sz w:val="1"/>
                <w:szCs w:val="1"/>
                <w:color w:val="auto"/>
              </w:rPr>
            </w:pPr>
          </w:p>
        </w:tc>
      </w:tr>
      <w:tr>
        <w:trPr>
          <w:trHeight w:val="177"/>
        </w:trPr>
        <w:tc>
          <w:tcPr>
            <w:tcW w:w="2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40" w:type="dxa"/>
            <w:vAlign w:val="bottom"/>
          </w:tcPr>
          <w:p>
            <w:pPr>
              <w:ind w:left="60"/>
              <w:spacing w:after="0"/>
              <w:rPr>
                <w:sz w:val="20"/>
                <w:szCs w:val="20"/>
                <w:color w:val="auto"/>
              </w:rPr>
            </w:pPr>
            <w:r>
              <w:rPr>
                <w:rFonts w:ascii="Arial" w:cs="Arial" w:eastAsia="Arial" w:hAnsi="Arial"/>
                <w:sz w:val="15"/>
                <w:szCs w:val="15"/>
                <w:color w:val="auto"/>
              </w:rPr>
              <w:t>taken with regard to the proposals to the Board; and</w:t>
            </w:r>
          </w:p>
        </w:tc>
        <w:tc>
          <w:tcPr>
            <w:tcW w:w="0" w:type="dxa"/>
            <w:vAlign w:val="bottom"/>
          </w:tcPr>
          <w:p>
            <w:pPr>
              <w:spacing w:after="0"/>
              <w:rPr>
                <w:sz w:val="1"/>
                <w:szCs w:val="1"/>
                <w:color w:val="auto"/>
              </w:rPr>
            </w:pPr>
          </w:p>
        </w:tc>
      </w:tr>
      <w:tr>
        <w:trPr>
          <w:trHeight w:val="349"/>
        </w:trPr>
        <w:tc>
          <w:tcPr>
            <w:tcW w:w="2660" w:type="dxa"/>
            <w:vAlign w:val="bottom"/>
          </w:tcPr>
          <w:p>
            <w:pPr>
              <w:spacing w:after="0"/>
              <w:rPr>
                <w:sz w:val="24"/>
                <w:szCs w:val="24"/>
                <w:color w:val="auto"/>
              </w:rPr>
            </w:pPr>
          </w:p>
        </w:tc>
        <w:tc>
          <w:tcPr>
            <w:tcW w:w="760" w:type="dxa"/>
            <w:vAlign w:val="bottom"/>
          </w:tcPr>
          <w:p>
            <w:pPr>
              <w:ind w:left="680"/>
              <w:spacing w:after="0"/>
              <w:rPr>
                <w:sz w:val="20"/>
                <w:szCs w:val="20"/>
                <w:color w:val="auto"/>
              </w:rPr>
            </w:pPr>
            <w:r>
              <w:rPr>
                <w:rFonts w:ascii="Arial" w:cs="Arial" w:eastAsia="Arial" w:hAnsi="Arial"/>
                <w:sz w:val="15"/>
                <w:szCs w:val="15"/>
                <w:color w:val="477157"/>
              </w:rPr>
              <w:t>•</w:t>
            </w:r>
          </w:p>
        </w:tc>
        <w:tc>
          <w:tcPr>
            <w:tcW w:w="7840" w:type="dxa"/>
            <w:vAlign w:val="bottom"/>
          </w:tcPr>
          <w:p>
            <w:pPr>
              <w:ind w:left="60"/>
              <w:spacing w:after="0"/>
              <w:rPr>
                <w:sz w:val="20"/>
                <w:szCs w:val="20"/>
                <w:color w:val="auto"/>
              </w:rPr>
            </w:pPr>
            <w:r>
              <w:rPr>
                <w:rFonts w:ascii="Arial" w:cs="Arial" w:eastAsia="Arial" w:hAnsi="Arial"/>
                <w:sz w:val="15"/>
                <w:szCs w:val="15"/>
                <w:color w:val="auto"/>
              </w:rPr>
              <w:t>Identify and recommend to the Board candidates to fill director vacancies.</w:t>
            </w:r>
          </w:p>
        </w:tc>
        <w:tc>
          <w:tcPr>
            <w:tcW w:w="0" w:type="dxa"/>
            <w:vAlign w:val="bottom"/>
          </w:tcPr>
          <w:p>
            <w:pPr>
              <w:spacing w:after="0"/>
              <w:rPr>
                <w:sz w:val="1"/>
                <w:szCs w:val="1"/>
                <w:color w:val="auto"/>
              </w:rPr>
            </w:pPr>
          </w:p>
        </w:tc>
      </w:tr>
      <w:tr>
        <w:trPr>
          <w:trHeight w:val="330"/>
        </w:trPr>
        <w:tc>
          <w:tcPr>
            <w:tcW w:w="2660" w:type="dxa"/>
            <w:vAlign w:val="bottom"/>
          </w:tcPr>
          <w:p>
            <w:pPr>
              <w:spacing w:after="0"/>
              <w:rPr>
                <w:sz w:val="24"/>
                <w:szCs w:val="24"/>
                <w:color w:val="auto"/>
              </w:rPr>
            </w:pPr>
          </w:p>
        </w:tc>
        <w:tc>
          <w:tcPr>
            <w:tcW w:w="8600" w:type="dxa"/>
            <w:vAlign w:val="bottom"/>
            <w:gridSpan w:val="2"/>
          </w:tcPr>
          <w:p>
            <w:pPr>
              <w:ind w:left="680"/>
              <w:spacing w:after="0"/>
              <w:rPr>
                <w:sz w:val="20"/>
                <w:szCs w:val="20"/>
                <w:color w:val="auto"/>
              </w:rPr>
            </w:pPr>
            <w:r>
              <w:rPr>
                <w:rFonts w:ascii="Arial" w:cs="Arial" w:eastAsia="Arial" w:hAnsi="Arial"/>
                <w:sz w:val="15"/>
                <w:szCs w:val="15"/>
                <w:color w:val="auto"/>
              </w:rPr>
              <w:t>Potential new director candidates are identified through various methods; the Nominating and Governance Committee</w:t>
            </w: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8600" w:type="dxa"/>
            <w:vAlign w:val="bottom"/>
            <w:gridSpan w:val="2"/>
          </w:tcPr>
          <w:p>
            <w:pPr>
              <w:ind w:left="680"/>
              <w:spacing w:after="0" w:line="169" w:lineRule="exact"/>
              <w:rPr>
                <w:sz w:val="20"/>
                <w:szCs w:val="20"/>
                <w:color w:val="auto"/>
              </w:rPr>
            </w:pPr>
            <w:r>
              <w:rPr>
                <w:rFonts w:ascii="Arial" w:cs="Arial" w:eastAsia="Arial" w:hAnsi="Arial"/>
                <w:sz w:val="15"/>
                <w:szCs w:val="15"/>
                <w:color w:val="auto"/>
                <w:w w:val="97"/>
              </w:rPr>
              <w:t>welcomes suggestions from directors, members of management, and stockholders. From time to time, the Nominating and</w:t>
            </w: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8600" w:type="dxa"/>
            <w:vAlign w:val="bottom"/>
            <w:gridSpan w:val="2"/>
          </w:tcPr>
          <w:p>
            <w:pPr>
              <w:ind w:left="680"/>
              <w:spacing w:after="0" w:line="169" w:lineRule="exact"/>
              <w:rPr>
                <w:sz w:val="20"/>
                <w:szCs w:val="20"/>
                <w:color w:val="auto"/>
              </w:rPr>
            </w:pPr>
            <w:r>
              <w:rPr>
                <w:rFonts w:ascii="Arial" w:cs="Arial" w:eastAsia="Arial" w:hAnsi="Arial"/>
                <w:sz w:val="15"/>
                <w:szCs w:val="15"/>
                <w:color w:val="auto"/>
              </w:rPr>
              <w:t>Governance Committee uses outside consultants to assist with identifying potential director candidates. In 2018,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-3428365</wp:posOffset>
            </wp:positionV>
            <wp:extent cx="7155180" cy="5480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5180" cy="5480685"/>
                    </a:xfrm>
                    <a:prstGeom prst="rect">
                      <a:avLst/>
                    </a:prstGeom>
                    <a:noFill/>
                  </pic:spPr>
                </pic:pic>
              </a:graphicData>
            </a:graphic>
          </wp:anchor>
        </w:drawing>
      </w:r>
    </w:p>
    <w:p>
      <w:pPr>
        <w:jc w:val="both"/>
        <w:ind w:left="3340"/>
        <w:spacing w:after="0" w:line="237" w:lineRule="auto"/>
        <w:rPr>
          <w:sz w:val="20"/>
          <w:szCs w:val="20"/>
          <w:color w:val="auto"/>
        </w:rPr>
      </w:pPr>
      <w:r>
        <w:rPr>
          <w:rFonts w:ascii="Arial" w:cs="Arial" w:eastAsia="Arial" w:hAnsi="Arial"/>
          <w:sz w:val="15"/>
          <w:szCs w:val="15"/>
          <w:color w:val="auto"/>
        </w:rPr>
        <w:t>Nominating and Governance Committee retained an outside consultant who later identified Mr. William B. Plummer as a potential director candidate. Our Board of Directors elected Mr. Plummer as a member of the Board effective August 19, 2019, and he was appointed to the Audit Committee and MD&amp;C Committee. He is a nominee for re-election at the annual meeting.</w:t>
      </w:r>
    </w:p>
    <w:p>
      <w:pPr>
        <w:spacing w:after="0" w:line="175" w:lineRule="exact"/>
        <w:rPr>
          <w:sz w:val="20"/>
          <w:szCs w:val="20"/>
          <w:color w:val="auto"/>
        </w:rPr>
      </w:pPr>
    </w:p>
    <w:p>
      <w:pPr>
        <w:jc w:val="both"/>
        <w:ind w:left="3340"/>
        <w:spacing w:after="0" w:line="253" w:lineRule="auto"/>
        <w:rPr>
          <w:sz w:val="20"/>
          <w:szCs w:val="20"/>
          <w:color w:val="auto"/>
        </w:rPr>
      </w:pPr>
      <w:r>
        <w:rPr>
          <w:rFonts w:ascii="Arial" w:cs="Arial" w:eastAsia="Arial" w:hAnsi="Arial"/>
          <w:sz w:val="14"/>
          <w:szCs w:val="14"/>
          <w:color w:val="auto"/>
        </w:rPr>
        <w:t>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Nominating and Governance Committee has considered the gender and racial / ethnic composition of our Board, including the presence of two women, Mr. Clark's and Mr. Plummer's self-identification as African American / Black and Mr. Gluski's self-identification as Hispanic, and believes these factors, among numerous others, contribute to a valuable diversity of background, thoughts and opinions on our Board. The Committee uses a matrix of experience, skills and expertise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typically include other members of the Board, representatives from senior levels of management and an outside consultant.</w:t>
      </w:r>
    </w:p>
    <w:p>
      <w:pPr>
        <w:spacing w:after="0" w:line="163"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155180" cy="18389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5180" cy="1838960"/>
                    </a:xfrm>
                    <a:prstGeom prst="rect">
                      <a:avLst/>
                    </a:prstGeom>
                    <a:noFill/>
                  </pic:spPr>
                </pic:pic>
              </a:graphicData>
            </a:graphic>
          </wp:anchor>
        </w:drawing>
      </w:r>
    </w:p>
    <w:p>
      <w:pPr>
        <w:spacing w:after="0" w:line="6" w:lineRule="exact"/>
        <w:rPr>
          <w:sz w:val="20"/>
          <w:szCs w:val="20"/>
          <w:color w:val="auto"/>
        </w:rPr>
      </w:pPr>
    </w:p>
    <w:p>
      <w:pPr>
        <w:jc w:val="both"/>
        <w:ind w:left="3340"/>
        <w:spacing w:after="0" w:line="236" w:lineRule="auto"/>
        <w:rPr>
          <w:sz w:val="20"/>
          <w:szCs w:val="20"/>
          <w:color w:val="auto"/>
        </w:rPr>
      </w:pPr>
      <w:r>
        <w:rPr>
          <w:rFonts w:ascii="Arial" w:cs="Arial" w:eastAsia="Arial" w:hAnsi="Arial"/>
          <w:sz w:val="15"/>
          <w:szCs w:val="15"/>
          <w:color w:val="auto"/>
        </w:rPr>
        <w:t>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for consideration by the Nominating and Governance Committee, you should submit your candidate's name, together with biographical information and his or her written consent to nomination to the Chairman of the Nominating and Governance Committee, Waste Management, Inc., 1001 Fannin Street, Houston, Texas 77002, between October 27, 2020 and November 26, 2020.</w:t>
      </w:r>
    </w:p>
    <w:p>
      <w:pPr>
        <w:spacing w:after="0" w:line="165" w:lineRule="exact"/>
        <w:rPr>
          <w:sz w:val="20"/>
          <w:szCs w:val="20"/>
          <w:color w:val="auto"/>
        </w:rPr>
      </w:pPr>
    </w:p>
    <w:p>
      <w:pPr>
        <w:jc w:val="both"/>
        <w:ind w:left="3340"/>
        <w:spacing w:after="0" w:line="236" w:lineRule="auto"/>
        <w:rPr>
          <w:sz w:val="20"/>
          <w:szCs w:val="20"/>
          <w:color w:val="auto"/>
        </w:rPr>
      </w:pPr>
      <w:r>
        <w:rPr>
          <w:rFonts w:ascii="Arial" w:cs="Arial" w:eastAsia="Arial" w:hAnsi="Arial"/>
          <w:sz w:val="15"/>
          <w:szCs w:val="15"/>
          <w:color w:val="auto"/>
        </w:rPr>
        <w:t>In addition to the Nominating and Governance Committee's consideration of any potential nominees submitted, in November 2019, the Company amended and restated its By-laws to provide for "proxy access." This provision permits a stockholder or group of up to 20 stockholders owning 3% or 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By-laws. In order for such nominees to be included in our proxy statement and form of proxy, stockholders and nominees must submit a notice of proxy access nomination together with other related information required by our By-laws. Please see "Stockholder Proposals and Nominees for the 2021 Annual Meeting — Proxy Access Nominations" on page 3 for additional information about timing, notification and informational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Related Party Transactions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 (ii) 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 (iii) business travel and expenses, advances and reimbursements in the ordinary course of business; (iv) 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 (vi)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All executive officers and directors are required to notify the Chief Legal Officer or the Corporate Secretary as soon as practicable of any proposed transaction that they or their family members are considering entering into that involves the Company. The Chief Legal Officer will determine whether potential transactions or relationships constitute related party transactions that must be referred to the Nominating and Governance Committee.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The Nominating and Governance Committee will review a detailed description of the transaction, including:</w:t>
      </w:r>
    </w:p>
    <w:p>
      <w:pPr>
        <w:spacing w:after="0" w:line="177" w:lineRule="exact"/>
        <w:rPr>
          <w:sz w:val="20"/>
          <w:szCs w:val="20"/>
          <w:color w:val="auto"/>
        </w:rPr>
      </w:pPr>
    </w:p>
    <w:p>
      <w:pPr>
        <w:ind w:left="900" w:hanging="459"/>
        <w:spacing w:after="0"/>
        <w:tabs>
          <w:tab w:leader="none" w:pos="900" w:val="left"/>
        </w:tabs>
        <w:numPr>
          <w:ilvl w:val="0"/>
          <w:numId w:val="13"/>
        </w:numPr>
        <w:rPr>
          <w:rFonts w:ascii="Arial" w:cs="Arial" w:eastAsia="Arial" w:hAnsi="Arial"/>
          <w:sz w:val="15"/>
          <w:szCs w:val="15"/>
          <w:color w:val="477157"/>
        </w:rPr>
      </w:pPr>
      <w:r>
        <w:rPr>
          <w:rFonts w:ascii="Arial" w:cs="Arial" w:eastAsia="Arial" w:hAnsi="Arial"/>
          <w:sz w:val="15"/>
          <w:szCs w:val="15"/>
          <w:color w:val="auto"/>
        </w:rPr>
        <w:t>the terms of the transaction;</w:t>
      </w:r>
    </w:p>
    <w:p>
      <w:pPr>
        <w:spacing w:after="0" w:line="176" w:lineRule="exact"/>
        <w:rPr>
          <w:rFonts w:ascii="Arial" w:cs="Arial" w:eastAsia="Arial" w:hAnsi="Arial"/>
          <w:sz w:val="15"/>
          <w:szCs w:val="15"/>
          <w:color w:val="477157"/>
        </w:rPr>
      </w:pPr>
    </w:p>
    <w:p>
      <w:pPr>
        <w:ind w:left="900" w:hanging="459"/>
        <w:spacing w:after="0"/>
        <w:tabs>
          <w:tab w:leader="none" w:pos="900" w:val="left"/>
        </w:tabs>
        <w:numPr>
          <w:ilvl w:val="0"/>
          <w:numId w:val="13"/>
        </w:numPr>
        <w:rPr>
          <w:rFonts w:ascii="Arial" w:cs="Arial" w:eastAsia="Arial" w:hAnsi="Arial"/>
          <w:sz w:val="15"/>
          <w:szCs w:val="15"/>
          <w:color w:val="477157"/>
        </w:rPr>
      </w:pPr>
      <w:r>
        <w:rPr>
          <w:rFonts w:ascii="Arial" w:cs="Arial" w:eastAsia="Arial" w:hAnsi="Arial"/>
          <w:sz w:val="15"/>
          <w:szCs w:val="15"/>
          <w:color w:val="auto"/>
        </w:rPr>
        <w:t>the business purpose of the transaction;</w:t>
      </w:r>
    </w:p>
    <w:p>
      <w:pPr>
        <w:spacing w:after="0" w:line="165" w:lineRule="exact"/>
        <w:rPr>
          <w:rFonts w:ascii="Arial" w:cs="Arial" w:eastAsia="Arial" w:hAnsi="Arial"/>
          <w:sz w:val="15"/>
          <w:szCs w:val="15"/>
          <w:color w:val="477157"/>
        </w:rPr>
      </w:pPr>
    </w:p>
    <w:p>
      <w:pPr>
        <w:ind w:left="900" w:hanging="459"/>
        <w:spacing w:after="0"/>
        <w:tabs>
          <w:tab w:leader="none" w:pos="900" w:val="left"/>
        </w:tabs>
        <w:numPr>
          <w:ilvl w:val="0"/>
          <w:numId w:val="13"/>
        </w:numPr>
        <w:rPr>
          <w:rFonts w:ascii="Arial" w:cs="Arial" w:eastAsia="Arial" w:hAnsi="Arial"/>
          <w:sz w:val="15"/>
          <w:szCs w:val="15"/>
          <w:color w:val="477157"/>
        </w:rPr>
      </w:pPr>
      <w:r>
        <w:rPr>
          <w:rFonts w:ascii="Arial" w:cs="Arial" w:eastAsia="Arial" w:hAnsi="Arial"/>
          <w:sz w:val="15"/>
          <w:szCs w:val="15"/>
          <w:color w:val="auto"/>
        </w:rPr>
        <w:t>the benefits to the Company and to the relevant related party; and</w:t>
      </w:r>
    </w:p>
    <w:p>
      <w:pPr>
        <w:spacing w:after="0" w:line="165" w:lineRule="exact"/>
        <w:rPr>
          <w:rFonts w:ascii="Arial" w:cs="Arial" w:eastAsia="Arial" w:hAnsi="Arial"/>
          <w:sz w:val="15"/>
          <w:szCs w:val="15"/>
          <w:color w:val="477157"/>
        </w:rPr>
      </w:pPr>
    </w:p>
    <w:p>
      <w:pPr>
        <w:ind w:left="900" w:hanging="459"/>
        <w:spacing w:after="0"/>
        <w:tabs>
          <w:tab w:leader="none" w:pos="900" w:val="left"/>
        </w:tabs>
        <w:numPr>
          <w:ilvl w:val="0"/>
          <w:numId w:val="13"/>
        </w:numPr>
        <w:rPr>
          <w:rFonts w:ascii="Arial" w:cs="Arial" w:eastAsia="Arial" w:hAnsi="Arial"/>
          <w:sz w:val="15"/>
          <w:szCs w:val="15"/>
          <w:color w:val="477157"/>
        </w:rPr>
      </w:pPr>
      <w:r>
        <w:rPr>
          <w:rFonts w:ascii="Arial" w:cs="Arial" w:eastAsia="Arial" w:hAnsi="Arial"/>
          <w:sz w:val="15"/>
          <w:szCs w:val="15"/>
          <w:color w:val="auto"/>
        </w:rPr>
        <w:t>whether the transaction would require a waiver of the Company's Code of Conduct.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In determining whether to approve a related party transaction, the Nominating and Governance Committee will consider, among other things, whether:</w:t>
      </w:r>
    </w:p>
    <w:p>
      <w:pPr>
        <w:spacing w:after="0" w:line="188" w:lineRule="exact"/>
        <w:rPr>
          <w:sz w:val="20"/>
          <w:szCs w:val="20"/>
          <w:color w:val="auto"/>
        </w:rPr>
      </w:pPr>
    </w:p>
    <w:p>
      <w:pPr>
        <w:ind w:left="900" w:hanging="459"/>
        <w:spacing w:after="0"/>
        <w:tabs>
          <w:tab w:leader="none" w:pos="900" w:val="left"/>
        </w:tabs>
        <w:numPr>
          <w:ilvl w:val="0"/>
          <w:numId w:val="14"/>
        </w:numPr>
        <w:rPr>
          <w:rFonts w:ascii="Arial" w:cs="Arial" w:eastAsia="Arial" w:hAnsi="Arial"/>
          <w:sz w:val="15"/>
          <w:szCs w:val="15"/>
          <w:color w:val="477157"/>
        </w:rPr>
      </w:pPr>
      <w:r>
        <w:rPr>
          <w:rFonts w:ascii="Arial" w:cs="Arial" w:eastAsia="Arial" w:hAnsi="Arial"/>
          <w:sz w:val="15"/>
          <w:szCs w:val="15"/>
          <w:color w:val="auto"/>
        </w:rPr>
        <w:t>the terms of the related party transaction are fair to the Company and such terms would be reasonable in an arms-length transaction;</w:t>
      </w:r>
    </w:p>
    <w:p>
      <w:pPr>
        <w:spacing w:after="0" w:line="165" w:lineRule="exact"/>
        <w:rPr>
          <w:rFonts w:ascii="Arial" w:cs="Arial" w:eastAsia="Arial" w:hAnsi="Arial"/>
          <w:sz w:val="15"/>
          <w:szCs w:val="15"/>
          <w:color w:val="477157"/>
        </w:rPr>
      </w:pPr>
    </w:p>
    <w:p>
      <w:pPr>
        <w:ind w:left="900" w:hanging="459"/>
        <w:spacing w:after="0"/>
        <w:tabs>
          <w:tab w:leader="none" w:pos="900" w:val="left"/>
        </w:tabs>
        <w:numPr>
          <w:ilvl w:val="0"/>
          <w:numId w:val="14"/>
        </w:numPr>
        <w:rPr>
          <w:rFonts w:ascii="Arial" w:cs="Arial" w:eastAsia="Arial" w:hAnsi="Arial"/>
          <w:sz w:val="15"/>
          <w:szCs w:val="15"/>
          <w:color w:val="477157"/>
        </w:rPr>
      </w:pPr>
      <w:r>
        <w:rPr>
          <w:rFonts w:ascii="Arial" w:cs="Arial" w:eastAsia="Arial" w:hAnsi="Arial"/>
          <w:sz w:val="15"/>
          <w:szCs w:val="15"/>
          <w:color w:val="auto"/>
        </w:rPr>
        <w:t>there are business reasons for the Company to enter into the related party transaction;</w:t>
      </w:r>
    </w:p>
    <w:p>
      <w:pPr>
        <w:spacing w:after="0" w:line="165" w:lineRule="exact"/>
        <w:rPr>
          <w:rFonts w:ascii="Arial" w:cs="Arial" w:eastAsia="Arial" w:hAnsi="Arial"/>
          <w:sz w:val="15"/>
          <w:szCs w:val="15"/>
          <w:color w:val="477157"/>
        </w:rPr>
      </w:pPr>
    </w:p>
    <w:p>
      <w:pPr>
        <w:ind w:left="900" w:hanging="459"/>
        <w:spacing w:after="0"/>
        <w:tabs>
          <w:tab w:leader="none" w:pos="900" w:val="left"/>
        </w:tabs>
        <w:numPr>
          <w:ilvl w:val="0"/>
          <w:numId w:val="14"/>
        </w:numPr>
        <w:rPr>
          <w:rFonts w:ascii="Arial" w:cs="Arial" w:eastAsia="Arial" w:hAnsi="Arial"/>
          <w:sz w:val="15"/>
          <w:szCs w:val="15"/>
          <w:color w:val="477157"/>
        </w:rPr>
      </w:pPr>
      <w:r>
        <w:rPr>
          <w:rFonts w:ascii="Arial" w:cs="Arial" w:eastAsia="Arial" w:hAnsi="Arial"/>
          <w:sz w:val="15"/>
          <w:szCs w:val="15"/>
          <w:color w:val="auto"/>
        </w:rPr>
        <w:t>the related party transaction would impair the independence of any non-employee director;</w:t>
      </w:r>
    </w:p>
    <w:p>
      <w:pPr>
        <w:spacing w:after="0" w:line="176" w:lineRule="exact"/>
        <w:rPr>
          <w:rFonts w:ascii="Arial" w:cs="Arial" w:eastAsia="Arial" w:hAnsi="Arial"/>
          <w:sz w:val="15"/>
          <w:szCs w:val="15"/>
          <w:color w:val="477157"/>
        </w:rPr>
      </w:pPr>
    </w:p>
    <w:p>
      <w:pPr>
        <w:ind w:left="900" w:hanging="459"/>
        <w:spacing w:after="0"/>
        <w:tabs>
          <w:tab w:leader="none" w:pos="900" w:val="left"/>
        </w:tabs>
        <w:numPr>
          <w:ilvl w:val="0"/>
          <w:numId w:val="14"/>
        </w:numPr>
        <w:rPr>
          <w:rFonts w:ascii="Arial" w:cs="Arial" w:eastAsia="Arial" w:hAnsi="Arial"/>
          <w:sz w:val="15"/>
          <w:szCs w:val="15"/>
          <w:color w:val="477157"/>
        </w:rPr>
      </w:pPr>
      <w:r>
        <w:rPr>
          <w:rFonts w:ascii="Arial" w:cs="Arial" w:eastAsia="Arial" w:hAnsi="Arial"/>
          <w:sz w:val="15"/>
          <w:szCs w:val="15"/>
          <w:color w:val="auto"/>
        </w:rPr>
        <w:t>the related party transaction would present an improper conflict of interest for any director or executive officer of the Company; and</w:t>
      </w:r>
    </w:p>
    <w:p>
      <w:pPr>
        <w:spacing w:after="0" w:line="165" w:lineRule="exact"/>
        <w:rPr>
          <w:rFonts w:ascii="Arial" w:cs="Arial" w:eastAsia="Arial" w:hAnsi="Arial"/>
          <w:sz w:val="15"/>
          <w:szCs w:val="15"/>
          <w:color w:val="477157"/>
        </w:rPr>
      </w:pPr>
    </w:p>
    <w:p>
      <w:pPr>
        <w:ind w:left="900" w:hanging="459"/>
        <w:spacing w:after="0"/>
        <w:tabs>
          <w:tab w:leader="none" w:pos="900" w:val="left"/>
        </w:tabs>
        <w:numPr>
          <w:ilvl w:val="0"/>
          <w:numId w:val="14"/>
        </w:numPr>
        <w:rPr>
          <w:rFonts w:ascii="Arial" w:cs="Arial" w:eastAsia="Arial" w:hAnsi="Arial"/>
          <w:sz w:val="15"/>
          <w:szCs w:val="15"/>
          <w:color w:val="477157"/>
        </w:rPr>
      </w:pPr>
      <w:r>
        <w:rPr>
          <w:rFonts w:ascii="Arial" w:cs="Arial" w:eastAsia="Arial" w:hAnsi="Arial"/>
          <w:sz w:val="15"/>
          <w:szCs w:val="15"/>
          <w:color w:val="auto"/>
        </w:rPr>
        <w:t>the related party transaction is material to the Company or the individual.</w:t>
      </w:r>
    </w:p>
    <w:p>
      <w:pPr>
        <w:spacing w:after="0" w:line="158"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BOARD OF DIRECTORS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5"/>
          <w:szCs w:val="15"/>
          <w:color w:val="auto"/>
        </w:rPr>
        <w:t>Any member of the Nominating and Governance Committee who has an interest in a transaction presented for consideration will abstain from voting on the related party transaction.</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The Nominating and Governance Committee's consideration of related party transactions and its determination of whether to approve such a transaction are reflected in the minutes of the Nominating and Governance Committee's meetings. As discussed above under "Independence of Board Members," the Company reviewed all transactions between the Company and each entity with which a non-employee director is affiliated, as well as all transactions between the Company and each entity with which an executive officer is affiliated, and the Company is not aware of any transactions in 2019 that are required to be disclosed.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Board of Directors Governing Documents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Stockholders may obtain copies of our Corporate Governance Guidelines, the charters of the Audit Committee, the MD&amp;C Committee, and the Nominating and Governance Committee, and our Code of Conduct free of charge by contacting the Corporate Secretary, c/o Waste Management, Inc., 1001 Fannin Street, Houston, Texas 77002 or by accessing the "ESG — Corporate Governance" section of the "Investors" page on our website at www.wm.com.</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Non-Employee Director Compensation</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Our non-employee director compensation program consists of equity awards and cash consideration. Director compensation is recommended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Non-employee directors receive an annual grant of shares of Common Stock under the Company's 2014 Stock Incentive Plan. The shares are fully vested at the time of grant; however, non-employee directors are required to hold all net shares until one year after retirement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received a grant of Common Stock valued at approximately $77,500 in each of January 2019 and July 2019. Mr. Thomas H. Weidemeyer received an additional grant of Common Stock valued at approximately $50,000 in each of January 2019 and July 2019 for his service as Non-Executive Chairman of the Board in 2019. Mr. Plummer received a prorated grant of Common Stock, included in the table below, following his election to the Board in August 2019.</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Cash Compensation</w:t>
      </w:r>
    </w:p>
    <w:p>
      <w:pPr>
        <w:spacing w:after="0" w:line="195" w:lineRule="exact"/>
        <w:rPr>
          <w:sz w:val="20"/>
          <w:szCs w:val="20"/>
          <w:color w:val="auto"/>
        </w:rPr>
      </w:pPr>
    </w:p>
    <w:p>
      <w:pPr>
        <w:jc w:val="both"/>
        <w:ind w:right="20"/>
        <w:spacing w:after="0" w:line="238" w:lineRule="auto"/>
        <w:rPr>
          <w:sz w:val="20"/>
          <w:szCs w:val="20"/>
          <w:color w:val="auto"/>
        </w:rPr>
      </w:pPr>
      <w:r>
        <w:rPr>
          <w:rFonts w:ascii="Arial" w:cs="Arial" w:eastAsia="Arial" w:hAnsi="Arial"/>
          <w:sz w:val="15"/>
          <w:szCs w:val="15"/>
          <w:color w:val="auto"/>
        </w:rPr>
        <w:t>All non-employee directors receive an annual cash retainer for Board service and additional cash retainers for serving as a committee chair. Directors do not receive meeting fees in addition to the retainers. The annual cash retainer is generally paid in advance in two equal installments in January and July of each year. The table below sets forth the cash retainers for 2019:</w:t>
      </w:r>
    </w:p>
    <w:p>
      <w:pPr>
        <w:sectPr>
          <w:pgSz w:w="11900" w:h="16838" w:orient="portrait"/>
          <w:cols w:equalWidth="0" w:num="1">
            <w:col w:w="11260"/>
          </w:cols>
          <w:pgMar w:left="320" w:top="142" w:right="319" w:bottom="1440" w:gutter="0" w:footer="0" w:header="0"/>
        </w:sectPr>
      </w:pP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Annual Retainer</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Annual Chair Retainers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$110,000</w:t>
      </w:r>
    </w:p>
    <w:p>
      <w:pPr>
        <w:spacing w:after="0" w:line="235" w:lineRule="auto"/>
        <w:rPr>
          <w:sz w:val="20"/>
          <w:szCs w:val="20"/>
          <w:color w:val="auto"/>
        </w:rPr>
      </w:pPr>
      <w:r>
        <w:rPr>
          <w:rFonts w:ascii="Arial" w:cs="Arial" w:eastAsia="Arial" w:hAnsi="Arial"/>
          <w:sz w:val="15"/>
          <w:szCs w:val="15"/>
          <w:color w:val="auto"/>
        </w:rPr>
        <w:t>$100,000 for Non-Executive Chairman</w:t>
      </w:r>
    </w:p>
    <w:p>
      <w:pPr>
        <w:spacing w:after="0" w:line="235" w:lineRule="auto"/>
        <w:rPr>
          <w:sz w:val="20"/>
          <w:szCs w:val="20"/>
          <w:color w:val="auto"/>
        </w:rPr>
      </w:pPr>
      <w:r>
        <w:rPr>
          <w:rFonts w:ascii="Arial" w:cs="Arial" w:eastAsia="Arial" w:hAnsi="Arial"/>
          <w:sz w:val="15"/>
          <w:szCs w:val="15"/>
          <w:color w:val="auto"/>
        </w:rPr>
        <w:t>$25,000 for Audit Committee Chair</w:t>
      </w:r>
    </w:p>
    <w:p>
      <w:pPr>
        <w:spacing w:after="0" w:line="235" w:lineRule="auto"/>
        <w:rPr>
          <w:sz w:val="20"/>
          <w:szCs w:val="20"/>
          <w:color w:val="auto"/>
        </w:rPr>
      </w:pPr>
      <w:r>
        <w:rPr>
          <w:rFonts w:ascii="Arial" w:cs="Arial" w:eastAsia="Arial" w:hAnsi="Arial"/>
          <w:sz w:val="15"/>
          <w:szCs w:val="15"/>
          <w:color w:val="auto"/>
        </w:rPr>
        <w:t>$20,000 for MD&amp;C Committee Chair</w:t>
      </w:r>
    </w:p>
    <w:p>
      <w:pPr>
        <w:spacing w:after="0"/>
        <w:rPr>
          <w:sz w:val="20"/>
          <w:szCs w:val="20"/>
          <w:color w:val="auto"/>
        </w:rPr>
      </w:pPr>
      <w:r>
        <w:rPr>
          <w:rFonts w:ascii="Arial" w:cs="Arial" w:eastAsia="Arial" w:hAnsi="Arial"/>
          <w:sz w:val="14"/>
          <w:szCs w:val="14"/>
          <w:color w:val="auto"/>
        </w:rPr>
        <w:t>$15,000 for Nominating and Governance Committee Chair</w:t>
      </w:r>
    </w:p>
    <w:p>
      <w:pPr>
        <w:spacing w:after="0" w:line="170" w:lineRule="exact"/>
        <w:rPr>
          <w:sz w:val="20"/>
          <w:szCs w:val="20"/>
          <w:color w:val="auto"/>
        </w:rPr>
      </w:pPr>
    </w:p>
    <w:p>
      <w:pPr>
        <w:sectPr>
          <w:pgSz w:w="11900" w:h="16838" w:orient="portrait"/>
          <w:cols w:equalWidth="0" w:num="2">
            <w:col w:w="3180" w:space="720"/>
            <w:col w:w="7360"/>
          </w:cols>
          <w:pgMar w:left="320" w:top="142" w:right="319" w:bottom="1440" w:gutter="0" w:footer="0" w:header="0"/>
          <w:type w:val="continuous"/>
        </w:sectPr>
      </w:pPr>
    </w:p>
    <w:p>
      <w:pPr>
        <w:ind w:left="440"/>
        <w:spacing w:after="0"/>
        <w:rPr>
          <w:sz w:val="20"/>
          <w:szCs w:val="20"/>
          <w:color w:val="auto"/>
        </w:rPr>
      </w:pPr>
      <w:r>
        <w:rPr>
          <w:rFonts w:ascii="Arial" w:cs="Arial" w:eastAsia="Arial" w:hAnsi="Arial"/>
          <w:sz w:val="15"/>
          <w:szCs w:val="15"/>
          <w:b w:val="1"/>
          <w:bCs w:val="1"/>
          <w:i w:val="1"/>
          <w:iCs w:val="1"/>
          <w:color w:val="auto"/>
        </w:rPr>
        <w:t>2020 Non-Employee Director Compensation</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In February 2020, the MD&amp;C Committee conducted its annual review of non-employee director compensation with the assistance of the independent third-party consultant. The MD&amp;C Committee recommended, and the Board of Directors approved, the following increases in Non-Employee Director Compensation, with such increases to take effect with the next installments to be paid or granted in July 2020: (a) annual grant of Common Stock increased from $155,000 to $165,000; (b) annual cash retainer increased from $110,000 to $115,000 and (c) annual cash retainer for the Nominating and Governance Committee Chair increased from $15,000 to $20,000. Prior to this change, non-employee director compensation had been held flat since February 2017.</w:t>
      </w:r>
    </w:p>
    <w:p>
      <w:pPr>
        <w:spacing w:after="0" w:line="155"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18" w:name="page19"/>
    <w:bookmarkEnd w:id="1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Stock Ownership Guidelines for Non-Employee Directors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non-employee directors are subject to ownership guidelines that establish a minimum ownership level and require that all net shares received in connection with a stock award, after selling shares to pay all applicable taxes, be held during their tenure as a director and for one year following termination of Board service. The MD&amp;C Committee amended the ownership guidelines for employees and directors in November 2018 to increase the assumed stock price from $60 per share to $80 per share, to better reflect more recent sustained market prices for our Common Stock. As a result, non-employee directors are now required to hold 7,000 shares, valued at approximately five times the 2019 annual cash retainer for non-employee directors. There is no deadline for non-employee directors to reach their ownership guideline; however, the MD&amp;C Committee performs regular reviews to confirm that all non-employee directors are in compliance or are showing sustained progress toward achievement of their ownership guideline. All of our non-employee directors have reached the ownership guideline, except our newest director, Mr. Plummer, is making appropriate progress toward his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Director Compensation Table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shows the aggregate cash paid, and stock awards issued, to the non-employee directors in 2019 in accordance with the descriptions set forth above:</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45"/>
        </w:trPr>
        <w:tc>
          <w:tcPr>
            <w:tcW w:w="2800" w:type="dxa"/>
            <w:vAlign w:val="bottom"/>
          </w:tcPr>
          <w:p>
            <w:pPr>
              <w:spacing w:after="0"/>
              <w:rPr>
                <w:sz w:val="12"/>
                <w:szCs w:val="12"/>
                <w:color w:val="auto"/>
              </w:rPr>
            </w:pPr>
          </w:p>
        </w:tc>
        <w:tc>
          <w:tcPr>
            <w:tcW w:w="2420" w:type="dxa"/>
            <w:vAlign w:val="bottom"/>
          </w:tcPr>
          <w:p>
            <w:pPr>
              <w:jc w:val="right"/>
              <w:ind w:right="410"/>
              <w:spacing w:after="0"/>
              <w:rPr>
                <w:sz w:val="20"/>
                <w:szCs w:val="20"/>
                <w:color w:val="auto"/>
              </w:rPr>
            </w:pPr>
            <w:r>
              <w:rPr>
                <w:rFonts w:ascii="Arial" w:cs="Arial" w:eastAsia="Arial" w:hAnsi="Arial"/>
                <w:sz w:val="12"/>
                <w:szCs w:val="12"/>
                <w:b w:val="1"/>
                <w:bCs w:val="1"/>
                <w:color w:val="477157"/>
              </w:rPr>
              <w:t>Fees Earned</w:t>
            </w:r>
          </w:p>
        </w:tc>
        <w:tc>
          <w:tcPr>
            <w:tcW w:w="1520" w:type="dxa"/>
            <w:vAlign w:val="bottom"/>
          </w:tcPr>
          <w:p>
            <w:pPr>
              <w:jc w:val="right"/>
              <w:ind w:right="430"/>
              <w:spacing w:after="0"/>
              <w:rPr>
                <w:sz w:val="20"/>
                <w:szCs w:val="20"/>
                <w:color w:val="auto"/>
              </w:rPr>
            </w:pPr>
            <w:r>
              <w:rPr>
                <w:rFonts w:ascii="Arial" w:cs="Arial" w:eastAsia="Arial" w:hAnsi="Arial"/>
                <w:sz w:val="12"/>
                <w:szCs w:val="12"/>
                <w:b w:val="1"/>
                <w:bCs w:val="1"/>
                <w:color w:val="477157"/>
              </w:rPr>
              <w:t>Stock</w:t>
            </w:r>
          </w:p>
        </w:tc>
        <w:tc>
          <w:tcPr>
            <w:tcW w:w="1020" w:type="dxa"/>
            <w:vAlign w:val="bottom"/>
          </w:tcPr>
          <w:p>
            <w:pPr>
              <w:spacing w:after="0"/>
              <w:rPr>
                <w:sz w:val="12"/>
                <w:szCs w:val="12"/>
                <w:color w:val="auto"/>
              </w:rPr>
            </w:pPr>
          </w:p>
        </w:tc>
      </w:tr>
      <w:tr>
        <w:trPr>
          <w:trHeight w:val="135"/>
        </w:trPr>
        <w:tc>
          <w:tcPr>
            <w:tcW w:w="2800" w:type="dxa"/>
            <w:vAlign w:val="bottom"/>
          </w:tcPr>
          <w:p>
            <w:pPr>
              <w:spacing w:after="0"/>
              <w:rPr>
                <w:sz w:val="11"/>
                <w:szCs w:val="11"/>
                <w:color w:val="auto"/>
              </w:rPr>
            </w:pPr>
          </w:p>
        </w:tc>
        <w:tc>
          <w:tcPr>
            <w:tcW w:w="2420" w:type="dxa"/>
            <w:vAlign w:val="bottom"/>
          </w:tcPr>
          <w:p>
            <w:pPr>
              <w:jc w:val="right"/>
              <w:ind w:right="410"/>
              <w:spacing w:after="0" w:line="136" w:lineRule="exact"/>
              <w:rPr>
                <w:sz w:val="20"/>
                <w:szCs w:val="20"/>
                <w:color w:val="auto"/>
              </w:rPr>
            </w:pPr>
            <w:r>
              <w:rPr>
                <w:rFonts w:ascii="Arial" w:cs="Arial" w:eastAsia="Arial" w:hAnsi="Arial"/>
                <w:sz w:val="12"/>
                <w:szCs w:val="12"/>
                <w:b w:val="1"/>
                <w:bCs w:val="1"/>
                <w:color w:val="477157"/>
              </w:rPr>
              <w:t>or Paid in</w:t>
            </w:r>
          </w:p>
        </w:tc>
        <w:tc>
          <w:tcPr>
            <w:tcW w:w="1520" w:type="dxa"/>
            <w:vAlign w:val="bottom"/>
          </w:tcPr>
          <w:p>
            <w:pPr>
              <w:jc w:val="right"/>
              <w:ind w:right="430"/>
              <w:spacing w:after="0" w:line="136" w:lineRule="exact"/>
              <w:rPr>
                <w:sz w:val="20"/>
                <w:szCs w:val="20"/>
                <w:color w:val="auto"/>
              </w:rPr>
            </w:pPr>
            <w:r>
              <w:rPr>
                <w:rFonts w:ascii="Arial" w:cs="Arial" w:eastAsia="Arial" w:hAnsi="Arial"/>
                <w:sz w:val="12"/>
                <w:szCs w:val="12"/>
                <w:b w:val="1"/>
                <w:bCs w:val="1"/>
                <w:color w:val="477157"/>
              </w:rPr>
              <w:t>Awards</w:t>
            </w:r>
          </w:p>
        </w:tc>
        <w:tc>
          <w:tcPr>
            <w:tcW w:w="1020" w:type="dxa"/>
            <w:vAlign w:val="bottom"/>
          </w:tcPr>
          <w:p>
            <w:pPr>
              <w:spacing w:after="0"/>
              <w:rPr>
                <w:sz w:val="11"/>
                <w:szCs w:val="11"/>
                <w:color w:val="auto"/>
              </w:rPr>
            </w:pPr>
          </w:p>
        </w:tc>
      </w:tr>
      <w:tr>
        <w:trPr>
          <w:trHeight w:val="158"/>
        </w:trPr>
        <w:tc>
          <w:tcPr>
            <w:tcW w:w="280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w:t>
            </w:r>
          </w:p>
        </w:tc>
        <w:tc>
          <w:tcPr>
            <w:tcW w:w="2420" w:type="dxa"/>
            <w:vAlign w:val="bottom"/>
            <w:tcBorders>
              <w:bottom w:val="single" w:sz="8" w:color="477157"/>
            </w:tcBorders>
          </w:tcPr>
          <w:p>
            <w:pPr>
              <w:jc w:val="right"/>
              <w:ind w:right="410"/>
              <w:spacing w:after="0"/>
              <w:rPr>
                <w:sz w:val="20"/>
                <w:szCs w:val="20"/>
                <w:color w:val="auto"/>
              </w:rPr>
            </w:pPr>
            <w:r>
              <w:rPr>
                <w:rFonts w:ascii="Arial" w:cs="Arial" w:eastAsia="Arial" w:hAnsi="Arial"/>
                <w:sz w:val="12"/>
                <w:szCs w:val="12"/>
                <w:b w:val="1"/>
                <w:bCs w:val="1"/>
                <w:color w:val="477157"/>
              </w:rPr>
              <w:t>Cash ($)</w:t>
            </w:r>
          </w:p>
        </w:tc>
        <w:tc>
          <w:tcPr>
            <w:tcW w:w="1520" w:type="dxa"/>
            <w:vAlign w:val="bottom"/>
            <w:tcBorders>
              <w:bottom w:val="single" w:sz="8" w:color="477157"/>
            </w:tcBorders>
          </w:tcPr>
          <w:p>
            <w:pPr>
              <w:jc w:val="right"/>
              <w:ind w:right="430"/>
              <w:spacing w:after="0" w:line="157"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(1)</w:t>
            </w:r>
          </w:p>
        </w:tc>
        <w:tc>
          <w:tcPr>
            <w:tcW w:w="1020" w:type="dxa"/>
            <w:vAlign w:val="bottom"/>
            <w:tcBorders>
              <w:bottom w:val="single" w:sz="8" w:color="477157"/>
            </w:tcBorders>
          </w:tcPr>
          <w:p>
            <w:pPr>
              <w:jc w:val="right"/>
              <w:spacing w:after="0"/>
              <w:rPr>
                <w:sz w:val="20"/>
                <w:szCs w:val="20"/>
                <w:color w:val="auto"/>
              </w:rPr>
            </w:pPr>
            <w:r>
              <w:rPr>
                <w:rFonts w:ascii="Arial" w:cs="Arial" w:eastAsia="Arial" w:hAnsi="Arial"/>
                <w:sz w:val="12"/>
                <w:szCs w:val="12"/>
                <w:b w:val="1"/>
                <w:bCs w:val="1"/>
                <w:color w:val="477157"/>
              </w:rPr>
              <w:t>Total ($)</w:t>
            </w:r>
          </w:p>
        </w:tc>
      </w:tr>
      <w:tr>
        <w:trPr>
          <w:trHeight w:val="160"/>
        </w:trPr>
        <w:tc>
          <w:tcPr>
            <w:tcW w:w="28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Frank M. Clark, Jr.</w:t>
            </w:r>
          </w:p>
        </w:tc>
        <w:tc>
          <w:tcPr>
            <w:tcW w:w="2420" w:type="dxa"/>
            <w:vAlign w:val="bottom"/>
            <w:tcBorders>
              <w:bottom w:val="single" w:sz="8" w:color="477157"/>
            </w:tcBorders>
          </w:tcPr>
          <w:p>
            <w:pPr>
              <w:jc w:val="right"/>
              <w:ind w:right="410"/>
              <w:spacing w:after="0" w:line="161" w:lineRule="exact"/>
              <w:rPr>
                <w:sz w:val="20"/>
                <w:szCs w:val="20"/>
                <w:color w:val="auto"/>
              </w:rPr>
            </w:pPr>
            <w:r>
              <w:rPr>
                <w:rFonts w:ascii="Arial" w:cs="Arial" w:eastAsia="Arial" w:hAnsi="Arial"/>
                <w:sz w:val="15"/>
                <w:szCs w:val="15"/>
                <w:color w:val="auto"/>
              </w:rPr>
              <w:t>130,000</w:t>
            </w:r>
          </w:p>
        </w:tc>
        <w:tc>
          <w:tcPr>
            <w:tcW w:w="1520" w:type="dxa"/>
            <w:vAlign w:val="bottom"/>
            <w:tcBorders>
              <w:bottom w:val="single" w:sz="8" w:color="477157"/>
            </w:tcBorders>
          </w:tcPr>
          <w:p>
            <w:pPr>
              <w:jc w:val="right"/>
              <w:ind w:right="430"/>
              <w:spacing w:after="0" w:line="161" w:lineRule="exact"/>
              <w:rPr>
                <w:sz w:val="20"/>
                <w:szCs w:val="20"/>
                <w:color w:val="auto"/>
              </w:rPr>
            </w:pPr>
            <w:r>
              <w:rPr>
                <w:rFonts w:ascii="Arial" w:cs="Arial" w:eastAsia="Arial" w:hAnsi="Arial"/>
                <w:sz w:val="15"/>
                <w:szCs w:val="15"/>
                <w:color w:val="auto"/>
              </w:rPr>
              <w:t>155,058</w:t>
            </w:r>
          </w:p>
        </w:tc>
        <w:tc>
          <w:tcPr>
            <w:tcW w:w="10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285,058</w:t>
            </w:r>
          </w:p>
        </w:tc>
      </w:tr>
      <w:tr>
        <w:trPr>
          <w:trHeight w:val="160"/>
        </w:trPr>
        <w:tc>
          <w:tcPr>
            <w:tcW w:w="28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Andrés R. Gluski</w:t>
            </w:r>
          </w:p>
        </w:tc>
        <w:tc>
          <w:tcPr>
            <w:tcW w:w="2420" w:type="dxa"/>
            <w:vAlign w:val="bottom"/>
            <w:tcBorders>
              <w:bottom w:val="single" w:sz="8" w:color="477157"/>
            </w:tcBorders>
          </w:tcPr>
          <w:p>
            <w:pPr>
              <w:jc w:val="right"/>
              <w:ind w:right="410"/>
              <w:spacing w:after="0" w:line="161" w:lineRule="exact"/>
              <w:rPr>
                <w:sz w:val="20"/>
                <w:szCs w:val="20"/>
                <w:color w:val="auto"/>
              </w:rPr>
            </w:pPr>
            <w:r>
              <w:rPr>
                <w:rFonts w:ascii="Arial" w:cs="Arial" w:eastAsia="Arial" w:hAnsi="Arial"/>
                <w:sz w:val="15"/>
                <w:szCs w:val="15"/>
                <w:color w:val="auto"/>
              </w:rPr>
              <w:t>110,000</w:t>
            </w:r>
          </w:p>
        </w:tc>
        <w:tc>
          <w:tcPr>
            <w:tcW w:w="1520" w:type="dxa"/>
            <w:vAlign w:val="bottom"/>
            <w:tcBorders>
              <w:bottom w:val="single" w:sz="8" w:color="477157"/>
            </w:tcBorders>
          </w:tcPr>
          <w:p>
            <w:pPr>
              <w:jc w:val="right"/>
              <w:ind w:right="430"/>
              <w:spacing w:after="0" w:line="161" w:lineRule="exact"/>
              <w:rPr>
                <w:sz w:val="20"/>
                <w:szCs w:val="20"/>
                <w:color w:val="auto"/>
              </w:rPr>
            </w:pPr>
            <w:r>
              <w:rPr>
                <w:rFonts w:ascii="Arial" w:cs="Arial" w:eastAsia="Arial" w:hAnsi="Arial"/>
                <w:sz w:val="15"/>
                <w:szCs w:val="15"/>
                <w:color w:val="auto"/>
              </w:rPr>
              <w:t>155,058</w:t>
            </w:r>
          </w:p>
        </w:tc>
        <w:tc>
          <w:tcPr>
            <w:tcW w:w="10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265,058</w:t>
            </w:r>
          </w:p>
        </w:tc>
      </w:tr>
      <w:tr>
        <w:trPr>
          <w:trHeight w:val="160"/>
        </w:trPr>
        <w:tc>
          <w:tcPr>
            <w:tcW w:w="28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Patrick W. Gross</w:t>
            </w:r>
          </w:p>
        </w:tc>
        <w:tc>
          <w:tcPr>
            <w:tcW w:w="2420" w:type="dxa"/>
            <w:vAlign w:val="bottom"/>
            <w:tcBorders>
              <w:bottom w:val="single" w:sz="8" w:color="477157"/>
            </w:tcBorders>
          </w:tcPr>
          <w:p>
            <w:pPr>
              <w:jc w:val="right"/>
              <w:ind w:right="410"/>
              <w:spacing w:after="0" w:line="161" w:lineRule="exact"/>
              <w:rPr>
                <w:sz w:val="20"/>
                <w:szCs w:val="20"/>
                <w:color w:val="auto"/>
              </w:rPr>
            </w:pPr>
            <w:r>
              <w:rPr>
                <w:rFonts w:ascii="Arial" w:cs="Arial" w:eastAsia="Arial" w:hAnsi="Arial"/>
                <w:sz w:val="15"/>
                <w:szCs w:val="15"/>
                <w:color w:val="auto"/>
              </w:rPr>
              <w:t>135,000</w:t>
            </w:r>
          </w:p>
        </w:tc>
        <w:tc>
          <w:tcPr>
            <w:tcW w:w="1520" w:type="dxa"/>
            <w:vAlign w:val="bottom"/>
            <w:tcBorders>
              <w:bottom w:val="single" w:sz="8" w:color="477157"/>
            </w:tcBorders>
          </w:tcPr>
          <w:p>
            <w:pPr>
              <w:jc w:val="right"/>
              <w:ind w:right="430"/>
              <w:spacing w:after="0" w:line="161" w:lineRule="exact"/>
              <w:rPr>
                <w:sz w:val="20"/>
                <w:szCs w:val="20"/>
                <w:color w:val="auto"/>
              </w:rPr>
            </w:pPr>
            <w:r>
              <w:rPr>
                <w:rFonts w:ascii="Arial" w:cs="Arial" w:eastAsia="Arial" w:hAnsi="Arial"/>
                <w:sz w:val="15"/>
                <w:szCs w:val="15"/>
                <w:color w:val="auto"/>
              </w:rPr>
              <w:t>155,058</w:t>
            </w:r>
          </w:p>
        </w:tc>
        <w:tc>
          <w:tcPr>
            <w:tcW w:w="10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290,058</w:t>
            </w:r>
          </w:p>
        </w:tc>
      </w:tr>
      <w:tr>
        <w:trPr>
          <w:trHeight w:val="160"/>
        </w:trPr>
        <w:tc>
          <w:tcPr>
            <w:tcW w:w="28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Victoria M. Holt</w:t>
            </w:r>
          </w:p>
        </w:tc>
        <w:tc>
          <w:tcPr>
            <w:tcW w:w="2420" w:type="dxa"/>
            <w:vAlign w:val="bottom"/>
            <w:tcBorders>
              <w:bottom w:val="single" w:sz="8" w:color="477157"/>
            </w:tcBorders>
          </w:tcPr>
          <w:p>
            <w:pPr>
              <w:jc w:val="right"/>
              <w:ind w:right="410"/>
              <w:spacing w:after="0" w:line="161" w:lineRule="exact"/>
              <w:rPr>
                <w:sz w:val="20"/>
                <w:szCs w:val="20"/>
                <w:color w:val="auto"/>
              </w:rPr>
            </w:pPr>
            <w:r>
              <w:rPr>
                <w:rFonts w:ascii="Arial" w:cs="Arial" w:eastAsia="Arial" w:hAnsi="Arial"/>
                <w:sz w:val="15"/>
                <w:szCs w:val="15"/>
                <w:color w:val="auto"/>
              </w:rPr>
              <w:t>110,000</w:t>
            </w:r>
          </w:p>
        </w:tc>
        <w:tc>
          <w:tcPr>
            <w:tcW w:w="1520" w:type="dxa"/>
            <w:vAlign w:val="bottom"/>
            <w:tcBorders>
              <w:bottom w:val="single" w:sz="8" w:color="477157"/>
            </w:tcBorders>
          </w:tcPr>
          <w:p>
            <w:pPr>
              <w:jc w:val="right"/>
              <w:ind w:right="430"/>
              <w:spacing w:after="0" w:line="161" w:lineRule="exact"/>
              <w:rPr>
                <w:sz w:val="20"/>
                <w:szCs w:val="20"/>
                <w:color w:val="auto"/>
              </w:rPr>
            </w:pPr>
            <w:r>
              <w:rPr>
                <w:rFonts w:ascii="Arial" w:cs="Arial" w:eastAsia="Arial" w:hAnsi="Arial"/>
                <w:sz w:val="15"/>
                <w:szCs w:val="15"/>
                <w:color w:val="auto"/>
              </w:rPr>
              <w:t>155,058</w:t>
            </w:r>
          </w:p>
        </w:tc>
        <w:tc>
          <w:tcPr>
            <w:tcW w:w="10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265,058</w:t>
            </w:r>
          </w:p>
        </w:tc>
      </w:tr>
      <w:tr>
        <w:trPr>
          <w:trHeight w:val="160"/>
        </w:trPr>
        <w:tc>
          <w:tcPr>
            <w:tcW w:w="28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Kathleen M. Mazzarella</w:t>
            </w:r>
          </w:p>
        </w:tc>
        <w:tc>
          <w:tcPr>
            <w:tcW w:w="2420" w:type="dxa"/>
            <w:vAlign w:val="bottom"/>
            <w:tcBorders>
              <w:bottom w:val="single" w:sz="8" w:color="477157"/>
            </w:tcBorders>
          </w:tcPr>
          <w:p>
            <w:pPr>
              <w:jc w:val="right"/>
              <w:ind w:right="410"/>
              <w:spacing w:after="0" w:line="161" w:lineRule="exact"/>
              <w:rPr>
                <w:sz w:val="20"/>
                <w:szCs w:val="20"/>
                <w:color w:val="auto"/>
              </w:rPr>
            </w:pPr>
            <w:r>
              <w:rPr>
                <w:rFonts w:ascii="Arial" w:cs="Arial" w:eastAsia="Arial" w:hAnsi="Arial"/>
                <w:sz w:val="15"/>
                <w:szCs w:val="15"/>
                <w:color w:val="auto"/>
              </w:rPr>
              <w:t>125,000</w:t>
            </w:r>
          </w:p>
        </w:tc>
        <w:tc>
          <w:tcPr>
            <w:tcW w:w="1520" w:type="dxa"/>
            <w:vAlign w:val="bottom"/>
            <w:tcBorders>
              <w:bottom w:val="single" w:sz="8" w:color="477157"/>
            </w:tcBorders>
          </w:tcPr>
          <w:p>
            <w:pPr>
              <w:jc w:val="right"/>
              <w:ind w:right="430"/>
              <w:spacing w:after="0" w:line="161" w:lineRule="exact"/>
              <w:rPr>
                <w:sz w:val="20"/>
                <w:szCs w:val="20"/>
                <w:color w:val="auto"/>
              </w:rPr>
            </w:pPr>
            <w:r>
              <w:rPr>
                <w:rFonts w:ascii="Arial" w:cs="Arial" w:eastAsia="Arial" w:hAnsi="Arial"/>
                <w:sz w:val="15"/>
                <w:szCs w:val="15"/>
                <w:color w:val="auto"/>
              </w:rPr>
              <w:t>155,058</w:t>
            </w:r>
          </w:p>
        </w:tc>
        <w:tc>
          <w:tcPr>
            <w:tcW w:w="10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280,058</w:t>
            </w:r>
          </w:p>
        </w:tc>
      </w:tr>
      <w:tr>
        <w:trPr>
          <w:trHeight w:val="194"/>
        </w:trPr>
        <w:tc>
          <w:tcPr>
            <w:tcW w:w="2800" w:type="dxa"/>
            <w:vAlign w:val="bottom"/>
            <w:tcBorders>
              <w:bottom w:val="single" w:sz="8" w:color="477157"/>
            </w:tcBorders>
          </w:tcPr>
          <w:p>
            <w:pPr>
              <w:spacing w:after="0" w:line="194" w:lineRule="exact"/>
              <w:rPr>
                <w:sz w:val="20"/>
                <w:szCs w:val="20"/>
                <w:color w:val="auto"/>
              </w:rPr>
            </w:pPr>
            <w:r>
              <w:rPr>
                <w:rFonts w:ascii="Arial" w:cs="Arial" w:eastAsia="Arial" w:hAnsi="Arial"/>
                <w:sz w:val="14"/>
                <w:szCs w:val="14"/>
                <w:color w:val="auto"/>
              </w:rPr>
              <w:t>William B. Plummer</w:t>
            </w:r>
            <w:r>
              <w:rPr>
                <w:rFonts w:ascii="Arial" w:cs="Arial" w:eastAsia="Arial" w:hAnsi="Arial"/>
                <w:sz w:val="22"/>
                <w:szCs w:val="22"/>
                <w:color w:val="auto"/>
                <w:vertAlign w:val="superscript"/>
              </w:rPr>
              <w:t>(2)</w:t>
            </w:r>
          </w:p>
        </w:tc>
        <w:tc>
          <w:tcPr>
            <w:tcW w:w="2420" w:type="dxa"/>
            <w:vAlign w:val="bottom"/>
            <w:tcBorders>
              <w:bottom w:val="single" w:sz="8" w:color="477157"/>
            </w:tcBorders>
          </w:tcPr>
          <w:p>
            <w:pPr>
              <w:jc w:val="right"/>
              <w:ind w:right="410"/>
              <w:spacing w:after="0"/>
              <w:rPr>
                <w:sz w:val="20"/>
                <w:szCs w:val="20"/>
                <w:color w:val="auto"/>
              </w:rPr>
            </w:pPr>
            <w:r>
              <w:rPr>
                <w:rFonts w:ascii="Arial" w:cs="Arial" w:eastAsia="Arial" w:hAnsi="Arial"/>
                <w:sz w:val="15"/>
                <w:szCs w:val="15"/>
                <w:color w:val="auto"/>
              </w:rPr>
              <w:t>44,500</w:t>
            </w:r>
          </w:p>
        </w:tc>
        <w:tc>
          <w:tcPr>
            <w:tcW w:w="1520" w:type="dxa"/>
            <w:vAlign w:val="bottom"/>
            <w:tcBorders>
              <w:bottom w:val="single" w:sz="8" w:color="477157"/>
            </w:tcBorders>
          </w:tcPr>
          <w:p>
            <w:pPr>
              <w:jc w:val="right"/>
              <w:ind w:right="430"/>
              <w:spacing w:after="0"/>
              <w:rPr>
                <w:sz w:val="20"/>
                <w:szCs w:val="20"/>
                <w:color w:val="auto"/>
              </w:rPr>
            </w:pPr>
            <w:r>
              <w:rPr>
                <w:rFonts w:ascii="Arial" w:cs="Arial" w:eastAsia="Arial" w:hAnsi="Arial"/>
                <w:sz w:val="15"/>
                <w:szCs w:val="15"/>
                <w:color w:val="auto"/>
              </w:rPr>
              <w:t>62,779</w:t>
            </w:r>
          </w:p>
        </w:tc>
        <w:tc>
          <w:tcPr>
            <w:tcW w:w="102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107,279</w:t>
            </w:r>
          </w:p>
        </w:tc>
      </w:tr>
      <w:tr>
        <w:trPr>
          <w:trHeight w:val="160"/>
        </w:trPr>
        <w:tc>
          <w:tcPr>
            <w:tcW w:w="28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John C. Pope</w:t>
            </w:r>
          </w:p>
        </w:tc>
        <w:tc>
          <w:tcPr>
            <w:tcW w:w="2420" w:type="dxa"/>
            <w:vAlign w:val="bottom"/>
            <w:tcBorders>
              <w:bottom w:val="single" w:sz="8" w:color="477157"/>
            </w:tcBorders>
          </w:tcPr>
          <w:p>
            <w:pPr>
              <w:jc w:val="right"/>
              <w:ind w:right="410"/>
              <w:spacing w:after="0" w:line="161" w:lineRule="exact"/>
              <w:rPr>
                <w:sz w:val="20"/>
                <w:szCs w:val="20"/>
                <w:color w:val="auto"/>
              </w:rPr>
            </w:pPr>
            <w:r>
              <w:rPr>
                <w:rFonts w:ascii="Arial" w:cs="Arial" w:eastAsia="Arial" w:hAnsi="Arial"/>
                <w:sz w:val="15"/>
                <w:szCs w:val="15"/>
                <w:color w:val="auto"/>
              </w:rPr>
              <w:t>110,000</w:t>
            </w:r>
          </w:p>
        </w:tc>
        <w:tc>
          <w:tcPr>
            <w:tcW w:w="1520" w:type="dxa"/>
            <w:vAlign w:val="bottom"/>
            <w:tcBorders>
              <w:bottom w:val="single" w:sz="8" w:color="477157"/>
            </w:tcBorders>
          </w:tcPr>
          <w:p>
            <w:pPr>
              <w:jc w:val="right"/>
              <w:ind w:right="430"/>
              <w:spacing w:after="0" w:line="161" w:lineRule="exact"/>
              <w:rPr>
                <w:sz w:val="20"/>
                <w:szCs w:val="20"/>
                <w:color w:val="auto"/>
              </w:rPr>
            </w:pPr>
            <w:r>
              <w:rPr>
                <w:rFonts w:ascii="Arial" w:cs="Arial" w:eastAsia="Arial" w:hAnsi="Arial"/>
                <w:sz w:val="15"/>
                <w:szCs w:val="15"/>
                <w:color w:val="auto"/>
              </w:rPr>
              <w:t>155,058</w:t>
            </w:r>
          </w:p>
        </w:tc>
        <w:tc>
          <w:tcPr>
            <w:tcW w:w="10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265,058</w:t>
            </w:r>
          </w:p>
        </w:tc>
      </w:tr>
      <w:tr>
        <w:trPr>
          <w:trHeight w:val="160"/>
        </w:trPr>
        <w:tc>
          <w:tcPr>
            <w:tcW w:w="28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Thomas H. Weidemeyer</w:t>
            </w:r>
          </w:p>
        </w:tc>
        <w:tc>
          <w:tcPr>
            <w:tcW w:w="2420" w:type="dxa"/>
            <w:vAlign w:val="bottom"/>
            <w:tcBorders>
              <w:bottom w:val="single" w:sz="8" w:color="477157"/>
            </w:tcBorders>
          </w:tcPr>
          <w:p>
            <w:pPr>
              <w:jc w:val="right"/>
              <w:ind w:right="410"/>
              <w:spacing w:after="0" w:line="161" w:lineRule="exact"/>
              <w:rPr>
                <w:sz w:val="20"/>
                <w:szCs w:val="20"/>
                <w:color w:val="auto"/>
              </w:rPr>
            </w:pPr>
            <w:r>
              <w:rPr>
                <w:rFonts w:ascii="Arial" w:cs="Arial" w:eastAsia="Arial" w:hAnsi="Arial"/>
                <w:sz w:val="15"/>
                <w:szCs w:val="15"/>
                <w:color w:val="auto"/>
              </w:rPr>
              <w:t>210,000</w:t>
            </w:r>
          </w:p>
        </w:tc>
        <w:tc>
          <w:tcPr>
            <w:tcW w:w="1520" w:type="dxa"/>
            <w:vAlign w:val="bottom"/>
            <w:tcBorders>
              <w:bottom w:val="single" w:sz="8" w:color="477157"/>
            </w:tcBorders>
          </w:tcPr>
          <w:p>
            <w:pPr>
              <w:jc w:val="right"/>
              <w:ind w:right="430"/>
              <w:spacing w:after="0" w:line="161" w:lineRule="exact"/>
              <w:rPr>
                <w:sz w:val="20"/>
                <w:szCs w:val="20"/>
                <w:color w:val="auto"/>
              </w:rPr>
            </w:pPr>
            <w:r>
              <w:rPr>
                <w:rFonts w:ascii="Arial" w:cs="Arial" w:eastAsia="Arial" w:hAnsi="Arial"/>
                <w:sz w:val="15"/>
                <w:szCs w:val="15"/>
                <w:color w:val="auto"/>
              </w:rPr>
              <w:t>254,956</w:t>
            </w:r>
          </w:p>
        </w:tc>
        <w:tc>
          <w:tcPr>
            <w:tcW w:w="10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464,956</w:t>
            </w:r>
          </w:p>
        </w:tc>
      </w:tr>
    </w:tbl>
    <w:p>
      <w:pPr>
        <w:spacing w:after="0" w:line="183" w:lineRule="exact"/>
        <w:rPr>
          <w:sz w:val="20"/>
          <w:szCs w:val="20"/>
          <w:color w:val="auto"/>
        </w:rPr>
      </w:pPr>
    </w:p>
    <w:p>
      <w:pPr>
        <w:jc w:val="both"/>
        <w:ind w:left="2140" w:hanging="460"/>
        <w:spacing w:after="0" w:line="237" w:lineRule="auto"/>
        <w:tabs>
          <w:tab w:leader="none" w:pos="21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Amounts in this column represent the grant date fair value of stock awards granted in 2019,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175" w:lineRule="exact"/>
        <w:rPr>
          <w:rFonts w:ascii="Arial" w:cs="Arial" w:eastAsia="Arial" w:hAnsi="Arial"/>
          <w:sz w:val="15"/>
          <w:szCs w:val="15"/>
          <w:color w:val="auto"/>
        </w:rPr>
      </w:pPr>
    </w:p>
    <w:p>
      <w:pPr>
        <w:ind w:left="2140" w:hanging="460"/>
        <w:spacing w:after="0"/>
        <w:tabs>
          <w:tab w:leader="none" w:pos="21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Prorated compensation for the period from Mr. Plummer's election on August 19, 2019 through December 31, 2019.</w:t>
      </w:r>
    </w:p>
    <w:p>
      <w:pPr>
        <w:spacing w:after="0" w:line="147"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16</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36"/>
          <w:szCs w:val="36"/>
          <w:color w:val="477157"/>
        </w:rPr>
        <w:t>ELECTION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477157"/>
        </w:rPr>
        <w:t>(Item 1 on the Proxy Card)</w:t>
      </w:r>
    </w:p>
    <w:p>
      <w:pPr>
        <w:spacing w:after="0" w:line="38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first item on the proxy card is the election of eight directors to serve until the 2021 Annual Meeting of Stockholders or until their respective successors have been duly elected and qualified. The Board has nominated the eight director candidates named below and recommends that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By-laws provide that if the number of shares voted "for" any director nominee does not exceed 50% of the votes cast with respect to that director, he or she will tender his or her resignation to the Board of Directors contingent on the acceptance of such resignation by the Board. The Nominating and Governance Committee will then make a recommendation to the Board on whether to accept or reject the resignation, or whether other action should be taken.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The Board will act on the resignation, taking into account the Nomination and Governance Committee's recommendation, and publicly disclose its decision and rationale behind it within 90 days of the date of the certification of the election results.</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table below shows all of our director nominees; their ages, terms of office on our Board; experience within at least the past five years; and qualifications our Board considered when inviting them to serve as a director as well as nominating them for re-election. We believe that, as a general matter, our directors' past five years of experience gives an indication of the wealth of knowledge and experience these individuals have and that our Board considered; however, we have also included specific skills and areas of expertise that makes each of these individuals a valuable member of our Board. Each of the director nominees currently serves on our Board of Directors.</w:t>
      </w:r>
    </w:p>
    <w:p>
      <w:pPr>
        <w:spacing w:after="0" w:line="200" w:lineRule="exact"/>
        <w:rPr>
          <w:sz w:val="20"/>
          <w:szCs w:val="20"/>
          <w:color w:val="auto"/>
        </w:rPr>
      </w:pPr>
    </w:p>
    <w:p>
      <w:pPr>
        <w:sectPr>
          <w:pgSz w:w="11900" w:h="16838" w:orient="portrait"/>
          <w:cols w:equalWidth="0" w:num="2">
            <w:col w:w="5280" w:space="680"/>
            <w:col w:w="5300"/>
          </w:cols>
          <w:pgMar w:left="320" w:top="142" w:right="31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477157"/>
        </w:rPr>
        <w:t>Director Nominees</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E"/>
        </w:rPr>
        <w:t>FRANK M. CLARK,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1187450" cy="2769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87450" cy="276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 xml:space="preserve">Age: </w:t>
      </w:r>
      <w:r>
        <w:rPr>
          <w:rFonts w:ascii="Arial" w:cs="Arial" w:eastAsia="Arial" w:hAnsi="Arial"/>
          <w:sz w:val="15"/>
          <w:szCs w:val="15"/>
          <w:color w:val="000000"/>
        </w:rPr>
        <w:t>74</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Director since: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5"/>
          <w:szCs w:val="15"/>
          <w:color w:val="auto"/>
        </w:rPr>
        <w:t>2002</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Board Committees:</w:t>
      </w:r>
    </w:p>
    <w:p>
      <w:pPr>
        <w:spacing w:after="0" w:line="195" w:lineRule="exact"/>
        <w:rPr>
          <w:sz w:val="20"/>
          <w:szCs w:val="20"/>
          <w:color w:val="auto"/>
        </w:rPr>
      </w:pPr>
    </w:p>
    <w:p>
      <w:pPr>
        <w:ind w:left="40" w:right="60"/>
        <w:spacing w:after="0" w:line="263" w:lineRule="auto"/>
        <w:rPr>
          <w:sz w:val="20"/>
          <w:szCs w:val="20"/>
          <w:color w:val="auto"/>
        </w:rPr>
      </w:pPr>
      <w:r>
        <w:rPr>
          <w:rFonts w:ascii="Arial" w:cs="Arial" w:eastAsia="Arial" w:hAnsi="Arial"/>
          <w:sz w:val="14"/>
          <w:szCs w:val="14"/>
          <w:color w:val="auto"/>
        </w:rPr>
        <w:t>Audit and Management Development &amp; 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-442595</wp:posOffset>
            </wp:positionV>
            <wp:extent cx="7155180" cy="3435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5180" cy="343535"/>
                    </a:xfrm>
                    <a:prstGeom prst="rect">
                      <a:avLst/>
                    </a:prstGeom>
                    <a:noFill/>
                  </pic:spPr>
                </pic:pic>
              </a:graphicData>
            </a:graphic>
          </wp:anchor>
        </w:drawing>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5"/>
          <w:szCs w:val="15"/>
          <w:color w:val="auto"/>
        </w:rPr>
        <w:t>Chairman and Chief Executive Officer — ComEd (energy services company and subsidiary of Exelon Corporation) from 2005 to 2012; President — ComEd from 2001 to 2005.</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5"/>
          <w:szCs w:val="15"/>
          <w:color w:val="auto"/>
        </w:rPr>
        <w:t>Executive Vice President and Chief of Staff — Exelon Corporation (public utility holding company) from 2004 to 2005; Senior Vice President — Exelon Corporation from 2001 to 2004.</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President of the Chicago Board of Education.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Director of Aetna, Inc. from 2006 to November 2018.</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Director of BMO Financial Corp., a private company, from 2005 to December 2016.</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QUALIFICATIONS</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Mr. Clark served in executive positions at a large public utility company for over a decade, providing him with extensive experience and knowledge of large company management, operations and business critical functions. His background in policy-related matters, including regulatory and governmental affairs, human resources and labor relations are a valuable asset to the Company. He also brings over 15 years of experience as a member of a public company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133350</wp:posOffset>
            </wp:positionV>
            <wp:extent cx="7160260"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-99060</wp:posOffset>
            </wp:positionV>
            <wp:extent cx="429260" cy="114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2">
            <w:col w:w="1600" w:space="420"/>
            <w:col w:w="9240"/>
          </w:cols>
          <w:pgMar w:left="320" w:top="142" w:right="319" w:bottom="1440" w:gutter="0" w:footer="0" w:header="0"/>
          <w:type w:val="continuous"/>
        </w:sectPr>
      </w:pPr>
    </w:p>
    <w:bookmarkStart w:id="20" w:name="page21"/>
    <w:bookmarkEnd w:id="2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155180" cy="3435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5180" cy="343535"/>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FFFFFE"/>
        </w:rPr>
        <w:t>JAMES C. FISH, JR.</w:t>
      </w:r>
    </w:p>
    <w:p>
      <w:pPr>
        <w:spacing w:after="0" w:line="166" w:lineRule="exact"/>
        <w:rPr>
          <w:sz w:val="20"/>
          <w:szCs w:val="20"/>
          <w:color w:val="auto"/>
        </w:rPr>
      </w:pPr>
    </w:p>
    <w:p>
      <w:pPr>
        <w:ind w:left="2020"/>
        <w:spacing w:after="0"/>
        <w:rPr>
          <w:sz w:val="20"/>
          <w:szCs w:val="20"/>
          <w:color w:val="auto"/>
        </w:rPr>
      </w:pPr>
      <w:r>
        <w:rPr>
          <w:rFonts w:ascii="Arial" w:cs="Arial" w:eastAsia="Arial" w:hAnsi="Arial"/>
          <w:sz w:val="15"/>
          <w:szCs w:val="15"/>
          <w:b w:val="1"/>
          <w:bCs w:val="1"/>
          <w:color w:val="477157"/>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1187450" cy="2196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87450" cy="2196465"/>
                    </a:xfrm>
                    <a:prstGeom prst="rect">
                      <a:avLst/>
                    </a:prstGeom>
                    <a:noFill/>
                  </pic:spPr>
                </pic:pic>
              </a:graphicData>
            </a:graphic>
          </wp:anchor>
        </w:drawing>
      </w:r>
    </w:p>
    <w:p>
      <w:pPr>
        <w:spacing w:after="0" w:line="175"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President and Chief Financial Officer from July 2016 to November 2016.</w:t>
      </w:r>
    </w:p>
    <w:p>
      <w:pPr>
        <w:spacing w:after="0" w:line="177"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Executive Vice President and Chief Financial Officer from 2012 to July 2016.</w:t>
      </w:r>
    </w:p>
    <w:p>
      <w:pPr>
        <w:spacing w:after="0" w:line="177"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Senior Vice President — Eastern Group from 2011 to 2012.</w:t>
      </w:r>
    </w:p>
    <w:p>
      <w:pPr>
        <w:spacing w:after="0" w:line="177"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Area Vice President — Pennsylvania and West Virginia Area from 2009 to 2011.</w:t>
      </w:r>
    </w:p>
    <w:p>
      <w:pPr>
        <w:spacing w:after="0" w:line="177"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Market Area General Manager — Western Pennsylvania/West Virginia from 2008 to 2009 and Rhode Island/Southern Massachusetts from 2006 to 2008.</w:t>
      </w:r>
    </w:p>
    <w:p>
      <w:pPr>
        <w:sectPr>
          <w:pgSz w:w="11900" w:h="16838" w:orient="portrait"/>
          <w:cols w:equalWidth="0" w:num="1">
            <w:col w:w="11260"/>
          </w:cols>
          <w:pgMar w:left="320" w:top="142" w:right="319" w:bottom="1440" w:gutter="0" w:footer="0" w:header="0"/>
        </w:sect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 xml:space="preserve">Age: </w:t>
      </w:r>
      <w:r>
        <w:rPr>
          <w:rFonts w:ascii="Arial" w:cs="Arial" w:eastAsia="Arial" w:hAnsi="Arial"/>
          <w:sz w:val="15"/>
          <w:szCs w:val="15"/>
          <w:color w:val="000000"/>
        </w:rPr>
        <w:t>57</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477157"/>
        </w:rPr>
        <w:t>Director since: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November 2016</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QUALIFICATIONS</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Mr. Fish has been our President and Chief Executive Officer and a member of the Board of Directors since November 2016. Mr. Fish joined the Company in 2001 and held several key positions with the Company prior to his promotion, including Executive Vice President and Chief Financial Officer, Senior Vice President for the Company's Eastern Group, Area Vice President for the Pennsylvania and West Virginia Area and Vice President of Price Management. As a result, Mr. Fish has a broad and deep understanding of the Company and the strategic actions necessary to deliver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330200</wp:posOffset>
            </wp:positionV>
            <wp:extent cx="7155180" cy="3435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5180" cy="3435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00" w:space="720"/>
            <w:col w:w="9240"/>
          </w:cols>
          <w:pgMar w:left="320" w:top="142" w:right="31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FFFFFE"/>
        </w:rPr>
        <w:t>ANDRÉS R. GLUSKI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114935</wp:posOffset>
            </wp:positionV>
            <wp:extent cx="1187450" cy="2482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87450" cy="248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 xml:space="preserve">Age: </w:t>
      </w:r>
      <w:r>
        <w:rPr>
          <w:rFonts w:ascii="Arial" w:cs="Arial" w:eastAsia="Arial" w:hAnsi="Arial"/>
          <w:sz w:val="15"/>
          <w:szCs w:val="15"/>
          <w:color w:val="000000"/>
        </w:rPr>
        <w:t>62</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Director since: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5"/>
          <w:szCs w:val="15"/>
          <w:color w:val="auto"/>
        </w:rPr>
        <w:t>January 2015</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Board Committees:</w:t>
      </w:r>
    </w:p>
    <w:p>
      <w:pPr>
        <w:spacing w:after="0" w:line="195" w:lineRule="exact"/>
        <w:rPr>
          <w:sz w:val="20"/>
          <w:szCs w:val="20"/>
          <w:color w:val="auto"/>
        </w:rPr>
      </w:pPr>
    </w:p>
    <w:p>
      <w:pPr>
        <w:ind w:left="40"/>
        <w:spacing w:after="0" w:line="263" w:lineRule="auto"/>
        <w:rPr>
          <w:sz w:val="20"/>
          <w:szCs w:val="20"/>
          <w:color w:val="auto"/>
        </w:rPr>
      </w:pPr>
      <w:r>
        <w:rPr>
          <w:rFonts w:ascii="Arial" w:cs="Arial" w:eastAsia="Arial" w:hAnsi="Arial"/>
          <w:sz w:val="14"/>
          <w:szCs w:val="14"/>
          <w:color w:val="auto"/>
        </w:rPr>
        <w:t>Audit and Management Development &amp;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POSITION AND BUSINESS EXPERIENCE</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5"/>
          <w:szCs w:val="15"/>
          <w:color w:val="auto"/>
        </w:rPr>
        <w:t>President, Chief Executive Officer and Director — The AES Corporation (global energy company) since 2011; Executive Vice President and Chief Operating Officer — The AES Corporation from 2007 to 2011.</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Director of AES Gener (Chile) from 2005 to January 2020.</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Director of Cliffs Natural Resources from 2011 to July 2014.</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QUALIFICATIONS</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Mr. Gluski has been President and CEO of The AES Corporation, a Fortune 500 company in the electricity sector, since 2011. During his tenure, he has led the transformation of the company from a mainly fossil based generation provider to a leader in renewable energy, energy storage and cloud-based energy efficiency services. Mr. Gluski has extensive experience in finance, operations and turnarounds. He is currently on the Board of Directors of the Edison Electric Institute, Chairman of the Council of the Americas and has been voted one of the "Most Influential Leaders" by Latino Leaders magazine.</w:t>
      </w:r>
    </w:p>
    <w:p>
      <w:pPr>
        <w:spacing w:after="0" w:line="1303" w:lineRule="exact"/>
        <w:rPr>
          <w:sz w:val="20"/>
          <w:szCs w:val="20"/>
          <w:color w:val="auto"/>
        </w:rPr>
      </w:pPr>
    </w:p>
    <w:p>
      <w:pPr>
        <w:sectPr>
          <w:pgSz w:w="11900" w:h="16838" w:orient="portrait"/>
          <w:cols w:equalWidth="0" w:num="2">
            <w:col w:w="1540" w:space="480"/>
            <w:col w:w="9240"/>
          </w:cols>
          <w:pgMar w:left="320" w:top="142" w:right="319" w:bottom="1440" w:gutter="0" w:footer="0" w:header="0"/>
          <w:type w:val="continuous"/>
        </w:sectPr>
      </w:pPr>
    </w:p>
    <w:p>
      <w:pPr>
        <w:spacing w:after="0"/>
        <w:tabs>
          <w:tab w:leader="none" w:pos="340" w:val="left"/>
        </w:tabs>
        <w:rPr>
          <w:sz w:val="20"/>
          <w:szCs w:val="20"/>
          <w:color w:val="auto"/>
        </w:rPr>
      </w:pPr>
      <w:r>
        <w:rPr>
          <w:rFonts w:ascii="Arial" w:cs="Arial" w:eastAsia="Arial" w:hAnsi="Arial"/>
          <w:sz w:val="15"/>
          <w:szCs w:val="15"/>
          <w:color w:val="auto"/>
        </w:rPr>
        <w:t>18</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715518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FFFFFE"/>
        </w:rPr>
        <w:t>VICTORIA M.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114935</wp:posOffset>
            </wp:positionV>
            <wp:extent cx="1187450" cy="28689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87450" cy="286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 xml:space="preserve">Age: </w:t>
      </w:r>
      <w:r>
        <w:rPr>
          <w:rFonts w:ascii="Arial" w:cs="Arial" w:eastAsia="Arial" w:hAnsi="Arial"/>
          <w:sz w:val="15"/>
          <w:szCs w:val="15"/>
          <w:color w:val="000000"/>
        </w:rPr>
        <w:t>62</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Director since: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5"/>
          <w:szCs w:val="15"/>
          <w:color w:val="auto"/>
        </w:rPr>
        <w:t>2013</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Board Committees:</w:t>
      </w:r>
    </w:p>
    <w:p>
      <w:pPr>
        <w:spacing w:after="0" w:line="195" w:lineRule="exact"/>
        <w:rPr>
          <w:sz w:val="20"/>
          <w:szCs w:val="20"/>
          <w:color w:val="auto"/>
        </w:rPr>
      </w:pPr>
    </w:p>
    <w:p>
      <w:pPr>
        <w:ind w:left="40"/>
        <w:spacing w:after="0" w:line="263" w:lineRule="auto"/>
        <w:rPr>
          <w:sz w:val="20"/>
          <w:szCs w:val="20"/>
          <w:color w:val="auto"/>
        </w:rPr>
      </w:pPr>
      <w:r>
        <w:rPr>
          <w:rFonts w:ascii="Arial" w:cs="Arial" w:eastAsia="Arial" w:hAnsi="Arial"/>
          <w:sz w:val="14"/>
          <w:szCs w:val="14"/>
          <w:color w:val="auto"/>
        </w:rPr>
        <w:t>Audit and Management Development &amp; Compensation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7620</wp:posOffset>
            </wp:positionV>
            <wp:extent cx="7155180" cy="3435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5180" cy="34353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POSITION AND BUSINESS EXPERIENCE</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5"/>
          <w:szCs w:val="15"/>
          <w:color w:val="auto"/>
        </w:rPr>
        <w:t>President, Chief Executive Officer and Director — Proto Labs, Inc. (online and technology-enabled quick-turn manufacturer) since February 2014.</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5"/>
          <w:szCs w:val="15"/>
          <w:color w:val="auto"/>
        </w:rPr>
        <w:t>President and Chief Executive Officer — Spartech Corporation (a leading producer of plastic sheet, compounds and packaging products) from 2010 to 2013; Director of Spartech Corporation from 2005 to 2013.</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Director of Piper Sandler Companies (formerly Piper Jaffray Companies) since September 2019.</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Director of Watlow Electric Manufacturing Company, a private company, since 2012.</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QUALIFICATIONS</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Ms. Holt has served in executive positions at public companies for many years, providing her with extensive knowledge about operations, management, logistical requirements and measuring financial performance of large public companies. Her background and education provide her with expertise in applying environmental solutions critical to our Company's strategy. She also has many years of experience serving on a public company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1225550</wp:posOffset>
            </wp:positionV>
            <wp:extent cx="7155180" cy="3435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5180" cy="343535"/>
                    </a:xfrm>
                    <a:prstGeom prst="rect">
                      <a:avLst/>
                    </a:prstGeom>
                    <a:noFill/>
                  </pic:spPr>
                </pic:pic>
              </a:graphicData>
            </a:graphic>
          </wp:anchor>
        </w:drawing>
      </w:r>
    </w:p>
    <w:p>
      <w:pPr>
        <w:spacing w:after="0" w:line="1625" w:lineRule="exact"/>
        <w:rPr>
          <w:sz w:val="20"/>
          <w:szCs w:val="20"/>
          <w:color w:val="auto"/>
        </w:rPr>
      </w:pPr>
    </w:p>
    <w:p>
      <w:pPr>
        <w:sectPr>
          <w:pgSz w:w="11900" w:h="16838" w:orient="portrait"/>
          <w:cols w:equalWidth="0" w:num="2">
            <w:col w:w="1540" w:space="480"/>
            <w:col w:w="9240"/>
          </w:cols>
          <w:pgMar w:left="320" w:top="142" w:right="31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FFFFFE"/>
        </w:rPr>
        <w:t>KATHLEEN M. MAZZARELLA</w:t>
      </w:r>
    </w:p>
    <w:p>
      <w:pPr>
        <w:spacing w:after="0" w:line="166" w:lineRule="exact"/>
        <w:rPr>
          <w:sz w:val="20"/>
          <w:szCs w:val="20"/>
          <w:color w:val="auto"/>
        </w:rPr>
      </w:pPr>
    </w:p>
    <w:p>
      <w:pPr>
        <w:jc w:val="right"/>
        <w:ind w:right="6400"/>
        <w:spacing w:after="0"/>
        <w:rPr>
          <w:sz w:val="20"/>
          <w:szCs w:val="20"/>
          <w:color w:val="auto"/>
        </w:rPr>
      </w:pPr>
      <w:r>
        <w:rPr>
          <w:rFonts w:ascii="Arial" w:cs="Arial" w:eastAsia="Arial" w:hAnsi="Arial"/>
          <w:sz w:val="15"/>
          <w:szCs w:val="15"/>
          <w:b w:val="1"/>
          <w:bCs w:val="1"/>
          <w:color w:val="477157"/>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1187450" cy="3083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87450" cy="308356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 xml:space="preserve">Age: </w:t>
      </w:r>
      <w:r>
        <w:rPr>
          <w:rFonts w:ascii="Arial" w:cs="Arial" w:eastAsia="Arial" w:hAnsi="Arial"/>
          <w:sz w:val="15"/>
          <w:szCs w:val="15"/>
          <w:color w:val="000000"/>
        </w:rPr>
        <w:t>60</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Director since: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5"/>
          <w:szCs w:val="15"/>
          <w:color w:val="auto"/>
        </w:rPr>
        <w:t>October 2015</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477157"/>
        </w:rPr>
        <w:t>Board Committees:</w:t>
      </w:r>
    </w:p>
    <w:p>
      <w:pPr>
        <w:spacing w:after="0" w:line="206" w:lineRule="exact"/>
        <w:rPr>
          <w:sz w:val="20"/>
          <w:szCs w:val="20"/>
          <w:color w:val="auto"/>
        </w:rPr>
      </w:pPr>
    </w:p>
    <w:p>
      <w:pPr>
        <w:ind w:left="40" w:right="60"/>
        <w:spacing w:after="0" w:line="257" w:lineRule="auto"/>
        <w:rPr>
          <w:sz w:val="20"/>
          <w:szCs w:val="20"/>
          <w:color w:val="auto"/>
        </w:rPr>
      </w:pPr>
      <w:r>
        <w:rPr>
          <w:rFonts w:ascii="Arial" w:cs="Arial" w:eastAsia="Arial" w:hAnsi="Arial"/>
          <w:sz w:val="14"/>
          <w:szCs w:val="14"/>
          <w:color w:val="auto"/>
        </w:rPr>
        <w:t>Management Development &amp; Compensation and Nominating &amp; Governance (Chair)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Chairman, President and Chief Executive Officer — Graybar Electric Company, Inc. (distributor of electrical, communications and data networking products and provider of related supply chain management and logistics services) since 2013; President and Chief Executive Officer — Graybar Electric Company, Inc. from 2012 to 2013; Executive Vice President and Chief Operating Officer — Graybar Electric Company, Inc. from 2010 to 2012.</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Director of Cigna Corporation since December 2018.</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Director of Express Scripts Holding Company from June 2017 until acquisition by Cigna Corporation in December 2018.</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Director of Core &amp; Main, a private company, since January 2019.</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Director of Federal Reserve Bank of St. Louis from January 2015 to December 2019; Chair of the Board from April 2016 to December 2019.</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QUALIFICATIONS</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Ms. Mazzarella has experience serving as the chief executive of a large corporation, developing expertise in the areas of logistics and supply chain management. During her 40-year tenure at Graybar, Ms. Mazzarella has held executive-level positions in sales, human resources, strategic planning and marketing. This diverse background combined with her deep and valuable experience leading various aspects of a customer-focused business will help the Company achieve its strategy to provide an exceptional customer experience. She also has experience serving on large public company, private company and non-profit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133350</wp:posOffset>
            </wp:positionV>
            <wp:extent cx="7160260"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-99060</wp:posOffset>
            </wp:positionV>
            <wp:extent cx="429260" cy="114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2">
            <w:col w:w="1380" w:space="640"/>
            <w:col w:w="9240"/>
          </w:cols>
          <w:pgMar w:left="320" w:top="142" w:right="319" w:bottom="1440" w:gutter="0" w:footer="0" w:header="0"/>
          <w:type w:val="continuous"/>
        </w:sectPr>
      </w:pPr>
    </w:p>
    <w:bookmarkStart w:id="22" w:name="page23"/>
    <w:bookmarkEnd w:id="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155180" cy="3435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5180" cy="343535"/>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FFFFFE"/>
        </w:rPr>
        <w:t>WILLIAM B. PLUMMER</w:t>
      </w:r>
    </w:p>
    <w:p>
      <w:pPr>
        <w:spacing w:after="0" w:line="166" w:lineRule="exact"/>
        <w:rPr>
          <w:sz w:val="20"/>
          <w:szCs w:val="20"/>
          <w:color w:val="auto"/>
        </w:rPr>
      </w:pPr>
    </w:p>
    <w:p>
      <w:pPr>
        <w:jc w:val="right"/>
        <w:ind w:right="6400"/>
        <w:spacing w:after="0"/>
        <w:rPr>
          <w:sz w:val="20"/>
          <w:szCs w:val="20"/>
          <w:color w:val="auto"/>
        </w:rPr>
      </w:pPr>
      <w:r>
        <w:rPr>
          <w:rFonts w:ascii="Arial" w:cs="Arial" w:eastAsia="Arial" w:hAnsi="Arial"/>
          <w:sz w:val="15"/>
          <w:szCs w:val="15"/>
          <w:b w:val="1"/>
          <w:bCs w:val="1"/>
          <w:color w:val="477157"/>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1187450" cy="26403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87450" cy="264033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 xml:space="preserve">Age: </w:t>
      </w:r>
      <w:r>
        <w:rPr>
          <w:rFonts w:ascii="Arial" w:cs="Arial" w:eastAsia="Arial" w:hAnsi="Arial"/>
          <w:sz w:val="15"/>
          <w:szCs w:val="15"/>
          <w:color w:val="000000"/>
        </w:rPr>
        <w:t>61</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Director since: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5"/>
          <w:szCs w:val="15"/>
          <w:color w:val="auto"/>
        </w:rPr>
        <w:t>August 2019</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Board Committees:</w:t>
      </w:r>
    </w:p>
    <w:p>
      <w:pPr>
        <w:spacing w:after="0" w:line="195" w:lineRule="exact"/>
        <w:rPr>
          <w:sz w:val="20"/>
          <w:szCs w:val="20"/>
          <w:color w:val="auto"/>
        </w:rPr>
      </w:pPr>
    </w:p>
    <w:p>
      <w:pPr>
        <w:ind w:left="40"/>
        <w:spacing w:after="0" w:line="263" w:lineRule="auto"/>
        <w:rPr>
          <w:sz w:val="20"/>
          <w:szCs w:val="20"/>
          <w:color w:val="auto"/>
        </w:rPr>
      </w:pPr>
      <w:r>
        <w:rPr>
          <w:rFonts w:ascii="Arial" w:cs="Arial" w:eastAsia="Arial" w:hAnsi="Arial"/>
          <w:sz w:val="14"/>
          <w:szCs w:val="14"/>
          <w:color w:val="auto"/>
        </w:rPr>
        <w:t>Audit and Management Development &amp; Compensation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5"/>
          <w:szCs w:val="15"/>
          <w:color w:val="auto"/>
        </w:rPr>
        <w:t>Executive Vice President and Chief Financial Officer — United Rentals, Inc. (world's largest equipment rental company) from 2008 to October 2018; Senior Adviser — United Rentals, Inc. from October 2018 to January 2019.</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Director of Global Payments Inc. since May 2017.</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Chairman of the Board — Nesco Holdings, Inc. since July 2019.</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Director of Venture Metals, LLC, a private company, since July 2019.</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Director of John Wiley &amp; Sons, Inc. from 2003 to September 2019.</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Director of UIL Holdings Corporation from 2013 to December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Director of United Rentals North America, Inc., a private company, from 2008 to January 2019.</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QUALIFICATIONS</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Mr. Plummer has more than two decades of financial leadership experience. During his tenure at United Rentals, Mr. Plummer was responsible for the development of the company's finance activities, investor relations, and co-led its merger, acquisition and divestiture strategies. Mr. Plummer also served as Chief Financial Officer of Dow Jones &amp; Company, where he set policy for global finance and corporate strategy. Mr. Plummer has experience as member of the board of directors of a number of other large public companies, with particular focus on audit committee service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330200</wp:posOffset>
            </wp:positionV>
            <wp:extent cx="7155180" cy="3435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5180" cy="3435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480"/>
            <w:col w:w="9240"/>
          </w:cols>
          <w:pgMar w:left="320" w:top="142" w:right="31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FFFFFE"/>
        </w:rPr>
        <w:t>JOHN C. POPE</w:t>
      </w:r>
    </w:p>
    <w:p>
      <w:pPr>
        <w:spacing w:after="0" w:line="166" w:lineRule="exact"/>
        <w:rPr>
          <w:sz w:val="20"/>
          <w:szCs w:val="20"/>
          <w:color w:val="auto"/>
        </w:rPr>
      </w:pPr>
    </w:p>
    <w:p>
      <w:pPr>
        <w:ind w:left="2020"/>
        <w:spacing w:after="0"/>
        <w:rPr>
          <w:sz w:val="20"/>
          <w:szCs w:val="20"/>
          <w:color w:val="auto"/>
        </w:rPr>
      </w:pPr>
      <w:r>
        <w:rPr>
          <w:rFonts w:ascii="Arial" w:cs="Arial" w:eastAsia="Arial" w:hAnsi="Arial"/>
          <w:sz w:val="15"/>
          <w:szCs w:val="15"/>
          <w:b w:val="1"/>
          <w:bCs w:val="1"/>
          <w:color w:val="477157"/>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1187450" cy="3083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87450" cy="3083560"/>
                    </a:xfrm>
                    <a:prstGeom prst="rect">
                      <a:avLst/>
                    </a:prstGeom>
                    <a:noFill/>
                  </pic:spPr>
                </pic:pic>
              </a:graphicData>
            </a:graphic>
          </wp:anchor>
        </w:drawing>
      </w:r>
    </w:p>
    <w:p>
      <w:pPr>
        <w:spacing w:after="0" w:line="175"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Chairman of the Board — PFI Group (private investment firm) since 1994.</w:t>
      </w:r>
    </w:p>
    <w:p>
      <w:pPr>
        <w:spacing w:after="0" w:line="177"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Chairman of the Board — R.R. Donnelley &amp; Sons Company since May 2014; Director of R.R. Donnelley &amp; Sons Company, or predecessor companies, since 1996.</w:t>
      </w:r>
    </w:p>
    <w:p>
      <w:pPr>
        <w:spacing w:after="0" w:line="173"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Director of The Kraft Heinz Company, or predecessor companies including Kraft Foods Group, Inc., since 2001.</w:t>
      </w:r>
    </w:p>
    <w:p>
      <w:pPr>
        <w:sectPr>
          <w:pgSz w:w="11900" w:h="16838" w:orient="portrait"/>
          <w:cols w:equalWidth="0" w:num="1">
            <w:col w:w="11260"/>
          </w:cols>
          <w:pgMar w:left="320" w:top="14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 xml:space="preserve">Age: </w:t>
      </w:r>
      <w:r>
        <w:rPr>
          <w:rFonts w:ascii="Arial" w:cs="Arial" w:eastAsia="Arial" w:hAnsi="Arial"/>
          <w:sz w:val="15"/>
          <w:szCs w:val="15"/>
          <w:color w:val="000000"/>
        </w:rPr>
        <w:t>70</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477157"/>
        </w:rPr>
        <w:t>Director since: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5"/>
          <w:szCs w:val="15"/>
          <w:color w:val="auto"/>
        </w:rPr>
        <w:t>1997</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477157"/>
        </w:rPr>
        <w:t>Board Committees:</w:t>
      </w:r>
    </w:p>
    <w:p>
      <w:pPr>
        <w:spacing w:after="0" w:line="206" w:lineRule="exact"/>
        <w:rPr>
          <w:sz w:val="20"/>
          <w:szCs w:val="20"/>
          <w:color w:val="auto"/>
        </w:rPr>
      </w:pPr>
    </w:p>
    <w:p>
      <w:pPr>
        <w:ind w:left="40" w:right="120"/>
        <w:spacing w:after="0" w:line="237" w:lineRule="auto"/>
        <w:rPr>
          <w:sz w:val="20"/>
          <w:szCs w:val="20"/>
          <w:color w:val="auto"/>
        </w:rPr>
      </w:pPr>
      <w:r>
        <w:rPr>
          <w:rFonts w:ascii="Arial" w:cs="Arial" w:eastAsia="Arial" w:hAnsi="Arial"/>
          <w:sz w:val="15"/>
          <w:szCs w:val="15"/>
          <w:color w:val="auto"/>
        </w:rPr>
        <w:t>Management Development &amp; Compensation and Nominating &amp; Governance</w:t>
      </w:r>
    </w:p>
    <w:p>
      <w:pPr>
        <w:spacing w:after="0" w:line="155"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20</w:t>
      </w:r>
      <w:r>
        <w:rPr>
          <w:sz w:val="20"/>
          <w:szCs w:val="20"/>
          <w:color w:val="auto"/>
        </w:rPr>
        <w:tab/>
      </w:r>
      <w:r>
        <w:rPr>
          <w:rFonts w:ascii="Arial" w:cs="Arial" w:eastAsia="Arial" w:hAnsi="Arial"/>
          <w:sz w:val="18"/>
          <w:szCs w:val="18"/>
          <w:b w:val="1"/>
          <w:bCs w:val="1"/>
          <w:color w:val="00673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-99060</wp:posOffset>
            </wp:positionV>
            <wp:extent cx="429260" cy="1143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Director of Talgo S.A. since May 2015.</w:t>
      </w:r>
    </w:p>
    <w:p>
      <w:pPr>
        <w:spacing w:after="0" w:line="177" w:lineRule="exact"/>
        <w:rPr>
          <w:sz w:val="20"/>
          <w:szCs w:val="20"/>
          <w:color w:val="auto"/>
        </w:rPr>
      </w:pPr>
    </w:p>
    <w:p>
      <w:pPr>
        <w:jc w:val="both"/>
        <w:ind w:left="520"/>
        <w:spacing w:after="0"/>
        <w:rPr>
          <w:sz w:val="20"/>
          <w:szCs w:val="20"/>
          <w:color w:val="auto"/>
        </w:rPr>
      </w:pPr>
      <w:r>
        <w:rPr>
          <w:rFonts w:ascii="Arial" w:cs="Arial" w:eastAsia="Arial" w:hAnsi="Arial"/>
          <w:sz w:val="15"/>
          <w:szCs w:val="15"/>
          <w:color w:val="auto"/>
        </w:rPr>
        <w:t>Former Directorships: Con-way, Inc., or predecessor companies, from 2003 to October 2015; Dollar Thrifty Automotive Group, Inc. from 1997 to 2012; and Navistar International Corporation from 2012 to 2013.</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477157"/>
        </w:rPr>
        <w:t>QUALIFICATIONS</w:t>
      </w:r>
    </w:p>
    <w:p>
      <w:pPr>
        <w:spacing w:after="0" w:line="195" w:lineRule="exact"/>
        <w:rPr>
          <w:sz w:val="20"/>
          <w:szCs w:val="20"/>
          <w:color w:val="auto"/>
        </w:rPr>
      </w:pPr>
    </w:p>
    <w:p>
      <w:pPr>
        <w:jc w:val="both"/>
        <w:ind w:left="520"/>
        <w:spacing w:after="0" w:line="237" w:lineRule="auto"/>
        <w:rPr>
          <w:sz w:val="20"/>
          <w:szCs w:val="20"/>
          <w:color w:val="auto"/>
        </w:rPr>
      </w:pPr>
      <w:r>
        <w:rPr>
          <w:rFonts w:ascii="Arial" w:cs="Arial" w:eastAsia="Arial" w:hAnsi="Arial"/>
          <w:sz w:val="15"/>
          <w:szCs w:val="15"/>
          <w:color w:val="auto"/>
        </w:rPr>
        <w:t>Prior to his service on the boards of multiple major corporations, Mr. Pope served in executive operational and financial positions at large airline companies for almost 20 years, providing him with extensive experience and knowledge of management of large public companies with large-scale logistical challenges, high fixed-cost structure and significant capital requirements. His background, education and board service also provide him with expertise in finance and accounting. Mr. Pope has served on the board of directors for many public companies for over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114935</wp:posOffset>
            </wp:positionV>
            <wp:extent cx="7160260"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2">
            <w:col w:w="1380" w:space="120"/>
            <w:col w:w="9760"/>
          </w:cols>
          <w:pgMar w:left="320" w:top="142" w:right="319" w:bottom="1440" w:gutter="0" w:footer="0" w:header="0"/>
          <w:type w:val="continuous"/>
        </w:sectPr>
      </w:pPr>
    </w:p>
    <w:bookmarkStart w:id="23" w:name="page24"/>
    <w:bookmarkEnd w:id="2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155180" cy="3435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5180" cy="343535"/>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FFFFFE"/>
        </w:rPr>
        <w:t>THOMAS H. WEIDEMEYER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60" w:type="dxa"/>
            <w:vAlign w:val="bottom"/>
            <w:shd w:val="clear" w:color="auto" w:fill="BCBDC0"/>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5"/>
                <w:szCs w:val="15"/>
                <w:b w:val="1"/>
                <w:bCs w:val="1"/>
                <w:color w:val="477157"/>
              </w:rPr>
              <w:t>POSITION AND BUSINESS EXPERIENCE</w:t>
            </w:r>
          </w:p>
        </w:tc>
        <w:tc>
          <w:tcPr>
            <w:tcW w:w="0" w:type="dxa"/>
            <w:vAlign w:val="bottom"/>
          </w:tcPr>
          <w:p>
            <w:pPr>
              <w:spacing w:after="0"/>
              <w:rPr>
                <w:sz w:val="1"/>
                <w:szCs w:val="1"/>
                <w:color w:val="auto"/>
              </w:rPr>
            </w:pPr>
          </w:p>
        </w:tc>
      </w:tr>
      <w:tr>
        <w:trPr>
          <w:trHeight w:val="306"/>
        </w:trPr>
        <w:tc>
          <w:tcPr>
            <w:tcW w:w="1860" w:type="dxa"/>
            <w:vAlign w:val="bottom"/>
            <w:shd w:val="clear" w:color="auto" w:fill="BCBDC0"/>
          </w:tcPr>
          <w:p>
            <w:pPr>
              <w:spacing w:after="0"/>
              <w:rPr>
                <w:sz w:val="24"/>
                <w:szCs w:val="24"/>
                <w:color w:val="auto"/>
              </w:rPr>
            </w:pPr>
          </w:p>
        </w:tc>
        <w:tc>
          <w:tcPr>
            <w:tcW w:w="9400" w:type="dxa"/>
            <w:vAlign w:val="bottom"/>
          </w:tcPr>
          <w:p>
            <w:pPr>
              <w:ind w:left="160"/>
              <w:spacing w:after="0"/>
              <w:rPr>
                <w:sz w:val="20"/>
                <w:szCs w:val="20"/>
                <w:color w:val="auto"/>
              </w:rPr>
            </w:pPr>
            <w:r>
              <w:rPr>
                <w:rFonts w:ascii="Arial" w:cs="Arial" w:eastAsia="Arial" w:hAnsi="Arial"/>
                <w:sz w:val="15"/>
                <w:szCs w:val="15"/>
                <w:color w:val="auto"/>
                <w:w w:val="98"/>
              </w:rPr>
              <w:t>Chief Operating Officer — United Parcel Service, Inc. (package delivery and supply chain services company) from 2001 to 2003; Senior Vice</w:t>
            </w:r>
          </w:p>
        </w:tc>
        <w:tc>
          <w:tcPr>
            <w:tcW w:w="0" w:type="dxa"/>
            <w:vAlign w:val="bottom"/>
          </w:tcPr>
          <w:p>
            <w:pPr>
              <w:spacing w:after="0"/>
              <w:rPr>
                <w:sz w:val="1"/>
                <w:szCs w:val="1"/>
                <w:color w:val="auto"/>
              </w:rPr>
            </w:pPr>
          </w:p>
        </w:tc>
      </w:tr>
      <w:tr>
        <w:trPr>
          <w:trHeight w:val="177"/>
        </w:trPr>
        <w:tc>
          <w:tcPr>
            <w:tcW w:w="1860" w:type="dxa"/>
            <w:vAlign w:val="bottom"/>
            <w:shd w:val="clear" w:color="auto" w:fill="BCBDC0"/>
          </w:tcPr>
          <w:p>
            <w:pPr>
              <w:spacing w:after="0"/>
              <w:rPr>
                <w:sz w:val="15"/>
                <w:szCs w:val="15"/>
                <w:color w:val="auto"/>
              </w:rPr>
            </w:pPr>
          </w:p>
        </w:tc>
        <w:tc>
          <w:tcPr>
            <w:tcW w:w="9400" w:type="dxa"/>
            <w:vAlign w:val="bottom"/>
          </w:tcPr>
          <w:p>
            <w:pPr>
              <w:ind w:left="160"/>
              <w:spacing w:after="0"/>
              <w:rPr>
                <w:sz w:val="20"/>
                <w:szCs w:val="20"/>
                <w:color w:val="auto"/>
              </w:rPr>
            </w:pPr>
            <w:r>
              <w:rPr>
                <w:rFonts w:ascii="Arial" w:cs="Arial" w:eastAsia="Arial" w:hAnsi="Arial"/>
                <w:sz w:val="15"/>
                <w:szCs w:val="15"/>
                <w:color w:val="auto"/>
              </w:rPr>
              <w:t>President — United Parcel Service, Inc. from 1994 to 2003.</w:t>
            </w:r>
          </w:p>
        </w:tc>
        <w:tc>
          <w:tcPr>
            <w:tcW w:w="0" w:type="dxa"/>
            <w:vAlign w:val="bottom"/>
          </w:tcPr>
          <w:p>
            <w:pPr>
              <w:spacing w:after="0"/>
              <w:rPr>
                <w:sz w:val="1"/>
                <w:szCs w:val="1"/>
                <w:color w:val="auto"/>
              </w:rPr>
            </w:pPr>
          </w:p>
        </w:tc>
      </w:tr>
      <w:tr>
        <w:trPr>
          <w:trHeight w:val="349"/>
        </w:trPr>
        <w:tc>
          <w:tcPr>
            <w:tcW w:w="1860" w:type="dxa"/>
            <w:vAlign w:val="bottom"/>
            <w:shd w:val="clear" w:color="auto" w:fill="BCBDC0"/>
          </w:tcPr>
          <w:p>
            <w:pPr>
              <w:spacing w:after="0"/>
              <w:rPr>
                <w:sz w:val="24"/>
                <w:szCs w:val="24"/>
                <w:color w:val="auto"/>
              </w:rPr>
            </w:pPr>
          </w:p>
        </w:tc>
        <w:tc>
          <w:tcPr>
            <w:tcW w:w="9400" w:type="dxa"/>
            <w:vAlign w:val="bottom"/>
          </w:tcPr>
          <w:p>
            <w:pPr>
              <w:ind w:left="160"/>
              <w:spacing w:after="0"/>
              <w:rPr>
                <w:sz w:val="20"/>
                <w:szCs w:val="20"/>
                <w:color w:val="auto"/>
              </w:rPr>
            </w:pPr>
            <w:r>
              <w:rPr>
                <w:rFonts w:ascii="Arial" w:cs="Arial" w:eastAsia="Arial" w:hAnsi="Arial"/>
                <w:sz w:val="15"/>
                <w:szCs w:val="15"/>
                <w:color w:val="auto"/>
              </w:rPr>
              <w:t>President, UPS Airlines (UPS owned airline) from 1994 to 2003.</w:t>
            </w:r>
          </w:p>
        </w:tc>
        <w:tc>
          <w:tcPr>
            <w:tcW w:w="0" w:type="dxa"/>
            <w:vAlign w:val="bottom"/>
          </w:tcPr>
          <w:p>
            <w:pPr>
              <w:spacing w:after="0"/>
              <w:rPr>
                <w:sz w:val="1"/>
                <w:szCs w:val="1"/>
                <w:color w:val="auto"/>
              </w:rPr>
            </w:pPr>
          </w:p>
        </w:tc>
      </w:tr>
      <w:tr>
        <w:trPr>
          <w:trHeight w:val="349"/>
        </w:trPr>
        <w:tc>
          <w:tcPr>
            <w:tcW w:w="1860" w:type="dxa"/>
            <w:vAlign w:val="bottom"/>
            <w:shd w:val="clear" w:color="auto" w:fill="BCBDC0"/>
          </w:tcPr>
          <w:p>
            <w:pPr>
              <w:spacing w:after="0"/>
              <w:rPr>
                <w:sz w:val="24"/>
                <w:szCs w:val="24"/>
                <w:color w:val="auto"/>
              </w:rPr>
            </w:pPr>
          </w:p>
        </w:tc>
        <w:tc>
          <w:tcPr>
            <w:tcW w:w="9400" w:type="dxa"/>
            <w:vAlign w:val="bottom"/>
          </w:tcPr>
          <w:p>
            <w:pPr>
              <w:ind w:left="160"/>
              <w:spacing w:after="0"/>
              <w:rPr>
                <w:sz w:val="20"/>
                <w:szCs w:val="20"/>
                <w:color w:val="auto"/>
              </w:rPr>
            </w:pPr>
            <w:r>
              <w:rPr>
                <w:rFonts w:ascii="Arial" w:cs="Arial" w:eastAsia="Arial" w:hAnsi="Arial"/>
                <w:sz w:val="15"/>
                <w:szCs w:val="15"/>
                <w:color w:val="auto"/>
              </w:rPr>
              <w:t>Director of NRG Energy, Inc. since 2003.</w:t>
            </w:r>
          </w:p>
        </w:tc>
        <w:tc>
          <w:tcPr>
            <w:tcW w:w="0" w:type="dxa"/>
            <w:vAlign w:val="bottom"/>
          </w:tcPr>
          <w:p>
            <w:pPr>
              <w:spacing w:after="0"/>
              <w:rPr>
                <w:sz w:val="1"/>
                <w:szCs w:val="1"/>
                <w:color w:val="auto"/>
              </w:rPr>
            </w:pPr>
          </w:p>
        </w:tc>
      </w:tr>
      <w:tr>
        <w:trPr>
          <w:trHeight w:val="349"/>
        </w:trPr>
        <w:tc>
          <w:tcPr>
            <w:tcW w:w="1860" w:type="dxa"/>
            <w:vAlign w:val="bottom"/>
            <w:shd w:val="clear" w:color="auto" w:fill="BCBDC0"/>
          </w:tcPr>
          <w:p>
            <w:pPr>
              <w:spacing w:after="0"/>
              <w:rPr>
                <w:sz w:val="24"/>
                <w:szCs w:val="24"/>
                <w:color w:val="auto"/>
              </w:rPr>
            </w:pPr>
          </w:p>
        </w:tc>
        <w:tc>
          <w:tcPr>
            <w:tcW w:w="9400" w:type="dxa"/>
            <w:vAlign w:val="bottom"/>
          </w:tcPr>
          <w:p>
            <w:pPr>
              <w:ind w:left="160"/>
              <w:spacing w:after="0"/>
              <w:rPr>
                <w:sz w:val="20"/>
                <w:szCs w:val="20"/>
                <w:color w:val="auto"/>
              </w:rPr>
            </w:pPr>
            <w:r>
              <w:rPr>
                <w:rFonts w:ascii="Arial" w:cs="Arial" w:eastAsia="Arial" w:hAnsi="Arial"/>
                <w:sz w:val="15"/>
                <w:szCs w:val="15"/>
                <w:color w:val="auto"/>
              </w:rPr>
              <w:t>Director of The Goodyear Tire &amp; Rubber Company since 2004 (retiring April 2020)</w:t>
            </w:r>
          </w:p>
        </w:tc>
        <w:tc>
          <w:tcPr>
            <w:tcW w:w="0" w:type="dxa"/>
            <w:vAlign w:val="bottom"/>
          </w:tcPr>
          <w:p>
            <w:pPr>
              <w:spacing w:after="0"/>
              <w:rPr>
                <w:sz w:val="1"/>
                <w:szCs w:val="1"/>
                <w:color w:val="auto"/>
              </w:rPr>
            </w:pPr>
          </w:p>
        </w:tc>
      </w:tr>
      <w:tr>
        <w:trPr>
          <w:trHeight w:val="349"/>
        </w:trPr>
        <w:tc>
          <w:tcPr>
            <w:tcW w:w="1860" w:type="dxa"/>
            <w:vAlign w:val="bottom"/>
            <w:shd w:val="clear" w:color="auto" w:fill="BCBDC0"/>
          </w:tcPr>
          <w:p>
            <w:pPr>
              <w:spacing w:after="0"/>
              <w:rPr>
                <w:sz w:val="24"/>
                <w:szCs w:val="24"/>
                <w:color w:val="auto"/>
              </w:rPr>
            </w:pPr>
          </w:p>
        </w:tc>
        <w:tc>
          <w:tcPr>
            <w:tcW w:w="9400" w:type="dxa"/>
            <w:vAlign w:val="bottom"/>
          </w:tcPr>
          <w:p>
            <w:pPr>
              <w:ind w:left="160"/>
              <w:spacing w:after="0"/>
              <w:rPr>
                <w:sz w:val="20"/>
                <w:szCs w:val="20"/>
                <w:color w:val="auto"/>
              </w:rPr>
            </w:pPr>
            <w:r>
              <w:rPr>
                <w:rFonts w:ascii="Arial" w:cs="Arial" w:eastAsia="Arial" w:hAnsi="Arial"/>
                <w:sz w:val="15"/>
                <w:szCs w:val="15"/>
                <w:color w:val="auto"/>
              </w:rPr>
              <w:t>Director of Amsted Industries Incorporated, a private company, since 2007.</w:t>
            </w:r>
          </w:p>
        </w:tc>
        <w:tc>
          <w:tcPr>
            <w:tcW w:w="0" w:type="dxa"/>
            <w:vAlign w:val="bottom"/>
          </w:tcPr>
          <w:p>
            <w:pPr>
              <w:spacing w:after="0"/>
              <w:rPr>
                <w:sz w:val="1"/>
                <w:szCs w:val="1"/>
                <w:color w:val="auto"/>
              </w:rPr>
            </w:pPr>
          </w:p>
        </w:tc>
      </w:tr>
      <w:tr>
        <w:trPr>
          <w:trHeight w:val="349"/>
        </w:trPr>
        <w:tc>
          <w:tcPr>
            <w:tcW w:w="1860" w:type="dxa"/>
            <w:vAlign w:val="bottom"/>
            <w:shd w:val="clear" w:color="auto" w:fill="BCBDC0"/>
          </w:tcPr>
          <w:p>
            <w:pPr>
              <w:spacing w:after="0"/>
              <w:rPr>
                <w:sz w:val="24"/>
                <w:szCs w:val="24"/>
                <w:color w:val="auto"/>
              </w:rPr>
            </w:pPr>
          </w:p>
        </w:tc>
        <w:tc>
          <w:tcPr>
            <w:tcW w:w="9400" w:type="dxa"/>
            <w:vAlign w:val="bottom"/>
          </w:tcPr>
          <w:p>
            <w:pPr>
              <w:ind w:left="160"/>
              <w:spacing w:after="0"/>
              <w:rPr>
                <w:sz w:val="20"/>
                <w:szCs w:val="20"/>
                <w:color w:val="auto"/>
              </w:rPr>
            </w:pPr>
            <w:r>
              <w:rPr>
                <w:rFonts w:ascii="Arial" w:cs="Arial" w:eastAsia="Arial" w:hAnsi="Arial"/>
                <w:sz w:val="15"/>
                <w:szCs w:val="15"/>
                <w:b w:val="1"/>
                <w:bCs w:val="1"/>
                <w:color w:val="477157"/>
              </w:rPr>
              <w:t>QUALIFICATIONS</w:t>
            </w:r>
          </w:p>
        </w:tc>
        <w:tc>
          <w:tcPr>
            <w:tcW w:w="0" w:type="dxa"/>
            <w:vAlign w:val="bottom"/>
          </w:tcPr>
          <w:p>
            <w:pPr>
              <w:spacing w:after="0"/>
              <w:rPr>
                <w:sz w:val="1"/>
                <w:szCs w:val="1"/>
                <w:color w:val="auto"/>
              </w:rPr>
            </w:pPr>
          </w:p>
        </w:tc>
      </w:tr>
      <w:tr>
        <w:trPr>
          <w:trHeight w:val="342"/>
        </w:trPr>
        <w:tc>
          <w:tcPr>
            <w:tcW w:w="1860" w:type="dxa"/>
            <w:vAlign w:val="bottom"/>
            <w:shd w:val="clear" w:color="auto" w:fill="BCBDC0"/>
          </w:tcPr>
          <w:p>
            <w:pPr>
              <w:ind w:left="40"/>
              <w:spacing w:after="0"/>
              <w:rPr>
                <w:sz w:val="20"/>
                <w:szCs w:val="20"/>
                <w:color w:val="auto"/>
              </w:rPr>
            </w:pPr>
            <w:r>
              <w:rPr>
                <w:rFonts w:ascii="Arial" w:cs="Arial" w:eastAsia="Arial" w:hAnsi="Arial"/>
                <w:sz w:val="15"/>
                <w:szCs w:val="15"/>
                <w:b w:val="1"/>
                <w:bCs w:val="1"/>
                <w:color w:val="477157"/>
              </w:rPr>
              <w:t xml:space="preserve">Age: </w:t>
            </w:r>
            <w:r>
              <w:rPr>
                <w:rFonts w:ascii="Arial" w:cs="Arial" w:eastAsia="Arial" w:hAnsi="Arial"/>
                <w:sz w:val="15"/>
                <w:szCs w:val="15"/>
                <w:color w:val="000000"/>
              </w:rPr>
              <w:t>72</w:t>
            </w:r>
          </w:p>
        </w:tc>
        <w:tc>
          <w:tcPr>
            <w:tcW w:w="9400" w:type="dxa"/>
            <w:vAlign w:val="bottom"/>
          </w:tcPr>
          <w:p>
            <w:pPr>
              <w:ind w:left="160"/>
              <w:spacing w:after="0"/>
              <w:rPr>
                <w:sz w:val="20"/>
                <w:szCs w:val="20"/>
                <w:color w:val="auto"/>
              </w:rPr>
            </w:pPr>
            <w:r>
              <w:rPr>
                <w:rFonts w:ascii="Arial" w:cs="Arial" w:eastAsia="Arial" w:hAnsi="Arial"/>
                <w:sz w:val="15"/>
                <w:szCs w:val="15"/>
                <w:color w:val="auto"/>
                <w:w w:val="98"/>
              </w:rPr>
              <w:t>Mr. Weidemeyer served in executive positions at a large public company for several years and has served as our Non-Executive Chairman of</w:t>
            </w:r>
          </w:p>
        </w:tc>
        <w:tc>
          <w:tcPr>
            <w:tcW w:w="0" w:type="dxa"/>
            <w:vAlign w:val="bottom"/>
          </w:tcPr>
          <w:p>
            <w:pPr>
              <w:spacing w:after="0"/>
              <w:rPr>
                <w:sz w:val="1"/>
                <w:szCs w:val="1"/>
                <w:color w:val="auto"/>
              </w:rPr>
            </w:pPr>
          </w:p>
        </w:tc>
      </w:tr>
      <w:tr>
        <w:trPr>
          <w:trHeight w:val="169"/>
        </w:trPr>
        <w:tc>
          <w:tcPr>
            <w:tcW w:w="1860" w:type="dxa"/>
            <w:vAlign w:val="bottom"/>
            <w:vMerge w:val="restart"/>
            <w:shd w:val="clear" w:color="auto" w:fill="BCBDC0"/>
          </w:tcPr>
          <w:p>
            <w:pPr>
              <w:ind w:left="40"/>
              <w:spacing w:after="0"/>
              <w:rPr>
                <w:sz w:val="20"/>
                <w:szCs w:val="20"/>
                <w:color w:val="auto"/>
              </w:rPr>
            </w:pPr>
            <w:r>
              <w:rPr>
                <w:rFonts w:ascii="Arial" w:cs="Arial" w:eastAsia="Arial" w:hAnsi="Arial"/>
                <w:sz w:val="15"/>
                <w:szCs w:val="15"/>
                <w:b w:val="1"/>
                <w:bCs w:val="1"/>
                <w:color w:val="477157"/>
              </w:rPr>
              <w:t>Director since:</w:t>
            </w:r>
          </w:p>
        </w:tc>
        <w:tc>
          <w:tcPr>
            <w:tcW w:w="9400" w:type="dxa"/>
            <w:vAlign w:val="bottom"/>
          </w:tcPr>
          <w:p>
            <w:pPr>
              <w:ind w:left="160"/>
              <w:spacing w:after="0" w:line="169" w:lineRule="exact"/>
              <w:rPr>
                <w:sz w:val="20"/>
                <w:szCs w:val="20"/>
                <w:color w:val="auto"/>
              </w:rPr>
            </w:pPr>
            <w:r>
              <w:rPr>
                <w:rFonts w:ascii="Arial" w:cs="Arial" w:eastAsia="Arial" w:hAnsi="Arial"/>
                <w:sz w:val="15"/>
                <w:szCs w:val="15"/>
                <w:color w:val="auto"/>
              </w:rPr>
              <w:t>the Board since May 2018. His roles encompassed significant operational management responsibility, providing him knowledge and</w:t>
            </w:r>
          </w:p>
        </w:tc>
        <w:tc>
          <w:tcPr>
            <w:tcW w:w="0" w:type="dxa"/>
            <w:vAlign w:val="bottom"/>
          </w:tcPr>
          <w:p>
            <w:pPr>
              <w:spacing w:after="0"/>
              <w:rPr>
                <w:sz w:val="1"/>
                <w:szCs w:val="1"/>
                <w:color w:val="auto"/>
              </w:rPr>
            </w:pPr>
          </w:p>
        </w:tc>
      </w:tr>
      <w:tr>
        <w:trPr>
          <w:trHeight w:val="169"/>
        </w:trPr>
        <w:tc>
          <w:tcPr>
            <w:tcW w:w="1860" w:type="dxa"/>
            <w:vAlign w:val="bottom"/>
            <w:vMerge w:val="continue"/>
            <w:shd w:val="clear" w:color="auto" w:fill="BCBDC0"/>
          </w:tcPr>
          <w:p>
            <w:pPr>
              <w:spacing w:after="0"/>
              <w:rPr>
                <w:sz w:val="14"/>
                <w:szCs w:val="14"/>
                <w:color w:val="auto"/>
              </w:rPr>
            </w:pPr>
          </w:p>
        </w:tc>
        <w:tc>
          <w:tcPr>
            <w:tcW w:w="9400" w:type="dxa"/>
            <w:vAlign w:val="bottom"/>
          </w:tcPr>
          <w:p>
            <w:pPr>
              <w:ind w:left="160"/>
              <w:spacing w:after="0" w:line="169" w:lineRule="exact"/>
              <w:rPr>
                <w:sz w:val="20"/>
                <w:szCs w:val="20"/>
                <w:color w:val="auto"/>
              </w:rPr>
            </w:pPr>
            <w:r>
              <w:rPr>
                <w:rFonts w:ascii="Arial" w:cs="Arial" w:eastAsia="Arial" w:hAnsi="Arial"/>
                <w:sz w:val="15"/>
                <w:szCs w:val="15"/>
                <w:color w:val="auto"/>
              </w:rPr>
              <w:t>experience  in  an  array  of  functional  areas  critical  to  large  public  companies,  including  supply  chain  and  logistics  management.</w:t>
            </w:r>
          </w:p>
        </w:tc>
        <w:tc>
          <w:tcPr>
            <w:tcW w:w="0" w:type="dxa"/>
            <w:vAlign w:val="bottom"/>
          </w:tcPr>
          <w:p>
            <w:pPr>
              <w:spacing w:after="0"/>
              <w:rPr>
                <w:sz w:val="1"/>
                <w:szCs w:val="1"/>
                <w:color w:val="auto"/>
              </w:rPr>
            </w:pPr>
          </w:p>
        </w:tc>
      </w:tr>
      <w:tr>
        <w:trPr>
          <w:trHeight w:val="177"/>
        </w:trPr>
        <w:tc>
          <w:tcPr>
            <w:tcW w:w="1860" w:type="dxa"/>
            <w:vAlign w:val="bottom"/>
            <w:shd w:val="clear" w:color="auto" w:fill="BCBDC0"/>
          </w:tcPr>
          <w:p>
            <w:pPr>
              <w:spacing w:after="0"/>
              <w:rPr>
                <w:sz w:val="15"/>
                <w:szCs w:val="15"/>
                <w:color w:val="auto"/>
              </w:rPr>
            </w:pPr>
          </w:p>
        </w:tc>
        <w:tc>
          <w:tcPr>
            <w:tcW w:w="9400" w:type="dxa"/>
            <w:vAlign w:val="bottom"/>
          </w:tcPr>
          <w:p>
            <w:pPr>
              <w:ind w:left="160"/>
              <w:spacing w:after="0"/>
              <w:rPr>
                <w:sz w:val="20"/>
                <w:szCs w:val="20"/>
                <w:color w:val="auto"/>
              </w:rPr>
            </w:pPr>
            <w:r>
              <w:rPr>
                <w:rFonts w:ascii="Arial" w:cs="Arial" w:eastAsia="Arial" w:hAnsi="Arial"/>
                <w:sz w:val="15"/>
                <w:szCs w:val="15"/>
                <w:color w:val="auto"/>
              </w:rPr>
              <w:t>Mr. Weidemeyer also has over 15 years of experience serving on the board of directors for public companies.</w:t>
            </w:r>
          </w:p>
        </w:tc>
        <w:tc>
          <w:tcPr>
            <w:tcW w:w="0" w:type="dxa"/>
            <w:vAlign w:val="bottom"/>
          </w:tcPr>
          <w:p>
            <w:pPr>
              <w:spacing w:after="0"/>
              <w:rPr>
                <w:sz w:val="1"/>
                <w:szCs w:val="1"/>
                <w:color w:val="auto"/>
              </w:rPr>
            </w:pPr>
          </w:p>
        </w:tc>
      </w:tr>
      <w:tr>
        <w:trPr>
          <w:trHeight w:val="192"/>
        </w:trPr>
        <w:tc>
          <w:tcPr>
            <w:tcW w:w="1860" w:type="dxa"/>
            <w:vAlign w:val="bottom"/>
            <w:shd w:val="clear" w:color="auto" w:fill="BCBDC0"/>
          </w:tcPr>
          <w:p>
            <w:pPr>
              <w:ind w:left="40"/>
              <w:spacing w:after="0"/>
              <w:rPr>
                <w:sz w:val="20"/>
                <w:szCs w:val="20"/>
                <w:color w:val="auto"/>
              </w:rPr>
            </w:pPr>
            <w:r>
              <w:rPr>
                <w:rFonts w:ascii="Arial" w:cs="Arial" w:eastAsia="Arial" w:hAnsi="Arial"/>
                <w:sz w:val="15"/>
                <w:szCs w:val="15"/>
                <w:color w:val="auto"/>
              </w:rPr>
              <w:t>2005</w:t>
            </w:r>
          </w:p>
        </w:tc>
        <w:tc>
          <w:tcPr>
            <w:tcW w:w="9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860" w:type="dxa"/>
            <w:vAlign w:val="bottom"/>
            <w:shd w:val="clear" w:color="auto" w:fill="BCBDC0"/>
          </w:tcPr>
          <w:p>
            <w:pPr>
              <w:ind w:left="40"/>
              <w:spacing w:after="0"/>
              <w:rPr>
                <w:sz w:val="20"/>
                <w:szCs w:val="20"/>
                <w:color w:val="auto"/>
              </w:rPr>
            </w:pPr>
            <w:r>
              <w:rPr>
                <w:rFonts w:ascii="Arial" w:cs="Arial" w:eastAsia="Arial" w:hAnsi="Arial"/>
                <w:sz w:val="15"/>
                <w:szCs w:val="15"/>
                <w:b w:val="1"/>
                <w:bCs w:val="1"/>
                <w:color w:val="477157"/>
              </w:rPr>
              <w:t>Chairman of the Board</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60" w:type="dxa"/>
            <w:vAlign w:val="bottom"/>
            <w:shd w:val="clear" w:color="auto" w:fill="BCBDC0"/>
          </w:tcPr>
          <w:p>
            <w:pPr>
              <w:ind w:left="40"/>
              <w:spacing w:after="0"/>
              <w:rPr>
                <w:sz w:val="20"/>
                <w:szCs w:val="20"/>
                <w:color w:val="auto"/>
              </w:rPr>
            </w:pPr>
            <w:r>
              <w:rPr>
                <w:rFonts w:ascii="Arial" w:cs="Arial" w:eastAsia="Arial" w:hAnsi="Arial"/>
                <w:sz w:val="15"/>
                <w:szCs w:val="15"/>
                <w:b w:val="1"/>
                <w:bCs w:val="1"/>
                <w:color w:val="477157"/>
              </w:rPr>
              <w:t>since:</w:t>
            </w:r>
          </w:p>
        </w:tc>
        <w:tc>
          <w:tcPr>
            <w:tcW w:w="9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860" w:type="dxa"/>
            <w:vAlign w:val="bottom"/>
            <w:shd w:val="clear" w:color="auto" w:fill="BCBDC0"/>
          </w:tcPr>
          <w:p>
            <w:pPr>
              <w:ind w:left="40"/>
              <w:spacing w:after="0"/>
              <w:rPr>
                <w:sz w:val="20"/>
                <w:szCs w:val="20"/>
                <w:color w:val="auto"/>
              </w:rPr>
            </w:pPr>
            <w:r>
              <w:rPr>
                <w:rFonts w:ascii="Arial" w:cs="Arial" w:eastAsia="Arial" w:hAnsi="Arial"/>
                <w:sz w:val="15"/>
                <w:szCs w:val="15"/>
                <w:color w:val="auto"/>
              </w:rPr>
              <w:t>May 2018</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860" w:type="dxa"/>
            <w:vAlign w:val="bottom"/>
            <w:shd w:val="clear" w:color="auto" w:fill="BCBDC0"/>
          </w:tcPr>
          <w:p>
            <w:pPr>
              <w:ind w:left="40"/>
              <w:spacing w:after="0"/>
              <w:rPr>
                <w:sz w:val="20"/>
                <w:szCs w:val="20"/>
                <w:color w:val="auto"/>
              </w:rPr>
            </w:pPr>
            <w:r>
              <w:rPr>
                <w:rFonts w:ascii="Arial" w:cs="Arial" w:eastAsia="Arial" w:hAnsi="Arial"/>
                <w:sz w:val="15"/>
                <w:szCs w:val="15"/>
                <w:b w:val="1"/>
                <w:bCs w:val="1"/>
                <w:color w:val="477157"/>
              </w:rPr>
              <w:t>Board Committees:</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860" w:type="dxa"/>
            <w:vAlign w:val="bottom"/>
            <w:shd w:val="clear" w:color="auto" w:fill="BCBDC0"/>
          </w:tcPr>
          <w:p>
            <w:pPr>
              <w:ind w:left="40"/>
              <w:spacing w:after="0"/>
              <w:rPr>
                <w:sz w:val="20"/>
                <w:szCs w:val="20"/>
                <w:color w:val="auto"/>
              </w:rPr>
            </w:pPr>
            <w:r>
              <w:rPr>
                <w:rFonts w:ascii="Arial" w:cs="Arial" w:eastAsia="Arial" w:hAnsi="Arial"/>
                <w:sz w:val="15"/>
                <w:szCs w:val="15"/>
                <w:color w:val="auto"/>
              </w:rPr>
              <w:t>Audit, Management</w:t>
            </w:r>
          </w:p>
        </w:tc>
        <w:tc>
          <w:tcPr>
            <w:tcW w:w="9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BCBDC0"/>
          </w:tcPr>
          <w:p>
            <w:pPr>
              <w:ind w:left="40"/>
              <w:spacing w:after="0" w:line="169" w:lineRule="exact"/>
              <w:rPr>
                <w:sz w:val="20"/>
                <w:szCs w:val="20"/>
                <w:color w:val="auto"/>
              </w:rPr>
            </w:pPr>
            <w:r>
              <w:rPr>
                <w:rFonts w:ascii="Arial" w:cs="Arial" w:eastAsia="Arial" w:hAnsi="Arial"/>
                <w:sz w:val="15"/>
                <w:szCs w:val="15"/>
                <w:color w:val="auto"/>
              </w:rPr>
              <w:t>Development &amp;</w:t>
            </w: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BCBDC0"/>
          </w:tcPr>
          <w:p>
            <w:pPr>
              <w:ind w:left="40"/>
              <w:spacing w:after="0" w:line="169" w:lineRule="exact"/>
              <w:rPr>
                <w:sz w:val="20"/>
                <w:szCs w:val="20"/>
                <w:color w:val="auto"/>
              </w:rPr>
            </w:pPr>
            <w:r>
              <w:rPr>
                <w:rFonts w:ascii="Arial" w:cs="Arial" w:eastAsia="Arial" w:hAnsi="Arial"/>
                <w:sz w:val="15"/>
                <w:szCs w:val="15"/>
                <w:color w:val="auto"/>
              </w:rPr>
              <w:t>Compensation and</w:t>
            </w: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BCBDC0"/>
          </w:tcPr>
          <w:p>
            <w:pPr>
              <w:ind w:left="40"/>
              <w:spacing w:after="0" w:line="169" w:lineRule="exact"/>
              <w:rPr>
                <w:sz w:val="20"/>
                <w:szCs w:val="20"/>
                <w:color w:val="auto"/>
              </w:rPr>
            </w:pPr>
            <w:r>
              <w:rPr>
                <w:rFonts w:ascii="Arial" w:cs="Arial" w:eastAsia="Arial" w:hAnsi="Arial"/>
                <w:sz w:val="15"/>
                <w:szCs w:val="15"/>
                <w:color w:val="auto"/>
              </w:rPr>
              <w:t>Nominating &amp;</w:t>
            </w: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60" w:type="dxa"/>
            <w:vAlign w:val="bottom"/>
            <w:shd w:val="clear" w:color="auto" w:fill="BCBDC0"/>
          </w:tcPr>
          <w:p>
            <w:pPr>
              <w:ind w:left="40"/>
              <w:spacing w:after="0" w:line="167" w:lineRule="exact"/>
              <w:rPr>
                <w:sz w:val="20"/>
                <w:szCs w:val="20"/>
                <w:color w:val="auto"/>
              </w:rPr>
            </w:pPr>
            <w:r>
              <w:rPr>
                <w:rFonts w:ascii="Arial" w:cs="Arial" w:eastAsia="Arial" w:hAnsi="Arial"/>
                <w:sz w:val="15"/>
                <w:szCs w:val="15"/>
                <w:color w:val="auto"/>
              </w:rPr>
              <w:t>Governance</w:t>
            </w: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114300</wp:posOffset>
            </wp:positionV>
            <wp:extent cx="5008245" cy="4794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08245" cy="4794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-3519805</wp:posOffset>
            </wp:positionV>
            <wp:extent cx="1158875" cy="1545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5887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35"/>
          <w:szCs w:val="35"/>
          <w:color w:val="477157"/>
        </w:rPr>
        <w:t>DIRECTOR AND OFFICER STOCK OWNERSHIP</w:t>
      </w:r>
    </w:p>
    <w:p>
      <w:pPr>
        <w:sectPr>
          <w:pgSz w:w="11900" w:h="16838" w:orient="portrait"/>
          <w:cols w:equalWidth="0" w:num="1">
            <w:col w:w="11260"/>
          </w:cols>
          <w:pgMar w:left="320" w:top="142" w:right="319" w:bottom="1440" w:gutter="0" w:footer="0" w:header="0"/>
        </w:sectPr>
      </w:pPr>
    </w:p>
    <w:p>
      <w:pPr>
        <w:spacing w:after="0" w:line="377"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 xml:space="preserve">Our Board of Directors has adopted stock ownership guidelines for our non-employee directors based on the recommendation of the MD&amp;C Committee, as described in Non-Employee Director Compensation on page 15 of this Proxy Statement. Our executive officers, including Mr. Fish, are also subject to stock ownership guidelines, as described in the </w:t>
      </w:r>
      <w:r>
        <w:rPr>
          <w:rFonts w:ascii="Arial" w:cs="Arial" w:eastAsia="Arial" w:hAnsi="Arial"/>
          <w:sz w:val="15"/>
          <w:szCs w:val="15"/>
          <w:i w:val="1"/>
          <w:iCs w:val="1"/>
          <w:color w:val="auto"/>
        </w:rPr>
        <w:t>Compensation Discussion and Analysis</w:t>
      </w:r>
      <w:r>
        <w:rPr>
          <w:rFonts w:ascii="Arial" w:cs="Arial" w:eastAsia="Arial" w:hAnsi="Arial"/>
          <w:sz w:val="15"/>
          <w:szCs w:val="15"/>
          <w:color w:val="auto"/>
        </w:rPr>
        <w:t xml:space="preserve"> beginning on page 26 of this Proxy Statement.</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Security Ownership of Management table below shows the number of shares of Common Stock each director and each executive officer named in the Summary Compensation Table on page 40 beneficially owned as of March 16, 2020, our record date for the annual meeting, as well as the number owned by all directors and currently-serving executive officers as a group. These individuals, both individually and in the aggregate, own less than 1% of our outstanding shares as of the record date.</w:t>
      </w:r>
    </w:p>
    <w:p>
      <w:pPr>
        <w:spacing w:after="0" w:line="200"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477157"/>
        </w:rPr>
        <w:t>SECURITY OWNERSHIP OF MANAGEMENT</w:t>
      </w:r>
    </w:p>
    <w:p>
      <w:pPr>
        <w:spacing w:after="0" w:line="177"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477157"/>
                <w:w w:val="99"/>
              </w:rPr>
              <w:t>Shares of Common</w:t>
            </w:r>
          </w:p>
        </w:tc>
      </w:tr>
      <w:tr>
        <w:trPr>
          <w:trHeight w:val="133"/>
        </w:trPr>
        <w:tc>
          <w:tcPr>
            <w:tcW w:w="5140" w:type="dxa"/>
            <w:vAlign w:val="bottom"/>
          </w:tcPr>
          <w:p>
            <w:pPr>
              <w:spacing w:after="0"/>
              <w:rPr>
                <w:sz w:val="11"/>
                <w:szCs w:val="11"/>
                <w:color w:val="auto"/>
              </w:rPr>
            </w:pPr>
          </w:p>
        </w:tc>
        <w:tc>
          <w:tcPr>
            <w:tcW w:w="2380" w:type="dxa"/>
            <w:vAlign w:val="bottom"/>
          </w:tcPr>
          <w:p>
            <w:pPr>
              <w:jc w:val="right"/>
              <w:ind w:right="8"/>
              <w:spacing w:after="0" w:line="133" w:lineRule="exact"/>
              <w:rPr>
                <w:sz w:val="20"/>
                <w:szCs w:val="20"/>
                <w:color w:val="auto"/>
              </w:rPr>
            </w:pPr>
            <w:r>
              <w:rPr>
                <w:rFonts w:ascii="Arial" w:cs="Arial" w:eastAsia="Arial" w:hAnsi="Arial"/>
                <w:sz w:val="12"/>
                <w:szCs w:val="12"/>
                <w:b w:val="1"/>
                <w:bCs w:val="1"/>
                <w:color w:val="477157"/>
              </w:rPr>
              <w:t>Shares of Common</w:t>
            </w:r>
          </w:p>
        </w:tc>
        <w:tc>
          <w:tcPr>
            <w:tcW w:w="1360" w:type="dxa"/>
            <w:vAlign w:val="bottom"/>
          </w:tcPr>
          <w:p>
            <w:pPr>
              <w:jc w:val="center"/>
              <w:spacing w:after="0" w:line="133" w:lineRule="exact"/>
              <w:rPr>
                <w:sz w:val="20"/>
                <w:szCs w:val="20"/>
                <w:color w:val="auto"/>
              </w:rPr>
            </w:pPr>
            <w:r>
              <w:rPr>
                <w:rFonts w:ascii="Arial" w:cs="Arial" w:eastAsia="Arial" w:hAnsi="Arial"/>
                <w:sz w:val="12"/>
                <w:szCs w:val="12"/>
                <w:b w:val="1"/>
                <w:bCs w:val="1"/>
                <w:color w:val="477157"/>
              </w:rPr>
              <w:t>Stock Covered by</w:t>
            </w:r>
          </w:p>
        </w:tc>
      </w:tr>
      <w:tr>
        <w:trPr>
          <w:trHeight w:val="170"/>
        </w:trPr>
        <w:tc>
          <w:tcPr>
            <w:tcW w:w="514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w:t>
            </w:r>
          </w:p>
        </w:tc>
        <w:tc>
          <w:tcPr>
            <w:tcW w:w="2380" w:type="dxa"/>
            <w:vAlign w:val="bottom"/>
            <w:tcBorders>
              <w:bottom w:val="single" w:sz="8" w:color="477157"/>
            </w:tcBorders>
          </w:tcPr>
          <w:p>
            <w:pPr>
              <w:jc w:val="right"/>
              <w:ind w:right="128"/>
              <w:spacing w:after="0" w:line="170" w:lineRule="exact"/>
              <w:rPr>
                <w:sz w:val="20"/>
                <w:szCs w:val="20"/>
                <w:color w:val="auto"/>
              </w:rPr>
            </w:pPr>
            <w:r>
              <w:rPr>
                <w:rFonts w:ascii="Arial" w:cs="Arial" w:eastAsia="Arial" w:hAnsi="Arial"/>
                <w:sz w:val="12"/>
                <w:szCs w:val="12"/>
                <w:b w:val="1"/>
                <w:bCs w:val="1"/>
                <w:color w:val="477157"/>
              </w:rPr>
              <w:t>Stock Owned</w:t>
            </w:r>
            <w:r>
              <w:rPr>
                <w:rFonts w:ascii="Arial" w:cs="Arial" w:eastAsia="Arial" w:hAnsi="Arial"/>
                <w:sz w:val="18"/>
                <w:szCs w:val="18"/>
                <w:b w:val="1"/>
                <w:bCs w:val="1"/>
                <w:color w:val="477157"/>
                <w:vertAlign w:val="superscript"/>
              </w:rPr>
              <w:t>(1)</w:t>
            </w:r>
          </w:p>
        </w:tc>
        <w:tc>
          <w:tcPr>
            <w:tcW w:w="1360" w:type="dxa"/>
            <w:vAlign w:val="bottom"/>
            <w:tcBorders>
              <w:bottom w:val="single" w:sz="8" w:color="477157"/>
            </w:tcBorders>
          </w:tcPr>
          <w:p>
            <w:pPr>
              <w:jc w:val="center"/>
              <w:spacing w:after="0" w:line="170" w:lineRule="exact"/>
              <w:rPr>
                <w:sz w:val="20"/>
                <w:szCs w:val="20"/>
                <w:color w:val="auto"/>
              </w:rPr>
            </w:pPr>
            <w:r>
              <w:rPr>
                <w:rFonts w:ascii="Arial" w:cs="Arial" w:eastAsia="Arial" w:hAnsi="Arial"/>
                <w:sz w:val="12"/>
                <w:szCs w:val="12"/>
                <w:b w:val="1"/>
                <w:bCs w:val="1"/>
                <w:color w:val="477157"/>
                <w:w w:val="96"/>
              </w:rPr>
              <w:t>Exercisable Options</w:t>
            </w:r>
            <w:r>
              <w:rPr>
                <w:rFonts w:ascii="Arial" w:cs="Arial" w:eastAsia="Arial" w:hAnsi="Arial"/>
                <w:sz w:val="18"/>
                <w:szCs w:val="18"/>
                <w:b w:val="1"/>
                <w:bCs w:val="1"/>
                <w:color w:val="477157"/>
                <w:w w:val="96"/>
                <w:vertAlign w:val="superscript"/>
              </w:rPr>
              <w:t>(2)</w:t>
            </w:r>
          </w:p>
        </w:tc>
      </w:tr>
      <w:tr>
        <w:trPr>
          <w:trHeight w:val="160"/>
        </w:trPr>
        <w:tc>
          <w:tcPr>
            <w:tcW w:w="51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Frank M. Clark, Jr.</w:t>
            </w:r>
          </w:p>
        </w:tc>
        <w:tc>
          <w:tcPr>
            <w:tcW w:w="2380" w:type="dxa"/>
            <w:vAlign w:val="bottom"/>
            <w:tcBorders>
              <w:bottom w:val="single" w:sz="8" w:color="477157"/>
            </w:tcBorders>
          </w:tcPr>
          <w:p>
            <w:pPr>
              <w:jc w:val="right"/>
              <w:ind w:right="8"/>
              <w:spacing w:after="0" w:line="161" w:lineRule="exact"/>
              <w:rPr>
                <w:sz w:val="20"/>
                <w:szCs w:val="20"/>
                <w:color w:val="auto"/>
              </w:rPr>
            </w:pPr>
            <w:r>
              <w:rPr>
                <w:rFonts w:ascii="Arial" w:cs="Arial" w:eastAsia="Arial" w:hAnsi="Arial"/>
                <w:sz w:val="15"/>
                <w:szCs w:val="15"/>
                <w:color w:val="auto"/>
              </w:rPr>
              <w:t>32,129</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r>
      <w:tr>
        <w:trPr>
          <w:trHeight w:val="160"/>
        </w:trPr>
        <w:tc>
          <w:tcPr>
            <w:tcW w:w="51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Andrés R. Gluski</w:t>
            </w:r>
          </w:p>
        </w:tc>
        <w:tc>
          <w:tcPr>
            <w:tcW w:w="2380" w:type="dxa"/>
            <w:vAlign w:val="bottom"/>
            <w:tcBorders>
              <w:bottom w:val="single" w:sz="8" w:color="477157"/>
            </w:tcBorders>
          </w:tcPr>
          <w:p>
            <w:pPr>
              <w:jc w:val="right"/>
              <w:ind w:right="8"/>
              <w:spacing w:after="0" w:line="161" w:lineRule="exact"/>
              <w:rPr>
                <w:sz w:val="20"/>
                <w:szCs w:val="20"/>
                <w:color w:val="auto"/>
              </w:rPr>
            </w:pPr>
            <w:r>
              <w:rPr>
                <w:rFonts w:ascii="Arial" w:cs="Arial" w:eastAsia="Arial" w:hAnsi="Arial"/>
                <w:sz w:val="15"/>
                <w:szCs w:val="15"/>
                <w:color w:val="auto"/>
              </w:rPr>
              <w:t>11,169</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r>
      <w:tr>
        <w:trPr>
          <w:trHeight w:val="160"/>
        </w:trPr>
        <w:tc>
          <w:tcPr>
            <w:tcW w:w="51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Patrick W. Gross</w:t>
            </w:r>
          </w:p>
        </w:tc>
        <w:tc>
          <w:tcPr>
            <w:tcW w:w="2380" w:type="dxa"/>
            <w:vAlign w:val="bottom"/>
            <w:tcBorders>
              <w:bottom w:val="single" w:sz="8" w:color="477157"/>
            </w:tcBorders>
          </w:tcPr>
          <w:p>
            <w:pPr>
              <w:jc w:val="right"/>
              <w:ind w:right="8"/>
              <w:spacing w:after="0" w:line="161" w:lineRule="exact"/>
              <w:rPr>
                <w:sz w:val="20"/>
                <w:szCs w:val="20"/>
                <w:color w:val="auto"/>
              </w:rPr>
            </w:pPr>
            <w:r>
              <w:rPr>
                <w:rFonts w:ascii="Arial" w:cs="Arial" w:eastAsia="Arial" w:hAnsi="Arial"/>
                <w:sz w:val="15"/>
                <w:szCs w:val="15"/>
                <w:color w:val="auto"/>
              </w:rPr>
              <w:t>24,942</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r>
      <w:tr>
        <w:trPr>
          <w:trHeight w:val="160"/>
        </w:trPr>
        <w:tc>
          <w:tcPr>
            <w:tcW w:w="51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Victoria M. Holt</w:t>
            </w:r>
          </w:p>
        </w:tc>
        <w:tc>
          <w:tcPr>
            <w:tcW w:w="2380" w:type="dxa"/>
            <w:vAlign w:val="bottom"/>
            <w:tcBorders>
              <w:bottom w:val="single" w:sz="8" w:color="477157"/>
            </w:tcBorders>
          </w:tcPr>
          <w:p>
            <w:pPr>
              <w:jc w:val="right"/>
              <w:ind w:right="8"/>
              <w:spacing w:after="0" w:line="161" w:lineRule="exact"/>
              <w:rPr>
                <w:sz w:val="20"/>
                <w:szCs w:val="20"/>
                <w:color w:val="auto"/>
              </w:rPr>
            </w:pPr>
            <w:r>
              <w:rPr>
                <w:rFonts w:ascii="Arial" w:cs="Arial" w:eastAsia="Arial" w:hAnsi="Arial"/>
                <w:sz w:val="15"/>
                <w:szCs w:val="15"/>
                <w:color w:val="auto"/>
              </w:rPr>
              <w:t>17,271</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r>
      <w:tr>
        <w:trPr>
          <w:trHeight w:val="194"/>
        </w:trPr>
        <w:tc>
          <w:tcPr>
            <w:tcW w:w="5140" w:type="dxa"/>
            <w:vAlign w:val="bottom"/>
            <w:tcBorders>
              <w:bottom w:val="single" w:sz="8" w:color="477157"/>
            </w:tcBorders>
          </w:tcPr>
          <w:p>
            <w:pPr>
              <w:spacing w:after="0" w:line="194" w:lineRule="exact"/>
              <w:rPr>
                <w:sz w:val="20"/>
                <w:szCs w:val="20"/>
                <w:color w:val="auto"/>
              </w:rPr>
            </w:pPr>
            <w:r>
              <w:rPr>
                <w:rFonts w:ascii="Arial" w:cs="Arial" w:eastAsia="Arial" w:hAnsi="Arial"/>
                <w:sz w:val="14"/>
                <w:szCs w:val="14"/>
                <w:color w:val="auto"/>
              </w:rPr>
              <w:t>Kathleen M. Mazzarella</w:t>
            </w:r>
            <w:r>
              <w:rPr>
                <w:rFonts w:ascii="Arial" w:cs="Arial" w:eastAsia="Arial" w:hAnsi="Arial"/>
                <w:sz w:val="22"/>
                <w:szCs w:val="22"/>
                <w:color w:val="auto"/>
                <w:vertAlign w:val="superscript"/>
              </w:rPr>
              <w:t>(3)</w:t>
            </w:r>
          </w:p>
        </w:tc>
        <w:tc>
          <w:tcPr>
            <w:tcW w:w="2380" w:type="dxa"/>
            <w:vAlign w:val="bottom"/>
            <w:tcBorders>
              <w:bottom w:val="single" w:sz="8" w:color="477157"/>
            </w:tcBorders>
          </w:tcPr>
          <w:p>
            <w:pPr>
              <w:jc w:val="right"/>
              <w:ind w:right="8"/>
              <w:spacing w:after="0"/>
              <w:rPr>
                <w:sz w:val="20"/>
                <w:szCs w:val="20"/>
                <w:color w:val="auto"/>
              </w:rPr>
            </w:pPr>
            <w:r>
              <w:rPr>
                <w:rFonts w:ascii="Arial" w:cs="Arial" w:eastAsia="Arial" w:hAnsi="Arial"/>
                <w:sz w:val="15"/>
                <w:szCs w:val="15"/>
                <w:color w:val="auto"/>
              </w:rPr>
              <w:t>9,081</w:t>
            </w:r>
          </w:p>
        </w:tc>
        <w:tc>
          <w:tcPr>
            <w:tcW w:w="136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w:t>
            </w:r>
          </w:p>
        </w:tc>
      </w:tr>
      <w:tr>
        <w:trPr>
          <w:trHeight w:val="160"/>
        </w:trPr>
        <w:tc>
          <w:tcPr>
            <w:tcW w:w="51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William B. Plummer</w:t>
            </w:r>
          </w:p>
        </w:tc>
        <w:tc>
          <w:tcPr>
            <w:tcW w:w="2380" w:type="dxa"/>
            <w:vAlign w:val="bottom"/>
            <w:tcBorders>
              <w:bottom w:val="single" w:sz="8" w:color="477157"/>
            </w:tcBorders>
          </w:tcPr>
          <w:p>
            <w:pPr>
              <w:jc w:val="right"/>
              <w:ind w:right="8"/>
              <w:spacing w:after="0" w:line="161" w:lineRule="exact"/>
              <w:rPr>
                <w:sz w:val="20"/>
                <w:szCs w:val="20"/>
                <w:color w:val="auto"/>
              </w:rPr>
            </w:pPr>
            <w:r>
              <w:rPr>
                <w:rFonts w:ascii="Arial" w:cs="Arial" w:eastAsia="Arial" w:hAnsi="Arial"/>
                <w:sz w:val="15"/>
                <w:szCs w:val="15"/>
                <w:color w:val="auto"/>
              </w:rPr>
              <w:t>1,186</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r>
      <w:tr>
        <w:trPr>
          <w:trHeight w:val="160"/>
        </w:trPr>
        <w:tc>
          <w:tcPr>
            <w:tcW w:w="51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John C. Pope</w:t>
            </w:r>
          </w:p>
        </w:tc>
        <w:tc>
          <w:tcPr>
            <w:tcW w:w="2380" w:type="dxa"/>
            <w:vAlign w:val="bottom"/>
            <w:tcBorders>
              <w:bottom w:val="single" w:sz="8" w:color="477157"/>
            </w:tcBorders>
          </w:tcPr>
          <w:p>
            <w:pPr>
              <w:jc w:val="right"/>
              <w:ind w:right="8"/>
              <w:spacing w:after="0" w:line="161" w:lineRule="exact"/>
              <w:rPr>
                <w:sz w:val="20"/>
                <w:szCs w:val="20"/>
                <w:color w:val="auto"/>
              </w:rPr>
            </w:pPr>
            <w:r>
              <w:rPr>
                <w:rFonts w:ascii="Arial" w:cs="Arial" w:eastAsia="Arial" w:hAnsi="Arial"/>
                <w:sz w:val="15"/>
                <w:szCs w:val="15"/>
                <w:color w:val="auto"/>
              </w:rPr>
              <w:t>53,497</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r>
      <w:tr>
        <w:trPr>
          <w:trHeight w:val="194"/>
        </w:trPr>
        <w:tc>
          <w:tcPr>
            <w:tcW w:w="5140" w:type="dxa"/>
            <w:vAlign w:val="bottom"/>
            <w:tcBorders>
              <w:bottom w:val="single" w:sz="8" w:color="477157"/>
            </w:tcBorders>
          </w:tcPr>
          <w:p>
            <w:pPr>
              <w:spacing w:after="0" w:line="194" w:lineRule="exact"/>
              <w:rPr>
                <w:sz w:val="20"/>
                <w:szCs w:val="20"/>
                <w:color w:val="auto"/>
              </w:rPr>
            </w:pPr>
            <w:r>
              <w:rPr>
                <w:rFonts w:ascii="Arial" w:cs="Arial" w:eastAsia="Arial" w:hAnsi="Arial"/>
                <w:sz w:val="14"/>
                <w:szCs w:val="14"/>
                <w:color w:val="auto"/>
              </w:rPr>
              <w:t>Thomas H. Weidemeyer</w:t>
            </w:r>
            <w:r>
              <w:rPr>
                <w:rFonts w:ascii="Arial" w:cs="Arial" w:eastAsia="Arial" w:hAnsi="Arial"/>
                <w:sz w:val="22"/>
                <w:szCs w:val="22"/>
                <w:color w:val="auto"/>
                <w:vertAlign w:val="superscript"/>
              </w:rPr>
              <w:t>(4)</w:t>
            </w:r>
          </w:p>
        </w:tc>
        <w:tc>
          <w:tcPr>
            <w:tcW w:w="2380" w:type="dxa"/>
            <w:vAlign w:val="bottom"/>
            <w:tcBorders>
              <w:bottom w:val="single" w:sz="8" w:color="477157"/>
            </w:tcBorders>
          </w:tcPr>
          <w:p>
            <w:pPr>
              <w:jc w:val="right"/>
              <w:ind w:right="8"/>
              <w:spacing w:after="0"/>
              <w:rPr>
                <w:sz w:val="20"/>
                <w:szCs w:val="20"/>
                <w:color w:val="auto"/>
              </w:rPr>
            </w:pPr>
            <w:r>
              <w:rPr>
                <w:rFonts w:ascii="Arial" w:cs="Arial" w:eastAsia="Arial" w:hAnsi="Arial"/>
                <w:sz w:val="15"/>
                <w:szCs w:val="15"/>
                <w:color w:val="auto"/>
              </w:rPr>
              <w:t>31,165</w:t>
            </w:r>
          </w:p>
        </w:tc>
        <w:tc>
          <w:tcPr>
            <w:tcW w:w="136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w:t>
            </w:r>
          </w:p>
        </w:tc>
      </w:tr>
      <w:tr>
        <w:trPr>
          <w:trHeight w:val="160"/>
        </w:trPr>
        <w:tc>
          <w:tcPr>
            <w:tcW w:w="51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James C. Fish, Jr.</w:t>
            </w:r>
          </w:p>
        </w:tc>
        <w:tc>
          <w:tcPr>
            <w:tcW w:w="2380" w:type="dxa"/>
            <w:vAlign w:val="bottom"/>
            <w:tcBorders>
              <w:bottom w:val="single" w:sz="8" w:color="477157"/>
            </w:tcBorders>
          </w:tcPr>
          <w:p>
            <w:pPr>
              <w:jc w:val="right"/>
              <w:ind w:right="8"/>
              <w:spacing w:after="0" w:line="161" w:lineRule="exact"/>
              <w:rPr>
                <w:sz w:val="20"/>
                <w:szCs w:val="20"/>
                <w:color w:val="auto"/>
              </w:rPr>
            </w:pPr>
            <w:r>
              <w:rPr>
                <w:rFonts w:ascii="Arial" w:cs="Arial" w:eastAsia="Arial" w:hAnsi="Arial"/>
                <w:sz w:val="15"/>
                <w:szCs w:val="15"/>
                <w:color w:val="auto"/>
              </w:rPr>
              <w:t>264,369</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53,312</w:t>
            </w:r>
          </w:p>
        </w:tc>
      </w:tr>
      <w:tr>
        <w:trPr>
          <w:trHeight w:val="160"/>
        </w:trPr>
        <w:tc>
          <w:tcPr>
            <w:tcW w:w="51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Devina A. Rankin</w:t>
            </w:r>
          </w:p>
        </w:tc>
        <w:tc>
          <w:tcPr>
            <w:tcW w:w="2380" w:type="dxa"/>
            <w:vAlign w:val="bottom"/>
            <w:tcBorders>
              <w:bottom w:val="single" w:sz="8" w:color="477157"/>
            </w:tcBorders>
          </w:tcPr>
          <w:p>
            <w:pPr>
              <w:jc w:val="right"/>
              <w:ind w:right="8"/>
              <w:spacing w:after="0" w:line="161" w:lineRule="exact"/>
              <w:rPr>
                <w:sz w:val="20"/>
                <w:szCs w:val="20"/>
                <w:color w:val="auto"/>
              </w:rPr>
            </w:pPr>
            <w:r>
              <w:rPr>
                <w:rFonts w:ascii="Arial" w:cs="Arial" w:eastAsia="Arial" w:hAnsi="Arial"/>
                <w:sz w:val="15"/>
                <w:szCs w:val="15"/>
                <w:color w:val="auto"/>
              </w:rPr>
              <w:t>25,473</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54,456</w:t>
            </w:r>
          </w:p>
        </w:tc>
      </w:tr>
      <w:tr>
        <w:trPr>
          <w:trHeight w:val="160"/>
        </w:trPr>
        <w:tc>
          <w:tcPr>
            <w:tcW w:w="51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John J. Morris, Jr.</w:t>
            </w:r>
          </w:p>
        </w:tc>
        <w:tc>
          <w:tcPr>
            <w:tcW w:w="2380" w:type="dxa"/>
            <w:vAlign w:val="bottom"/>
            <w:tcBorders>
              <w:bottom w:val="single" w:sz="8" w:color="477157"/>
            </w:tcBorders>
          </w:tcPr>
          <w:p>
            <w:pPr>
              <w:jc w:val="right"/>
              <w:ind w:right="8"/>
              <w:spacing w:after="0" w:line="161" w:lineRule="exact"/>
              <w:rPr>
                <w:sz w:val="20"/>
                <w:szCs w:val="20"/>
                <w:color w:val="auto"/>
              </w:rPr>
            </w:pPr>
            <w:r>
              <w:rPr>
                <w:rFonts w:ascii="Arial" w:cs="Arial" w:eastAsia="Arial" w:hAnsi="Arial"/>
                <w:sz w:val="15"/>
                <w:szCs w:val="15"/>
                <w:color w:val="auto"/>
              </w:rPr>
              <w:t>86,855</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23,803</w:t>
            </w:r>
          </w:p>
        </w:tc>
      </w:tr>
      <w:tr>
        <w:trPr>
          <w:trHeight w:val="160"/>
        </w:trPr>
        <w:tc>
          <w:tcPr>
            <w:tcW w:w="51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Tara J. Hemmer</w:t>
            </w:r>
          </w:p>
        </w:tc>
        <w:tc>
          <w:tcPr>
            <w:tcW w:w="2380" w:type="dxa"/>
            <w:vAlign w:val="bottom"/>
            <w:tcBorders>
              <w:bottom w:val="single" w:sz="8" w:color="477157"/>
            </w:tcBorders>
          </w:tcPr>
          <w:p>
            <w:pPr>
              <w:jc w:val="right"/>
              <w:ind w:right="8"/>
              <w:spacing w:after="0" w:line="161" w:lineRule="exact"/>
              <w:rPr>
                <w:sz w:val="20"/>
                <w:szCs w:val="20"/>
                <w:color w:val="auto"/>
              </w:rPr>
            </w:pPr>
            <w:r>
              <w:rPr>
                <w:rFonts w:ascii="Arial" w:cs="Arial" w:eastAsia="Arial" w:hAnsi="Arial"/>
                <w:sz w:val="15"/>
                <w:szCs w:val="15"/>
                <w:color w:val="auto"/>
              </w:rPr>
              <w:t>21,425</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27,442</w:t>
            </w:r>
          </w:p>
        </w:tc>
      </w:tr>
      <w:tr>
        <w:trPr>
          <w:trHeight w:val="160"/>
        </w:trPr>
        <w:tc>
          <w:tcPr>
            <w:tcW w:w="51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Steven R. Batchelor</w:t>
            </w:r>
          </w:p>
        </w:tc>
        <w:tc>
          <w:tcPr>
            <w:tcW w:w="2380" w:type="dxa"/>
            <w:vAlign w:val="bottom"/>
            <w:tcBorders>
              <w:bottom w:val="single" w:sz="8" w:color="477157"/>
            </w:tcBorders>
          </w:tcPr>
          <w:p>
            <w:pPr>
              <w:jc w:val="right"/>
              <w:ind w:right="8"/>
              <w:spacing w:after="0" w:line="161" w:lineRule="exact"/>
              <w:rPr>
                <w:sz w:val="20"/>
                <w:szCs w:val="20"/>
                <w:color w:val="auto"/>
              </w:rPr>
            </w:pPr>
            <w:r>
              <w:rPr>
                <w:rFonts w:ascii="Arial" w:cs="Arial" w:eastAsia="Arial" w:hAnsi="Arial"/>
                <w:sz w:val="15"/>
                <w:szCs w:val="15"/>
                <w:color w:val="auto"/>
              </w:rPr>
              <w:t>21,168</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14,036</w:t>
            </w:r>
          </w:p>
        </w:tc>
      </w:tr>
      <w:tr>
        <w:trPr>
          <w:trHeight w:val="194"/>
        </w:trPr>
        <w:tc>
          <w:tcPr>
            <w:tcW w:w="5140" w:type="dxa"/>
            <w:vAlign w:val="bottom"/>
            <w:tcBorders>
              <w:bottom w:val="single" w:sz="8" w:color="477157"/>
            </w:tcBorders>
          </w:tcPr>
          <w:p>
            <w:pPr>
              <w:spacing w:after="0" w:line="194" w:lineRule="exact"/>
              <w:rPr>
                <w:sz w:val="20"/>
                <w:szCs w:val="20"/>
                <w:color w:val="auto"/>
              </w:rPr>
            </w:pPr>
            <w:r>
              <w:rPr>
                <w:rFonts w:ascii="Arial" w:cs="Arial" w:eastAsia="Arial" w:hAnsi="Arial"/>
                <w:sz w:val="14"/>
                <w:szCs w:val="14"/>
                <w:color w:val="auto"/>
              </w:rPr>
              <w:t>All directors and executive officers as a group (17 persons)</w:t>
            </w:r>
            <w:r>
              <w:rPr>
                <w:rFonts w:ascii="Arial" w:cs="Arial" w:eastAsia="Arial" w:hAnsi="Arial"/>
                <w:sz w:val="22"/>
                <w:szCs w:val="22"/>
                <w:color w:val="auto"/>
                <w:vertAlign w:val="superscript"/>
              </w:rPr>
              <w:t>(5)</w:t>
            </w:r>
          </w:p>
        </w:tc>
        <w:tc>
          <w:tcPr>
            <w:tcW w:w="2380" w:type="dxa"/>
            <w:vAlign w:val="bottom"/>
            <w:tcBorders>
              <w:bottom w:val="single" w:sz="8" w:color="477157"/>
            </w:tcBorders>
          </w:tcPr>
          <w:p>
            <w:pPr>
              <w:jc w:val="right"/>
              <w:ind w:right="8"/>
              <w:spacing w:after="0"/>
              <w:rPr>
                <w:sz w:val="20"/>
                <w:szCs w:val="20"/>
                <w:color w:val="auto"/>
              </w:rPr>
            </w:pPr>
            <w:r>
              <w:rPr>
                <w:rFonts w:ascii="Arial" w:cs="Arial" w:eastAsia="Arial" w:hAnsi="Arial"/>
                <w:sz w:val="15"/>
                <w:szCs w:val="15"/>
                <w:color w:val="auto"/>
              </w:rPr>
              <w:t>657,866</w:t>
            </w:r>
          </w:p>
        </w:tc>
        <w:tc>
          <w:tcPr>
            <w:tcW w:w="136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288,726</w:t>
            </w:r>
          </w:p>
        </w:tc>
      </w:tr>
    </w:tbl>
    <w:p>
      <w:pPr>
        <w:spacing w:after="0" w:line="183" w:lineRule="exact"/>
        <w:rPr>
          <w:sz w:val="20"/>
          <w:szCs w:val="20"/>
          <w:color w:val="auto"/>
        </w:rPr>
      </w:pPr>
    </w:p>
    <w:p>
      <w:pPr>
        <w:jc w:val="both"/>
        <w:ind w:left="1560" w:hanging="443"/>
        <w:spacing w:after="0" w:line="237" w:lineRule="auto"/>
        <w:tabs>
          <w:tab w:leader="none" w:pos="1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table reports beneficial ownership in accordance with Rule 13d-3 under the Exchange Act. The amounts reported above include 3,947 stock equivalents attributed to Mr. Fish, 2,220 stock equivalents attributed to Mr. Morris and 966 stock equivalents attributed to Mr. Batchelor,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173" w:lineRule="exact"/>
        <w:rPr>
          <w:rFonts w:ascii="Arial" w:cs="Arial" w:eastAsia="Arial" w:hAnsi="Arial"/>
          <w:sz w:val="15"/>
          <w:szCs w:val="15"/>
          <w:color w:val="auto"/>
        </w:rPr>
      </w:pPr>
    </w:p>
    <w:p>
      <w:pPr>
        <w:jc w:val="both"/>
        <w:ind w:left="1560"/>
        <w:spacing w:after="0" w:line="237" w:lineRule="auto"/>
        <w:rPr>
          <w:rFonts w:ascii="Arial" w:cs="Arial" w:eastAsia="Arial" w:hAnsi="Arial"/>
          <w:sz w:val="15"/>
          <w:szCs w:val="15"/>
          <w:color w:val="auto"/>
        </w:rPr>
      </w:pPr>
      <w:r>
        <w:rPr>
          <w:rFonts w:ascii="Arial" w:cs="Arial" w:eastAsia="Arial" w:hAnsi="Arial"/>
          <w:sz w:val="15"/>
          <w:szCs w:val="15"/>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and Mr. Batchelor have 2,410 and 4,950 phantom stock equivalents, respectively, under the 409A Deferral Plan.</w:t>
      </w:r>
    </w:p>
    <w:p>
      <w:pPr>
        <w:spacing w:after="0" w:line="184" w:lineRule="exact"/>
        <w:rPr>
          <w:rFonts w:ascii="Arial" w:cs="Arial" w:eastAsia="Arial" w:hAnsi="Arial"/>
          <w:sz w:val="15"/>
          <w:szCs w:val="15"/>
          <w:color w:val="auto"/>
        </w:rPr>
      </w:pPr>
    </w:p>
    <w:p>
      <w:pPr>
        <w:ind w:left="1560" w:hanging="443"/>
        <w:spacing w:after="0"/>
        <w:tabs>
          <w:tab w:leader="none" w:pos="1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the number of options currently exercisable and options that will become exercisable within 60 days of our record date.</w:t>
      </w:r>
    </w:p>
    <w:p>
      <w:pPr>
        <w:spacing w:after="0" w:line="147"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25" w:name="page26"/>
    <w:bookmarkEnd w:id="2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DIRECTOR AND OFFICER STOCK OWNERSHIP</w:t>
      </w:r>
    </w:p>
    <w:p>
      <w:pPr>
        <w:spacing w:after="0" w:line="195" w:lineRule="exact"/>
        <w:rPr>
          <w:sz w:val="20"/>
          <w:szCs w:val="20"/>
          <w:color w:val="auto"/>
        </w:rPr>
      </w:pPr>
    </w:p>
    <w:p>
      <w:pPr>
        <w:ind w:left="1560" w:hanging="443"/>
        <w:spacing w:after="0"/>
        <w:tabs>
          <w:tab w:leader="none" w:pos="1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Shares are held by the Mazzarella Living Trust, a joint revocable trust for which Ms. Mazzarella and her husband serve as trustees.</w:t>
      </w:r>
    </w:p>
    <w:p>
      <w:pPr>
        <w:spacing w:after="0" w:line="176" w:lineRule="exact"/>
        <w:rPr>
          <w:rFonts w:ascii="Arial" w:cs="Arial" w:eastAsia="Arial" w:hAnsi="Arial"/>
          <w:sz w:val="15"/>
          <w:szCs w:val="15"/>
          <w:color w:val="auto"/>
        </w:rPr>
      </w:pPr>
    </w:p>
    <w:p>
      <w:pPr>
        <w:ind w:left="1560" w:hanging="443"/>
        <w:spacing w:after="0"/>
        <w:tabs>
          <w:tab w:leader="none" w:pos="1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Shares are held by the Weidemeyer Living Trust, a joint revocable trust for which Mr. Weidemeyer and his wife serve as trustees.</w:t>
      </w:r>
    </w:p>
    <w:p>
      <w:pPr>
        <w:spacing w:after="0" w:line="165" w:lineRule="exact"/>
        <w:rPr>
          <w:rFonts w:ascii="Arial" w:cs="Arial" w:eastAsia="Arial" w:hAnsi="Arial"/>
          <w:sz w:val="15"/>
          <w:szCs w:val="15"/>
          <w:color w:val="auto"/>
        </w:rPr>
      </w:pPr>
    </w:p>
    <w:p>
      <w:pPr>
        <w:jc w:val="both"/>
        <w:ind w:left="1560" w:hanging="443"/>
        <w:spacing w:after="0" w:line="238" w:lineRule="auto"/>
        <w:tabs>
          <w:tab w:leader="none" w:pos="1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Included in the "All directors and currently-serving executive officers as a group" are 10,411 stock equivalents attributable to the executive officers' collective holdings in the Company's 401(k) Retirement Savings Plan stock fund. This group also holds an aggregate of 8,358 phantom stock equivalents under the 409A Deferral Plan that are not included in the table.</w:t>
      </w:r>
    </w:p>
    <w:p>
      <w:pPr>
        <w:spacing w:after="0" w:line="155"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36"/>
          <w:szCs w:val="36"/>
          <w:color w:val="477157"/>
        </w:rPr>
        <w:t>SECURITY OWNERSHIP OF CERTAIN BENEFICIAL OWNERS</w:t>
      </w:r>
    </w:p>
    <w:p>
      <w:pPr>
        <w:spacing w:after="0" w:line="185"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The table below shows information for persons known to us to beneficially own more than 5% of our Common Stock based on their filings with the SEC through March 16, 2020.</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2660" w:type="dxa"/>
            <w:vAlign w:val="bottom"/>
          </w:tcPr>
          <w:p>
            <w:pPr>
              <w:jc w:val="right"/>
              <w:ind w:right="321"/>
              <w:spacing w:after="0"/>
              <w:rPr>
                <w:sz w:val="20"/>
                <w:szCs w:val="20"/>
                <w:color w:val="auto"/>
              </w:rPr>
            </w:pPr>
            <w:r>
              <w:rPr>
                <w:rFonts w:ascii="Arial" w:cs="Arial" w:eastAsia="Arial" w:hAnsi="Arial"/>
                <w:sz w:val="12"/>
                <w:szCs w:val="12"/>
                <w:b w:val="1"/>
                <w:bCs w:val="1"/>
                <w:color w:val="477157"/>
              </w:rPr>
              <w:t>Shares Beneficially</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5400" w:type="dxa"/>
            <w:vAlign w:val="bottom"/>
          </w:tcPr>
          <w:p>
            <w:pPr>
              <w:spacing w:after="0"/>
              <w:rPr>
                <w:sz w:val="12"/>
                <w:szCs w:val="12"/>
                <w:color w:val="auto"/>
              </w:rPr>
            </w:pPr>
          </w:p>
        </w:tc>
        <w:tc>
          <w:tcPr>
            <w:tcW w:w="2660" w:type="dxa"/>
            <w:vAlign w:val="bottom"/>
            <w:tcBorders>
              <w:bottom w:val="single" w:sz="8" w:color="auto"/>
            </w:tcBorders>
          </w:tcPr>
          <w:p>
            <w:pPr>
              <w:jc w:val="right"/>
              <w:ind w:right="661"/>
              <w:spacing w:after="0"/>
              <w:rPr>
                <w:sz w:val="20"/>
                <w:szCs w:val="20"/>
                <w:color w:val="auto"/>
              </w:rPr>
            </w:pPr>
            <w:r>
              <w:rPr>
                <w:rFonts w:ascii="Arial" w:cs="Arial" w:eastAsia="Arial" w:hAnsi="Arial"/>
                <w:sz w:val="12"/>
                <w:szCs w:val="12"/>
                <w:b w:val="1"/>
                <w:bCs w:val="1"/>
                <w:color w:val="477157"/>
              </w:rPr>
              <w:t>Owned</w:t>
            </w: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40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 and Address</w:t>
            </w:r>
          </w:p>
        </w:tc>
        <w:tc>
          <w:tcPr>
            <w:tcW w:w="2660" w:type="dxa"/>
            <w:vAlign w:val="bottom"/>
            <w:tcBorders>
              <w:bottom w:val="single" w:sz="8" w:color="477157"/>
            </w:tcBorders>
          </w:tcPr>
          <w:p>
            <w:pPr>
              <w:jc w:val="right"/>
              <w:ind w:right="1221"/>
              <w:spacing w:after="0"/>
              <w:rPr>
                <w:sz w:val="20"/>
                <w:szCs w:val="20"/>
                <w:color w:val="auto"/>
              </w:rPr>
            </w:pPr>
            <w:r>
              <w:rPr>
                <w:rFonts w:ascii="Arial" w:cs="Arial" w:eastAsia="Arial" w:hAnsi="Arial"/>
                <w:sz w:val="12"/>
                <w:szCs w:val="12"/>
                <w:b w:val="1"/>
                <w:bCs w:val="1"/>
                <w:color w:val="477157"/>
              </w:rPr>
              <w:t>Number</w:t>
            </w:r>
          </w:p>
        </w:tc>
        <w:tc>
          <w:tcPr>
            <w:tcW w:w="820" w:type="dxa"/>
            <w:vAlign w:val="bottom"/>
            <w:tcBorders>
              <w:bottom w:val="single" w:sz="8" w:color="477157"/>
            </w:tcBorders>
          </w:tcPr>
          <w:p>
            <w:pPr>
              <w:ind w:left="200"/>
              <w:spacing w:after="0" w:line="149" w:lineRule="exact"/>
              <w:rPr>
                <w:sz w:val="20"/>
                <w:szCs w:val="20"/>
                <w:color w:val="auto"/>
              </w:rPr>
            </w:pPr>
            <w:r>
              <w:rPr>
                <w:rFonts w:ascii="Arial" w:cs="Arial" w:eastAsia="Arial" w:hAnsi="Arial"/>
                <w:sz w:val="11"/>
                <w:szCs w:val="11"/>
                <w:b w:val="1"/>
                <w:bCs w:val="1"/>
                <w:color w:val="477157"/>
              </w:rPr>
              <w:t>Percent</w:t>
            </w:r>
            <w:r>
              <w:rPr>
                <w:rFonts w:ascii="Arial" w:cs="Arial" w:eastAsia="Arial" w:hAnsi="Arial"/>
                <w:sz w:val="17"/>
                <w:szCs w:val="17"/>
                <w:b w:val="1"/>
                <w:bCs w:val="1"/>
                <w:color w:val="477157"/>
                <w:vertAlign w:val="superscript"/>
              </w:rPr>
              <w:t>(1)</w:t>
            </w:r>
          </w:p>
        </w:tc>
        <w:tc>
          <w:tcPr>
            <w:tcW w:w="120" w:type="dxa"/>
            <w:vAlign w:val="bottom"/>
          </w:tcPr>
          <w:p>
            <w:pPr>
              <w:spacing w:after="0"/>
              <w:rPr>
                <w:sz w:val="12"/>
                <w:szCs w:val="12"/>
                <w:color w:val="auto"/>
              </w:rPr>
            </w:pPr>
          </w:p>
        </w:tc>
      </w:tr>
      <w:tr>
        <w:trPr>
          <w:trHeight w:val="163"/>
        </w:trPr>
        <w:tc>
          <w:tcPr>
            <w:tcW w:w="5400" w:type="dxa"/>
            <w:vAlign w:val="bottom"/>
          </w:tcPr>
          <w:p>
            <w:pPr>
              <w:spacing w:after="0" w:line="163" w:lineRule="exact"/>
              <w:rPr>
                <w:sz w:val="20"/>
                <w:szCs w:val="20"/>
                <w:color w:val="auto"/>
              </w:rPr>
            </w:pPr>
            <w:r>
              <w:rPr>
                <w:rFonts w:ascii="Arial" w:cs="Arial" w:eastAsia="Arial" w:hAnsi="Arial"/>
                <w:sz w:val="15"/>
                <w:szCs w:val="15"/>
                <w:color w:val="auto"/>
              </w:rPr>
              <w:t>The Vanguard Group</w:t>
            </w:r>
          </w:p>
        </w:tc>
        <w:tc>
          <w:tcPr>
            <w:tcW w:w="2660" w:type="dxa"/>
            <w:vAlign w:val="bottom"/>
          </w:tcPr>
          <w:p>
            <w:pPr>
              <w:jc w:val="right"/>
              <w:ind w:right="141"/>
              <w:spacing w:after="0" w:line="163" w:lineRule="exact"/>
              <w:rPr>
                <w:sz w:val="20"/>
                <w:szCs w:val="20"/>
                <w:color w:val="auto"/>
              </w:rPr>
            </w:pPr>
            <w:r>
              <w:rPr>
                <w:rFonts w:ascii="Arial" w:cs="Arial" w:eastAsia="Arial" w:hAnsi="Arial"/>
                <w:sz w:val="12"/>
                <w:szCs w:val="12"/>
                <w:color w:val="auto"/>
              </w:rPr>
              <w:t>36,362,006</w:t>
            </w:r>
            <w:r>
              <w:rPr>
                <w:rFonts w:ascii="Arial" w:cs="Arial" w:eastAsia="Arial" w:hAnsi="Arial"/>
                <w:sz w:val="18"/>
                <w:szCs w:val="18"/>
                <w:color w:val="auto"/>
                <w:vertAlign w:val="superscript"/>
              </w:rPr>
              <w:t>(2)</w:t>
            </w:r>
          </w:p>
        </w:tc>
        <w:tc>
          <w:tcPr>
            <w:tcW w:w="94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8.6%</w:t>
            </w:r>
          </w:p>
        </w:tc>
      </w:tr>
      <w:tr>
        <w:trPr>
          <w:trHeight w:val="169"/>
        </w:trPr>
        <w:tc>
          <w:tcPr>
            <w:tcW w:w="5400" w:type="dxa"/>
            <w:vAlign w:val="bottom"/>
          </w:tcPr>
          <w:p>
            <w:pPr>
              <w:ind w:left="140"/>
              <w:spacing w:after="0" w:line="169" w:lineRule="exact"/>
              <w:rPr>
                <w:sz w:val="20"/>
                <w:szCs w:val="20"/>
                <w:color w:val="auto"/>
              </w:rPr>
            </w:pPr>
            <w:r>
              <w:rPr>
                <w:rFonts w:ascii="Arial" w:cs="Arial" w:eastAsia="Arial" w:hAnsi="Arial"/>
                <w:sz w:val="15"/>
                <w:szCs w:val="15"/>
                <w:color w:val="auto"/>
              </w:rPr>
              <w:t>100 Vanguard Boulevard</w:t>
            </w:r>
          </w:p>
        </w:tc>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5400" w:type="dxa"/>
            <w:vAlign w:val="bottom"/>
            <w:tcBorders>
              <w:bottom w:val="single" w:sz="8" w:color="477157"/>
            </w:tcBorders>
          </w:tcPr>
          <w:p>
            <w:pPr>
              <w:ind w:left="140"/>
              <w:spacing w:after="0" w:line="167" w:lineRule="exact"/>
              <w:rPr>
                <w:sz w:val="20"/>
                <w:szCs w:val="20"/>
                <w:color w:val="auto"/>
              </w:rPr>
            </w:pPr>
            <w:r>
              <w:rPr>
                <w:rFonts w:ascii="Arial" w:cs="Arial" w:eastAsia="Arial" w:hAnsi="Arial"/>
                <w:sz w:val="15"/>
                <w:szCs w:val="15"/>
                <w:color w:val="auto"/>
              </w:rPr>
              <w:t>Malvern, PA 19355</w:t>
            </w:r>
          </w:p>
        </w:tc>
        <w:tc>
          <w:tcPr>
            <w:tcW w:w="2660" w:type="dxa"/>
            <w:vAlign w:val="bottom"/>
            <w:tcBorders>
              <w:bottom w:val="single" w:sz="8" w:color="477157"/>
            </w:tcBorders>
          </w:tcPr>
          <w:p>
            <w:pPr>
              <w:spacing w:after="0"/>
              <w:rPr>
                <w:sz w:val="14"/>
                <w:szCs w:val="14"/>
                <w:color w:val="auto"/>
              </w:rPr>
            </w:pPr>
          </w:p>
        </w:tc>
        <w:tc>
          <w:tcPr>
            <w:tcW w:w="820" w:type="dxa"/>
            <w:vAlign w:val="bottom"/>
            <w:tcBorders>
              <w:bottom w:val="single" w:sz="8" w:color="477157"/>
            </w:tcBorders>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5400" w:type="dxa"/>
            <w:vAlign w:val="bottom"/>
          </w:tcPr>
          <w:p>
            <w:pPr>
              <w:spacing w:after="0" w:line="163" w:lineRule="exact"/>
              <w:rPr>
                <w:sz w:val="20"/>
                <w:szCs w:val="20"/>
                <w:color w:val="auto"/>
              </w:rPr>
            </w:pPr>
            <w:r>
              <w:rPr>
                <w:rFonts w:ascii="Arial" w:cs="Arial" w:eastAsia="Arial" w:hAnsi="Arial"/>
                <w:sz w:val="15"/>
                <w:szCs w:val="15"/>
                <w:color w:val="auto"/>
              </w:rPr>
              <w:t>BlackRock, Inc.</w:t>
            </w:r>
          </w:p>
        </w:tc>
        <w:tc>
          <w:tcPr>
            <w:tcW w:w="2660" w:type="dxa"/>
            <w:vAlign w:val="bottom"/>
          </w:tcPr>
          <w:p>
            <w:pPr>
              <w:jc w:val="right"/>
              <w:ind w:right="141"/>
              <w:spacing w:after="0" w:line="163" w:lineRule="exact"/>
              <w:rPr>
                <w:sz w:val="20"/>
                <w:szCs w:val="20"/>
                <w:color w:val="auto"/>
              </w:rPr>
            </w:pPr>
            <w:r>
              <w:rPr>
                <w:rFonts w:ascii="Arial" w:cs="Arial" w:eastAsia="Arial" w:hAnsi="Arial"/>
                <w:sz w:val="12"/>
                <w:szCs w:val="12"/>
                <w:color w:val="auto"/>
              </w:rPr>
              <w:t>33,503,929</w:t>
            </w:r>
            <w:r>
              <w:rPr>
                <w:rFonts w:ascii="Arial" w:cs="Arial" w:eastAsia="Arial" w:hAnsi="Arial"/>
                <w:sz w:val="18"/>
                <w:szCs w:val="18"/>
                <w:color w:val="auto"/>
                <w:vertAlign w:val="superscript"/>
              </w:rPr>
              <w:t>(3)</w:t>
            </w:r>
          </w:p>
        </w:tc>
        <w:tc>
          <w:tcPr>
            <w:tcW w:w="94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7.9%</w:t>
            </w:r>
          </w:p>
        </w:tc>
      </w:tr>
      <w:tr>
        <w:trPr>
          <w:trHeight w:val="169"/>
        </w:trPr>
        <w:tc>
          <w:tcPr>
            <w:tcW w:w="5400" w:type="dxa"/>
            <w:vAlign w:val="bottom"/>
          </w:tcPr>
          <w:p>
            <w:pPr>
              <w:ind w:left="140"/>
              <w:spacing w:after="0" w:line="169" w:lineRule="exact"/>
              <w:rPr>
                <w:sz w:val="20"/>
                <w:szCs w:val="20"/>
                <w:color w:val="auto"/>
              </w:rPr>
            </w:pPr>
            <w:r>
              <w:rPr>
                <w:rFonts w:ascii="Arial" w:cs="Arial" w:eastAsia="Arial" w:hAnsi="Arial"/>
                <w:sz w:val="15"/>
                <w:szCs w:val="15"/>
                <w:color w:val="auto"/>
              </w:rPr>
              <w:t>55 East 52nd Street</w:t>
            </w:r>
          </w:p>
        </w:tc>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5400" w:type="dxa"/>
            <w:vAlign w:val="bottom"/>
            <w:tcBorders>
              <w:bottom w:val="single" w:sz="8" w:color="477157"/>
            </w:tcBorders>
          </w:tcPr>
          <w:p>
            <w:pPr>
              <w:ind w:left="140"/>
              <w:spacing w:after="0" w:line="167" w:lineRule="exact"/>
              <w:rPr>
                <w:sz w:val="20"/>
                <w:szCs w:val="20"/>
                <w:color w:val="auto"/>
              </w:rPr>
            </w:pPr>
            <w:r>
              <w:rPr>
                <w:rFonts w:ascii="Arial" w:cs="Arial" w:eastAsia="Arial" w:hAnsi="Arial"/>
                <w:sz w:val="15"/>
                <w:szCs w:val="15"/>
                <w:color w:val="auto"/>
              </w:rPr>
              <w:t>New York, NY 10055</w:t>
            </w:r>
          </w:p>
        </w:tc>
        <w:tc>
          <w:tcPr>
            <w:tcW w:w="2660" w:type="dxa"/>
            <w:vAlign w:val="bottom"/>
            <w:tcBorders>
              <w:bottom w:val="single" w:sz="8" w:color="477157"/>
            </w:tcBorders>
          </w:tcPr>
          <w:p>
            <w:pPr>
              <w:spacing w:after="0"/>
              <w:rPr>
                <w:sz w:val="14"/>
                <w:szCs w:val="14"/>
                <w:color w:val="auto"/>
              </w:rPr>
            </w:pPr>
          </w:p>
        </w:tc>
        <w:tc>
          <w:tcPr>
            <w:tcW w:w="820" w:type="dxa"/>
            <w:vAlign w:val="bottom"/>
            <w:tcBorders>
              <w:bottom w:val="single" w:sz="8" w:color="477157"/>
            </w:tcBorders>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5400" w:type="dxa"/>
            <w:vAlign w:val="bottom"/>
          </w:tcPr>
          <w:p>
            <w:pPr>
              <w:spacing w:after="0" w:line="163" w:lineRule="exact"/>
              <w:rPr>
                <w:sz w:val="20"/>
                <w:szCs w:val="20"/>
                <w:color w:val="auto"/>
              </w:rPr>
            </w:pPr>
            <w:r>
              <w:rPr>
                <w:rFonts w:ascii="Arial" w:cs="Arial" w:eastAsia="Arial" w:hAnsi="Arial"/>
                <w:sz w:val="15"/>
                <w:szCs w:val="15"/>
                <w:color w:val="auto"/>
              </w:rPr>
              <w:t>William H. Gates III</w:t>
            </w:r>
          </w:p>
        </w:tc>
        <w:tc>
          <w:tcPr>
            <w:tcW w:w="2660" w:type="dxa"/>
            <w:vAlign w:val="bottom"/>
          </w:tcPr>
          <w:p>
            <w:pPr>
              <w:jc w:val="right"/>
              <w:ind w:right="141"/>
              <w:spacing w:after="0" w:line="163" w:lineRule="exact"/>
              <w:rPr>
                <w:sz w:val="20"/>
                <w:szCs w:val="20"/>
                <w:color w:val="auto"/>
              </w:rPr>
            </w:pPr>
            <w:r>
              <w:rPr>
                <w:rFonts w:ascii="Arial" w:cs="Arial" w:eastAsia="Arial" w:hAnsi="Arial"/>
                <w:sz w:val="12"/>
                <w:szCs w:val="12"/>
                <w:color w:val="auto"/>
              </w:rPr>
              <w:t>33,217,344</w:t>
            </w:r>
            <w:r>
              <w:rPr>
                <w:rFonts w:ascii="Arial" w:cs="Arial" w:eastAsia="Arial" w:hAnsi="Arial"/>
                <w:sz w:val="18"/>
                <w:szCs w:val="18"/>
                <w:color w:val="auto"/>
                <w:vertAlign w:val="superscript"/>
              </w:rPr>
              <w:t>(4)</w:t>
            </w:r>
          </w:p>
        </w:tc>
        <w:tc>
          <w:tcPr>
            <w:tcW w:w="94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7.8%</w:t>
            </w:r>
          </w:p>
        </w:tc>
      </w:tr>
      <w:tr>
        <w:trPr>
          <w:trHeight w:val="169"/>
        </w:trPr>
        <w:tc>
          <w:tcPr>
            <w:tcW w:w="5400" w:type="dxa"/>
            <w:vAlign w:val="bottom"/>
          </w:tcPr>
          <w:p>
            <w:pPr>
              <w:ind w:left="140"/>
              <w:spacing w:after="0" w:line="169" w:lineRule="exact"/>
              <w:rPr>
                <w:sz w:val="20"/>
                <w:szCs w:val="20"/>
                <w:color w:val="auto"/>
              </w:rPr>
            </w:pPr>
            <w:r>
              <w:rPr>
                <w:rFonts w:ascii="Arial" w:cs="Arial" w:eastAsia="Arial" w:hAnsi="Arial"/>
                <w:sz w:val="15"/>
                <w:szCs w:val="15"/>
                <w:color w:val="auto"/>
              </w:rPr>
              <w:t>One Microsoft Way</w:t>
            </w:r>
          </w:p>
        </w:tc>
        <w:tc>
          <w:tcPr>
            <w:tcW w:w="2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5400" w:type="dxa"/>
            <w:vAlign w:val="bottom"/>
            <w:tcBorders>
              <w:bottom w:val="single" w:sz="8" w:color="477157"/>
            </w:tcBorders>
          </w:tcPr>
          <w:p>
            <w:pPr>
              <w:ind w:left="140"/>
              <w:spacing w:after="0" w:line="167" w:lineRule="exact"/>
              <w:rPr>
                <w:sz w:val="20"/>
                <w:szCs w:val="20"/>
                <w:color w:val="auto"/>
              </w:rPr>
            </w:pPr>
            <w:r>
              <w:rPr>
                <w:rFonts w:ascii="Arial" w:cs="Arial" w:eastAsia="Arial" w:hAnsi="Arial"/>
                <w:sz w:val="15"/>
                <w:szCs w:val="15"/>
                <w:color w:val="auto"/>
              </w:rPr>
              <w:t>Redmond, WA 98052</w:t>
            </w:r>
          </w:p>
        </w:tc>
        <w:tc>
          <w:tcPr>
            <w:tcW w:w="2660" w:type="dxa"/>
            <w:vAlign w:val="bottom"/>
            <w:tcBorders>
              <w:bottom w:val="single" w:sz="8" w:color="477157"/>
            </w:tcBorders>
          </w:tcPr>
          <w:p>
            <w:pPr>
              <w:spacing w:after="0"/>
              <w:rPr>
                <w:sz w:val="14"/>
                <w:szCs w:val="14"/>
                <w:color w:val="auto"/>
              </w:rPr>
            </w:pPr>
          </w:p>
        </w:tc>
        <w:tc>
          <w:tcPr>
            <w:tcW w:w="820" w:type="dxa"/>
            <w:vAlign w:val="bottom"/>
            <w:tcBorders>
              <w:bottom w:val="single" w:sz="8" w:color="477157"/>
            </w:tcBorders>
          </w:tcPr>
          <w:p>
            <w:pPr>
              <w:spacing w:after="0"/>
              <w:rPr>
                <w:sz w:val="14"/>
                <w:szCs w:val="14"/>
                <w:color w:val="auto"/>
              </w:rPr>
            </w:pPr>
          </w:p>
        </w:tc>
        <w:tc>
          <w:tcPr>
            <w:tcW w:w="120" w:type="dxa"/>
            <w:vAlign w:val="bottom"/>
          </w:tcPr>
          <w:p>
            <w:pPr>
              <w:spacing w:after="0"/>
              <w:rPr>
                <w:sz w:val="14"/>
                <w:szCs w:val="14"/>
                <w:color w:val="auto"/>
              </w:rPr>
            </w:pPr>
          </w:p>
        </w:tc>
      </w:tr>
    </w:tbl>
    <w:p>
      <w:pPr>
        <w:spacing w:after="0" w:line="183" w:lineRule="exact"/>
        <w:rPr>
          <w:sz w:val="20"/>
          <w:szCs w:val="20"/>
          <w:color w:val="auto"/>
        </w:rPr>
      </w:pPr>
    </w:p>
    <w:p>
      <w:pPr>
        <w:ind w:left="1560" w:hanging="443"/>
        <w:spacing w:after="0"/>
        <w:tabs>
          <w:tab w:leader="none" w:pos="1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Percentage is calculated using the number of shares of Common Stock outstanding and entitled to vote as of March 16, 2020.</w:t>
      </w:r>
    </w:p>
    <w:p>
      <w:pPr>
        <w:spacing w:after="0" w:line="176" w:lineRule="exact"/>
        <w:rPr>
          <w:rFonts w:ascii="Arial" w:cs="Arial" w:eastAsia="Arial" w:hAnsi="Arial"/>
          <w:sz w:val="15"/>
          <w:szCs w:val="15"/>
          <w:color w:val="auto"/>
        </w:rPr>
      </w:pPr>
    </w:p>
    <w:p>
      <w:pPr>
        <w:jc w:val="both"/>
        <w:ind w:left="1560" w:hanging="443"/>
        <w:spacing w:after="0" w:line="238" w:lineRule="auto"/>
        <w:tabs>
          <w:tab w:leader="none" w:pos="1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This information is based on a Schedule 13G/A filed with the SEC on February 12, 2020. The Vanguard Group reports that it has sole or shared voting power over 774,144 shares of Common Stock and sole or shared dispositive power over 36,362,006 shares of Common Stock beneficially owned.</w:t>
      </w:r>
    </w:p>
    <w:p>
      <w:pPr>
        <w:spacing w:after="0" w:line="162" w:lineRule="exact"/>
        <w:rPr>
          <w:rFonts w:ascii="Arial" w:cs="Arial" w:eastAsia="Arial" w:hAnsi="Arial"/>
          <w:sz w:val="15"/>
          <w:szCs w:val="15"/>
          <w:color w:val="auto"/>
        </w:rPr>
      </w:pPr>
    </w:p>
    <w:p>
      <w:pPr>
        <w:ind w:left="1560" w:right="20" w:hanging="443"/>
        <w:spacing w:after="0"/>
        <w:tabs>
          <w:tab w:leader="none" w:pos="1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This information is based on a Schedule 13G/A filed with the SEC on February 6, 2020. BlackRock, Inc. reports that it has sole voting power over 29,250,490 shares of Common Stock and sole dispositive power over 33,503,929 shares of Common Stock beneficially owned.</w:t>
      </w:r>
    </w:p>
    <w:p>
      <w:pPr>
        <w:spacing w:after="0" w:line="162" w:lineRule="exact"/>
        <w:rPr>
          <w:rFonts w:ascii="Arial" w:cs="Arial" w:eastAsia="Arial" w:hAnsi="Arial"/>
          <w:sz w:val="15"/>
          <w:szCs w:val="15"/>
          <w:color w:val="auto"/>
        </w:rPr>
      </w:pPr>
    </w:p>
    <w:p>
      <w:pPr>
        <w:jc w:val="both"/>
        <w:ind w:left="1560" w:hanging="443"/>
        <w:spacing w:after="0" w:line="237" w:lineRule="auto"/>
        <w:tabs>
          <w:tab w:leader="none" w:pos="1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This information is based on a Schedule 13G/A filed with the SEC on February 13, 2020. Mr. Gates reports that he has sole voting and dispositive power over 14,583,672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173" w:lineRule="exact"/>
        <w:rPr>
          <w:sz w:val="20"/>
          <w:szCs w:val="20"/>
          <w:color w:val="auto"/>
        </w:rPr>
      </w:pPr>
    </w:p>
    <w:p>
      <w:pPr>
        <w:spacing w:after="0"/>
        <w:rPr>
          <w:sz w:val="20"/>
          <w:szCs w:val="20"/>
          <w:color w:val="auto"/>
        </w:rPr>
      </w:pPr>
      <w:r>
        <w:rPr>
          <w:rFonts w:ascii="Arial" w:cs="Arial" w:eastAsia="Arial" w:hAnsi="Arial"/>
          <w:sz w:val="36"/>
          <w:szCs w:val="36"/>
          <w:color w:val="477157"/>
        </w:rPr>
        <w:t>DELINQUENT SECTION 16(A) REPORTS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The federal securities laws require our executive officers and directors to file reports of their holdings and transactions in our Common Stock with the SEC and the New York Stock Exchange. Based on a review of the forms and written representations from our executive officers and directors, we are aware of one delinquent report for 2019. On May 1, 2019, Mr. Batchelor received a distribution from the 409A Deferral Plan stock fund that was automatically made pursuant to his prior election for a date-specific withdrawal to occur on that date. The corresponding decrease in Mr. Batchelor's phantom stock holdings was not reported on a Form 4 at the time, but upon discovery was reported on a Form 5 in January 2020.</w:t>
      </w:r>
    </w:p>
    <w:p>
      <w:pPr>
        <w:spacing w:after="0" w:line="155"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36"/>
          <w:szCs w:val="36"/>
          <w:color w:val="477157"/>
        </w:rPr>
        <w:t>EXECUTIVE OFFICERS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following is a listing of our current executive officers, their ages and their business experience for at least the past five years (other than Mr. Fish, whose age, experience and qualifications are included in the director nominees section of this Proxy Statement). Unless otherwise specified, all prior positions listed below were with our Company.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62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w:t>
            </w:r>
          </w:p>
        </w:tc>
        <w:tc>
          <w:tcPr>
            <w:tcW w:w="820" w:type="dxa"/>
            <w:vAlign w:val="bottom"/>
            <w:tcBorders>
              <w:bottom w:val="single" w:sz="8" w:color="477157"/>
            </w:tcBorders>
          </w:tcPr>
          <w:p>
            <w:pPr>
              <w:jc w:val="right"/>
              <w:ind w:right="211"/>
              <w:spacing w:after="0"/>
              <w:rPr>
                <w:sz w:val="20"/>
                <w:szCs w:val="20"/>
                <w:color w:val="auto"/>
              </w:rPr>
            </w:pPr>
            <w:r>
              <w:rPr>
                <w:rFonts w:ascii="Arial" w:cs="Arial" w:eastAsia="Arial" w:hAnsi="Arial"/>
                <w:sz w:val="12"/>
                <w:szCs w:val="12"/>
                <w:b w:val="1"/>
                <w:bCs w:val="1"/>
                <w:color w:val="477157"/>
              </w:rPr>
              <w:t>Age</w:t>
            </w:r>
          </w:p>
        </w:tc>
        <w:tc>
          <w:tcPr>
            <w:tcW w:w="8820" w:type="dxa"/>
            <w:vAlign w:val="bottom"/>
            <w:tcBorders>
              <w:bottom w:val="single" w:sz="8" w:color="477157"/>
            </w:tcBorders>
          </w:tcPr>
          <w:p>
            <w:pPr>
              <w:ind w:left="2640"/>
              <w:spacing w:after="0"/>
              <w:rPr>
                <w:sz w:val="20"/>
                <w:szCs w:val="20"/>
                <w:color w:val="auto"/>
              </w:rPr>
            </w:pPr>
            <w:r>
              <w:rPr>
                <w:rFonts w:ascii="Arial" w:cs="Arial" w:eastAsia="Arial" w:hAnsi="Arial"/>
                <w:sz w:val="12"/>
                <w:szCs w:val="12"/>
                <w:b w:val="1"/>
                <w:bCs w:val="1"/>
                <w:color w:val="477157"/>
              </w:rPr>
              <w:t>Positions Held and Business Experience for Past Five Years</w:t>
            </w:r>
          </w:p>
        </w:tc>
      </w:tr>
      <w:tr>
        <w:trPr>
          <w:trHeight w:val="152"/>
        </w:trPr>
        <w:tc>
          <w:tcPr>
            <w:tcW w:w="1620" w:type="dxa"/>
            <w:vAlign w:val="bottom"/>
          </w:tcPr>
          <w:p>
            <w:pPr>
              <w:spacing w:after="0" w:line="152" w:lineRule="exact"/>
              <w:rPr>
                <w:sz w:val="20"/>
                <w:szCs w:val="20"/>
                <w:color w:val="auto"/>
              </w:rPr>
            </w:pPr>
            <w:r>
              <w:rPr>
                <w:rFonts w:ascii="Arial" w:cs="Arial" w:eastAsia="Arial" w:hAnsi="Arial"/>
                <w:sz w:val="15"/>
                <w:szCs w:val="15"/>
                <w:color w:val="auto"/>
              </w:rPr>
              <w:t>Steven R. Batchelor</w:t>
            </w:r>
          </w:p>
        </w:tc>
        <w:tc>
          <w:tcPr>
            <w:tcW w:w="820" w:type="dxa"/>
            <w:vAlign w:val="bottom"/>
          </w:tcPr>
          <w:p>
            <w:pPr>
              <w:jc w:val="right"/>
              <w:spacing w:after="0" w:line="152" w:lineRule="exact"/>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color w:val="477157"/>
              </w:rPr>
              <w:t>•</w:t>
            </w:r>
          </w:p>
        </w:tc>
        <w:tc>
          <w:tcPr>
            <w:tcW w:w="8820" w:type="dxa"/>
            <w:vAlign w:val="bottom"/>
          </w:tcPr>
          <w:p>
            <w:pPr>
              <w:ind w:left="40"/>
              <w:spacing w:after="0" w:line="152" w:lineRule="exact"/>
              <w:rPr>
                <w:sz w:val="20"/>
                <w:szCs w:val="20"/>
                <w:color w:val="auto"/>
              </w:rPr>
            </w:pPr>
            <w:r>
              <w:rPr>
                <w:rFonts w:ascii="Arial" w:cs="Arial" w:eastAsia="Arial" w:hAnsi="Arial"/>
                <w:sz w:val="15"/>
                <w:szCs w:val="15"/>
                <w:color w:val="auto"/>
              </w:rPr>
              <w:t>Senior Vice President — Operations since January 2019.</w:t>
            </w:r>
          </w:p>
        </w:tc>
      </w:tr>
      <w:tr>
        <w:trPr>
          <w:trHeight w:val="180"/>
        </w:trPr>
        <w:tc>
          <w:tcPr>
            <w:tcW w:w="1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477157"/>
              </w:rPr>
              <w:t>•</w:t>
            </w:r>
          </w:p>
        </w:tc>
        <w:tc>
          <w:tcPr>
            <w:tcW w:w="8820" w:type="dxa"/>
            <w:vAlign w:val="bottom"/>
          </w:tcPr>
          <w:p>
            <w:pPr>
              <w:ind w:left="40"/>
              <w:spacing w:after="0"/>
              <w:rPr>
                <w:sz w:val="20"/>
                <w:szCs w:val="20"/>
                <w:color w:val="auto"/>
              </w:rPr>
            </w:pPr>
            <w:r>
              <w:rPr>
                <w:rFonts w:ascii="Arial" w:cs="Arial" w:eastAsia="Arial" w:hAnsi="Arial"/>
                <w:sz w:val="15"/>
                <w:szCs w:val="15"/>
                <w:color w:val="auto"/>
              </w:rPr>
              <w:t>Vice President, Collections and Fleet Operations from 2013 to December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715518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tabs>
          <w:tab w:leader="none" w:pos="2020" w:val="left"/>
          <w:tab w:leader="none" w:pos="2320" w:val="left"/>
        </w:tabs>
        <w:rPr>
          <w:sz w:val="20"/>
          <w:szCs w:val="20"/>
          <w:color w:val="auto"/>
        </w:rPr>
      </w:pPr>
      <w:r>
        <w:rPr>
          <w:rFonts w:ascii="Arial" w:cs="Arial" w:eastAsia="Arial" w:hAnsi="Arial"/>
          <w:sz w:val="15"/>
          <w:szCs w:val="15"/>
          <w:color w:val="auto"/>
        </w:rPr>
        <w:t>Charles C. Boettcher</w:t>
      </w:r>
      <w:r>
        <w:rPr>
          <w:sz w:val="20"/>
          <w:szCs w:val="20"/>
          <w:color w:val="auto"/>
        </w:rPr>
        <w:tab/>
      </w:r>
      <w:r>
        <w:rPr>
          <w:rFonts w:ascii="Arial" w:cs="Arial" w:eastAsia="Arial" w:hAnsi="Arial"/>
          <w:sz w:val="15"/>
          <w:szCs w:val="15"/>
          <w:color w:val="auto"/>
        </w:rPr>
        <w:t>46</w:t>
      </w:r>
      <w:r>
        <w:rPr>
          <w:sz w:val="20"/>
          <w:szCs w:val="20"/>
          <w:color w:val="auto"/>
        </w:rPr>
        <w:tab/>
      </w:r>
      <w:r>
        <w:rPr>
          <w:rFonts w:ascii="Arial" w:cs="Arial" w:eastAsia="Arial" w:hAnsi="Arial"/>
          <w:sz w:val="14"/>
          <w:szCs w:val="14"/>
          <w:color w:val="477157"/>
        </w:rPr>
        <w:t xml:space="preserve">• </w:t>
      </w:r>
      <w:r>
        <w:rPr>
          <w:rFonts w:ascii="Arial" w:cs="Arial" w:eastAsia="Arial" w:hAnsi="Arial"/>
          <w:sz w:val="14"/>
          <w:szCs w:val="14"/>
          <w:color w:val="000000"/>
        </w:rPr>
        <w:t>Executive Vice President, Corporate Development and Chief Legal Officer since February 2020.</w:t>
      </w:r>
    </w:p>
    <w:p>
      <w:pPr>
        <w:spacing w:after="0" w:line="5" w:lineRule="exact"/>
        <w:rPr>
          <w:sz w:val="20"/>
          <w:szCs w:val="20"/>
          <w:color w:val="auto"/>
        </w:rPr>
      </w:pPr>
    </w:p>
    <w:p>
      <w:pPr>
        <w:ind w:left="2480" w:hanging="135"/>
        <w:spacing w:after="0"/>
        <w:tabs>
          <w:tab w:leader="none" w:pos="2480" w:val="left"/>
        </w:tabs>
        <w:numPr>
          <w:ilvl w:val="0"/>
          <w:numId w:val="19"/>
        </w:numPr>
        <w:rPr>
          <w:rFonts w:ascii="Arial" w:cs="Arial" w:eastAsia="Arial" w:hAnsi="Arial"/>
          <w:sz w:val="15"/>
          <w:szCs w:val="15"/>
          <w:color w:val="477157"/>
        </w:rPr>
      </w:pPr>
      <w:r>
        <w:rPr>
          <w:rFonts w:ascii="Arial" w:cs="Arial" w:eastAsia="Arial" w:hAnsi="Arial"/>
          <w:sz w:val="15"/>
          <w:szCs w:val="15"/>
          <w:color w:val="auto"/>
        </w:rPr>
        <w:t>Senior Vice President, Corporate Development and Chief Legal Officer from May 2019 to February 2020.</w:t>
      </w:r>
    </w:p>
    <w:p>
      <w:pPr>
        <w:ind w:left="2480" w:hanging="135"/>
        <w:spacing w:after="0" w:line="235" w:lineRule="auto"/>
        <w:tabs>
          <w:tab w:leader="none" w:pos="2480" w:val="left"/>
        </w:tabs>
        <w:numPr>
          <w:ilvl w:val="0"/>
          <w:numId w:val="19"/>
        </w:numPr>
        <w:rPr>
          <w:rFonts w:ascii="Arial" w:cs="Arial" w:eastAsia="Arial" w:hAnsi="Arial"/>
          <w:sz w:val="15"/>
          <w:szCs w:val="15"/>
          <w:color w:val="477157"/>
        </w:rPr>
      </w:pPr>
      <w:r>
        <w:rPr>
          <w:rFonts w:ascii="Arial" w:cs="Arial" w:eastAsia="Arial" w:hAnsi="Arial"/>
          <w:sz w:val="15"/>
          <w:szCs w:val="15"/>
          <w:color w:val="auto"/>
        </w:rPr>
        <w:t>Senior Vice President and Chief Legal Officer from January 2017 to May 2019.</w:t>
      </w:r>
    </w:p>
    <w:p>
      <w:pPr>
        <w:ind w:left="2480" w:hanging="135"/>
        <w:spacing w:after="0" w:line="235" w:lineRule="auto"/>
        <w:tabs>
          <w:tab w:leader="none" w:pos="2480" w:val="left"/>
        </w:tabs>
        <w:numPr>
          <w:ilvl w:val="0"/>
          <w:numId w:val="19"/>
        </w:numPr>
        <w:rPr>
          <w:rFonts w:ascii="Arial" w:cs="Arial" w:eastAsia="Arial" w:hAnsi="Arial"/>
          <w:sz w:val="15"/>
          <w:szCs w:val="15"/>
          <w:color w:val="477157"/>
        </w:rPr>
      </w:pPr>
      <w:r>
        <w:rPr>
          <w:rFonts w:ascii="Arial" w:cs="Arial" w:eastAsia="Arial" w:hAnsi="Arial"/>
          <w:sz w:val="15"/>
          <w:szCs w:val="15"/>
          <w:color w:val="auto"/>
        </w:rPr>
        <w:t>Also served as Chief Compliance Officer from May 2017 to February 2018.</w:t>
      </w:r>
    </w:p>
    <w:p>
      <w:pPr>
        <w:ind w:left="2480" w:hanging="135"/>
        <w:spacing w:after="0" w:line="235" w:lineRule="auto"/>
        <w:tabs>
          <w:tab w:leader="none" w:pos="2480" w:val="left"/>
        </w:tabs>
        <w:numPr>
          <w:ilvl w:val="0"/>
          <w:numId w:val="19"/>
        </w:numPr>
        <w:rPr>
          <w:rFonts w:ascii="Arial" w:cs="Arial" w:eastAsia="Arial" w:hAnsi="Arial"/>
          <w:sz w:val="15"/>
          <w:szCs w:val="15"/>
          <w:color w:val="477157"/>
        </w:rPr>
      </w:pPr>
      <w:r>
        <w:rPr>
          <w:rFonts w:ascii="Arial" w:cs="Arial" w:eastAsia="Arial" w:hAnsi="Arial"/>
          <w:sz w:val="15"/>
          <w:szCs w:val="15"/>
          <w:color w:val="auto"/>
        </w:rPr>
        <w:t>Vice President and General Counsel from September 2016 to December 2016.</w:t>
      </w:r>
    </w:p>
    <w:p>
      <w:pPr>
        <w:ind w:left="2480" w:hanging="135"/>
        <w:spacing w:after="0" w:line="227" w:lineRule="auto"/>
        <w:tabs>
          <w:tab w:leader="none" w:pos="2480" w:val="left"/>
        </w:tabs>
        <w:numPr>
          <w:ilvl w:val="0"/>
          <w:numId w:val="19"/>
        </w:numPr>
        <w:rPr>
          <w:rFonts w:ascii="Arial" w:cs="Arial" w:eastAsia="Arial" w:hAnsi="Arial"/>
          <w:sz w:val="15"/>
          <w:szCs w:val="15"/>
          <w:color w:val="477157"/>
        </w:rPr>
      </w:pPr>
      <w:r>
        <w:rPr>
          <w:rFonts w:ascii="Arial" w:cs="Arial" w:eastAsia="Arial" w:hAnsi="Arial"/>
          <w:sz w:val="15"/>
          <w:szCs w:val="15"/>
          <w:color w:val="auto"/>
        </w:rPr>
        <w:t>Executive Vice President, Chief Financial Officer and General Counsel of Oilfield Water Logistics, a produced water gathering, transportation and disposal company, from November 2015 to August 2016.</w:t>
      </w:r>
    </w:p>
    <w:p>
      <w:pPr>
        <w:jc w:val="both"/>
        <w:ind w:left="2480" w:hanging="135"/>
        <w:spacing w:after="0" w:line="238" w:lineRule="auto"/>
        <w:tabs>
          <w:tab w:leader="none" w:pos="2480" w:val="left"/>
        </w:tabs>
        <w:numPr>
          <w:ilvl w:val="0"/>
          <w:numId w:val="19"/>
        </w:numPr>
        <w:rPr>
          <w:rFonts w:ascii="Arial" w:cs="Arial" w:eastAsia="Arial" w:hAnsi="Arial"/>
          <w:sz w:val="15"/>
          <w:szCs w:val="15"/>
          <w:color w:val="477157"/>
        </w:rPr>
      </w:pPr>
      <w:r>
        <w:rPr>
          <w:rFonts w:ascii="Arial" w:cs="Arial" w:eastAsia="Arial" w:hAnsi="Arial"/>
          <w:sz w:val="15"/>
          <w:szCs w:val="15"/>
          <w:color w:val="auto"/>
        </w:rPr>
        <w:t>Senior Vice President, General Counsel, Chief Compliance Officer and Corporate Secretary of Eagle Rock Energy Partners, L.P., a master limited partnership engaged in midstream gathering and processing, upstream exploration and production and minerals/royalties, from 2007 to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15518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39" w:lineRule="exact"/>
        <w:rPr>
          <w:sz w:val="20"/>
          <w:szCs w:val="20"/>
          <w:color w:val="auto"/>
        </w:rPr>
      </w:pPr>
    </w:p>
    <w:p>
      <w:pPr>
        <w:ind w:left="2480" w:hanging="135"/>
        <w:spacing w:after="0"/>
        <w:tabs>
          <w:tab w:leader="none" w:pos="2480" w:val="left"/>
        </w:tabs>
        <w:numPr>
          <w:ilvl w:val="0"/>
          <w:numId w:val="20"/>
        </w:numPr>
        <w:rPr>
          <w:rFonts w:ascii="Arial" w:cs="Arial" w:eastAsia="Arial" w:hAnsi="Arial"/>
          <w:sz w:val="15"/>
          <w:szCs w:val="15"/>
          <w:color w:val="477157"/>
        </w:rPr>
      </w:pPr>
      <w:r>
        <w:rPr>
          <w:rFonts w:ascii="Arial" w:cs="Arial" w:eastAsia="Arial" w:hAnsi="Arial"/>
          <w:sz w:val="15"/>
          <w:szCs w:val="15"/>
          <w:color w:val="auto"/>
        </w:rPr>
        <w:t>Senior Vice President — Operations, Safety and Environmental Compliance from January 2018 to December 2018.</w:t>
      </w:r>
    </w:p>
    <w:p>
      <w:pPr>
        <w:ind w:left="2480" w:hanging="135"/>
        <w:spacing w:after="0" w:line="235" w:lineRule="auto"/>
        <w:tabs>
          <w:tab w:leader="none" w:pos="2480" w:val="left"/>
        </w:tabs>
        <w:numPr>
          <w:ilvl w:val="0"/>
          <w:numId w:val="20"/>
        </w:numPr>
        <w:rPr>
          <w:rFonts w:ascii="Arial" w:cs="Arial" w:eastAsia="Arial" w:hAnsi="Arial"/>
          <w:sz w:val="15"/>
          <w:szCs w:val="15"/>
          <w:color w:val="477157"/>
        </w:rPr>
      </w:pPr>
      <w:r>
        <w:rPr>
          <w:rFonts w:ascii="Arial" w:cs="Arial" w:eastAsia="Arial" w:hAnsi="Arial"/>
          <w:sz w:val="15"/>
          <w:szCs w:val="15"/>
          <w:color w:val="auto"/>
        </w:rPr>
        <w:t>Vice President — Disposal Operations, Closed Sites and Environmental Compliance from September 2017 to January 2018.</w:t>
      </w:r>
    </w:p>
    <w:p>
      <w:pPr>
        <w:ind w:left="2480" w:hanging="135"/>
        <w:spacing w:after="0"/>
        <w:tabs>
          <w:tab w:leader="none" w:pos="2480" w:val="left"/>
        </w:tabs>
        <w:numPr>
          <w:ilvl w:val="0"/>
          <w:numId w:val="20"/>
        </w:numPr>
        <w:rPr>
          <w:rFonts w:ascii="Arial" w:cs="Arial" w:eastAsia="Arial" w:hAnsi="Arial"/>
          <w:sz w:val="15"/>
          <w:szCs w:val="15"/>
          <w:color w:val="477157"/>
        </w:rPr>
      </w:pPr>
      <w:r>
        <w:rPr>
          <w:rFonts w:ascii="Arial" w:cs="Arial" w:eastAsia="Arial" w:hAnsi="Arial"/>
          <w:sz w:val="15"/>
          <w:szCs w:val="15"/>
          <w:color w:val="auto"/>
        </w:rPr>
        <w:t>Area Vice President — Greater Mid-Atlantic Area from 2012 to May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715518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tabs>
          <w:tab w:leader="none" w:pos="2020" w:val="left"/>
          <w:tab w:leader="none" w:pos="2320" w:val="left"/>
        </w:tabs>
        <w:rPr>
          <w:sz w:val="20"/>
          <w:szCs w:val="20"/>
          <w:color w:val="auto"/>
        </w:rPr>
      </w:pPr>
      <w:r>
        <w:rPr>
          <w:rFonts w:ascii="Arial" w:cs="Arial" w:eastAsia="Arial" w:hAnsi="Arial"/>
          <w:sz w:val="15"/>
          <w:szCs w:val="15"/>
          <w:color w:val="auto"/>
        </w:rPr>
        <w:t>John J. Morris, Jr.</w:t>
      </w:r>
      <w:r>
        <w:rPr>
          <w:sz w:val="20"/>
          <w:szCs w:val="20"/>
          <w:color w:val="auto"/>
        </w:rPr>
        <w:tab/>
      </w:r>
      <w:r>
        <w:rPr>
          <w:rFonts w:ascii="Arial" w:cs="Arial" w:eastAsia="Arial" w:hAnsi="Arial"/>
          <w:sz w:val="15"/>
          <w:szCs w:val="15"/>
          <w:color w:val="auto"/>
        </w:rPr>
        <w:t>50</w:t>
      </w:r>
      <w:r>
        <w:rPr>
          <w:sz w:val="20"/>
          <w:szCs w:val="20"/>
          <w:color w:val="auto"/>
        </w:rPr>
        <w:tab/>
      </w:r>
      <w:r>
        <w:rPr>
          <w:rFonts w:ascii="Arial" w:cs="Arial" w:eastAsia="Arial" w:hAnsi="Arial"/>
          <w:sz w:val="14"/>
          <w:szCs w:val="14"/>
          <w:color w:val="477157"/>
        </w:rPr>
        <w:t xml:space="preserve">• </w:t>
      </w:r>
      <w:r>
        <w:rPr>
          <w:rFonts w:ascii="Arial" w:cs="Arial" w:eastAsia="Arial" w:hAnsi="Arial"/>
          <w:sz w:val="14"/>
          <w:szCs w:val="14"/>
          <w:color w:val="000000"/>
        </w:rPr>
        <w:t>Executive Vice President and Chief Operating Officer since January 2019.</w:t>
      </w:r>
    </w:p>
    <w:p>
      <w:pPr>
        <w:spacing w:after="0" w:line="5" w:lineRule="exact"/>
        <w:rPr>
          <w:sz w:val="20"/>
          <w:szCs w:val="20"/>
          <w:color w:val="auto"/>
        </w:rPr>
      </w:pPr>
    </w:p>
    <w:p>
      <w:pPr>
        <w:ind w:left="2480" w:hanging="135"/>
        <w:spacing w:after="0"/>
        <w:tabs>
          <w:tab w:leader="none" w:pos="2480" w:val="left"/>
        </w:tabs>
        <w:numPr>
          <w:ilvl w:val="0"/>
          <w:numId w:val="21"/>
        </w:numPr>
        <w:rPr>
          <w:rFonts w:ascii="Arial" w:cs="Arial" w:eastAsia="Arial" w:hAnsi="Arial"/>
          <w:sz w:val="15"/>
          <w:szCs w:val="15"/>
          <w:color w:val="477157"/>
        </w:rPr>
      </w:pPr>
      <w:r>
        <w:rPr>
          <w:rFonts w:ascii="Arial" w:cs="Arial" w:eastAsia="Arial" w:hAnsi="Arial"/>
          <w:sz w:val="15"/>
          <w:szCs w:val="15"/>
          <w:color w:val="auto"/>
        </w:rPr>
        <w:t>Senior Vice President — Operations from 2012 to December 2018.</w:t>
      </w:r>
    </w:p>
    <w:p>
      <w:pPr>
        <w:ind w:left="2480" w:hanging="135"/>
        <w:spacing w:after="0" w:line="235" w:lineRule="auto"/>
        <w:tabs>
          <w:tab w:leader="none" w:pos="2480" w:val="left"/>
        </w:tabs>
        <w:numPr>
          <w:ilvl w:val="0"/>
          <w:numId w:val="21"/>
        </w:numPr>
        <w:rPr>
          <w:rFonts w:ascii="Arial" w:cs="Arial" w:eastAsia="Arial" w:hAnsi="Arial"/>
          <w:sz w:val="15"/>
          <w:szCs w:val="15"/>
          <w:color w:val="477157"/>
        </w:rPr>
      </w:pPr>
      <w:r>
        <w:rPr>
          <w:rFonts w:ascii="Arial" w:cs="Arial" w:eastAsia="Arial" w:hAnsi="Arial"/>
          <w:sz w:val="15"/>
          <w:szCs w:val="15"/>
          <w:color w:val="auto"/>
        </w:rPr>
        <w:t>Chief Strategy Officer from March 2012 to July 2012.</w:t>
      </w:r>
    </w:p>
    <w:p>
      <w:pPr>
        <w:ind w:left="2480" w:hanging="135"/>
        <w:spacing w:after="0"/>
        <w:tabs>
          <w:tab w:leader="none" w:pos="2480" w:val="left"/>
        </w:tabs>
        <w:numPr>
          <w:ilvl w:val="0"/>
          <w:numId w:val="21"/>
        </w:numPr>
        <w:rPr>
          <w:rFonts w:ascii="Arial" w:cs="Arial" w:eastAsia="Arial" w:hAnsi="Arial"/>
          <w:sz w:val="15"/>
          <w:szCs w:val="15"/>
          <w:color w:val="477157"/>
        </w:rPr>
      </w:pPr>
      <w:r>
        <w:rPr>
          <w:rFonts w:ascii="Arial" w:cs="Arial" w:eastAsia="Arial" w:hAnsi="Arial"/>
          <w:sz w:val="15"/>
          <w:szCs w:val="15"/>
          <w:color w:val="auto"/>
        </w:rPr>
        <w:t>Area Vice President — Greater Mid-Atlantic Area from 2011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715518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tabs>
          <w:tab w:leader="none" w:pos="2020" w:val="left"/>
          <w:tab w:leader="none" w:pos="2320" w:val="left"/>
        </w:tabs>
        <w:rPr>
          <w:sz w:val="20"/>
          <w:szCs w:val="20"/>
          <w:color w:val="auto"/>
        </w:rPr>
      </w:pPr>
      <w:r>
        <w:rPr>
          <w:rFonts w:ascii="Arial" w:cs="Arial" w:eastAsia="Arial" w:hAnsi="Arial"/>
          <w:sz w:val="15"/>
          <w:szCs w:val="15"/>
          <w:color w:val="auto"/>
        </w:rPr>
        <w:t>Leslie K. Nagy</w:t>
      </w:r>
      <w:r>
        <w:rPr>
          <w:sz w:val="20"/>
          <w:szCs w:val="20"/>
          <w:color w:val="auto"/>
        </w:rPr>
        <w:tab/>
      </w:r>
      <w:r>
        <w:rPr>
          <w:rFonts w:ascii="Arial" w:cs="Arial" w:eastAsia="Arial" w:hAnsi="Arial"/>
          <w:sz w:val="15"/>
          <w:szCs w:val="15"/>
          <w:color w:val="auto"/>
        </w:rPr>
        <w:t>45</w:t>
      </w:r>
      <w:r>
        <w:rPr>
          <w:sz w:val="20"/>
          <w:szCs w:val="20"/>
          <w:color w:val="auto"/>
        </w:rPr>
        <w:tab/>
      </w:r>
      <w:r>
        <w:rPr>
          <w:rFonts w:ascii="Arial" w:cs="Arial" w:eastAsia="Arial" w:hAnsi="Arial"/>
          <w:sz w:val="14"/>
          <w:szCs w:val="14"/>
          <w:color w:val="477157"/>
        </w:rPr>
        <w:t xml:space="preserve">• </w:t>
      </w:r>
      <w:r>
        <w:rPr>
          <w:rFonts w:ascii="Arial" w:cs="Arial" w:eastAsia="Arial" w:hAnsi="Arial"/>
          <w:sz w:val="14"/>
          <w:szCs w:val="14"/>
          <w:color w:val="000000"/>
        </w:rPr>
        <w:t>Vice President and Chief Accounting Officer since November 2017.</w:t>
      </w:r>
    </w:p>
    <w:p>
      <w:pPr>
        <w:spacing w:after="0" w:line="8" w:lineRule="exact"/>
        <w:rPr>
          <w:sz w:val="20"/>
          <w:szCs w:val="20"/>
          <w:color w:val="auto"/>
        </w:rPr>
      </w:pPr>
    </w:p>
    <w:p>
      <w:pPr>
        <w:ind w:left="2480" w:hanging="135"/>
        <w:spacing w:after="0"/>
        <w:tabs>
          <w:tab w:leader="none" w:pos="2480" w:val="left"/>
        </w:tabs>
        <w:numPr>
          <w:ilvl w:val="0"/>
          <w:numId w:val="22"/>
        </w:numPr>
        <w:rPr>
          <w:rFonts w:ascii="Arial" w:cs="Arial" w:eastAsia="Arial" w:hAnsi="Arial"/>
          <w:sz w:val="15"/>
          <w:szCs w:val="15"/>
          <w:color w:val="477157"/>
        </w:rPr>
      </w:pPr>
      <w:r>
        <w:rPr>
          <w:rFonts w:ascii="Arial" w:cs="Arial" w:eastAsia="Arial" w:hAnsi="Arial"/>
          <w:sz w:val="15"/>
          <w:szCs w:val="15"/>
          <w:color w:val="auto"/>
        </w:rPr>
        <w:t>Principal Accounting Officer and Controller, Parker Drilling Company, an oilfield services company, from 2014 to November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715518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tabs>
          <w:tab w:leader="none" w:pos="2020" w:val="left"/>
          <w:tab w:leader="none" w:pos="2320" w:val="left"/>
        </w:tabs>
        <w:rPr>
          <w:sz w:val="20"/>
          <w:szCs w:val="20"/>
          <w:color w:val="auto"/>
        </w:rPr>
      </w:pPr>
      <w:r>
        <w:rPr>
          <w:rFonts w:ascii="Arial" w:cs="Arial" w:eastAsia="Arial" w:hAnsi="Arial"/>
          <w:sz w:val="15"/>
          <w:szCs w:val="15"/>
          <w:color w:val="auto"/>
        </w:rPr>
        <w:t>Tamla D. Oates-Forney</w:t>
      </w:r>
      <w:r>
        <w:rPr>
          <w:sz w:val="20"/>
          <w:szCs w:val="20"/>
          <w:color w:val="auto"/>
        </w:rPr>
        <w:tab/>
      </w:r>
      <w:r>
        <w:rPr>
          <w:rFonts w:ascii="Arial" w:cs="Arial" w:eastAsia="Arial" w:hAnsi="Arial"/>
          <w:sz w:val="15"/>
          <w:szCs w:val="15"/>
          <w:color w:val="auto"/>
        </w:rPr>
        <w:t>48</w:t>
      </w:r>
      <w:r>
        <w:rPr>
          <w:sz w:val="20"/>
          <w:szCs w:val="20"/>
          <w:color w:val="auto"/>
        </w:rPr>
        <w:tab/>
      </w:r>
      <w:r>
        <w:rPr>
          <w:rFonts w:ascii="Arial" w:cs="Arial" w:eastAsia="Arial" w:hAnsi="Arial"/>
          <w:sz w:val="14"/>
          <w:szCs w:val="14"/>
          <w:color w:val="477157"/>
        </w:rPr>
        <w:t xml:space="preserve">• </w:t>
      </w:r>
      <w:r>
        <w:rPr>
          <w:rFonts w:ascii="Arial" w:cs="Arial" w:eastAsia="Arial" w:hAnsi="Arial"/>
          <w:sz w:val="14"/>
          <w:szCs w:val="14"/>
          <w:color w:val="000000"/>
        </w:rPr>
        <w:t>Senior Vice President and Chief Human Resources Officer since December 2018.</w:t>
      </w:r>
    </w:p>
    <w:p>
      <w:pPr>
        <w:spacing w:after="0" w:line="8" w:lineRule="exact"/>
        <w:rPr>
          <w:sz w:val="20"/>
          <w:szCs w:val="20"/>
          <w:color w:val="auto"/>
        </w:rPr>
      </w:pPr>
    </w:p>
    <w:p>
      <w:pPr>
        <w:ind w:left="2480" w:hanging="135"/>
        <w:spacing w:after="0"/>
        <w:tabs>
          <w:tab w:leader="none" w:pos="2480" w:val="left"/>
        </w:tabs>
        <w:numPr>
          <w:ilvl w:val="0"/>
          <w:numId w:val="23"/>
        </w:numPr>
        <w:rPr>
          <w:rFonts w:ascii="Arial" w:cs="Arial" w:eastAsia="Arial" w:hAnsi="Arial"/>
          <w:sz w:val="15"/>
          <w:szCs w:val="15"/>
          <w:color w:val="477157"/>
        </w:rPr>
      </w:pPr>
      <w:r>
        <w:rPr>
          <w:rFonts w:ascii="Arial" w:cs="Arial" w:eastAsia="Arial" w:hAnsi="Arial"/>
          <w:sz w:val="15"/>
          <w:szCs w:val="15"/>
          <w:color w:val="auto"/>
        </w:rPr>
        <w:t>Vice President, Human Resources, GE Energy Connections, an electrification and automation business included in the General Electric Company multinational conglomerate, from 2014 to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715518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39" w:lineRule="exact"/>
        <w:rPr>
          <w:sz w:val="20"/>
          <w:szCs w:val="20"/>
          <w:color w:val="auto"/>
        </w:rPr>
      </w:pPr>
    </w:p>
    <w:p>
      <w:pPr>
        <w:ind w:left="2480" w:hanging="135"/>
        <w:spacing w:after="0"/>
        <w:tabs>
          <w:tab w:leader="none" w:pos="2480" w:val="left"/>
        </w:tabs>
        <w:numPr>
          <w:ilvl w:val="0"/>
          <w:numId w:val="24"/>
        </w:numPr>
        <w:rPr>
          <w:rFonts w:ascii="Arial" w:cs="Arial" w:eastAsia="Arial" w:hAnsi="Arial"/>
          <w:sz w:val="15"/>
          <w:szCs w:val="15"/>
          <w:color w:val="477157"/>
        </w:rPr>
      </w:pPr>
      <w:r>
        <w:rPr>
          <w:rFonts w:ascii="Arial" w:cs="Arial" w:eastAsia="Arial" w:hAnsi="Arial"/>
          <w:sz w:val="15"/>
          <w:szCs w:val="15"/>
          <w:color w:val="auto"/>
        </w:rPr>
        <w:t>Senior Vice President and Chief Financial Officer from February 2017 to February 2020.</w:t>
      </w:r>
    </w:p>
    <w:p>
      <w:pPr>
        <w:ind w:left="2480" w:hanging="135"/>
        <w:spacing w:after="0" w:line="235" w:lineRule="auto"/>
        <w:tabs>
          <w:tab w:leader="none" w:pos="2480" w:val="left"/>
        </w:tabs>
        <w:numPr>
          <w:ilvl w:val="0"/>
          <w:numId w:val="24"/>
        </w:numPr>
        <w:rPr>
          <w:rFonts w:ascii="Arial" w:cs="Arial" w:eastAsia="Arial" w:hAnsi="Arial"/>
          <w:sz w:val="15"/>
          <w:szCs w:val="15"/>
          <w:color w:val="477157"/>
        </w:rPr>
      </w:pPr>
      <w:r>
        <w:rPr>
          <w:rFonts w:ascii="Arial" w:cs="Arial" w:eastAsia="Arial" w:hAnsi="Arial"/>
          <w:sz w:val="15"/>
          <w:szCs w:val="15"/>
          <w:color w:val="auto"/>
        </w:rPr>
        <w:t>Also continued to serve as Treasurer from February 2017 to August 2017.</w:t>
      </w:r>
    </w:p>
    <w:p>
      <w:pPr>
        <w:ind w:left="2480" w:hanging="135"/>
        <w:spacing w:after="0" w:line="235" w:lineRule="auto"/>
        <w:tabs>
          <w:tab w:leader="none" w:pos="2480" w:val="left"/>
        </w:tabs>
        <w:numPr>
          <w:ilvl w:val="0"/>
          <w:numId w:val="24"/>
        </w:numPr>
        <w:rPr>
          <w:rFonts w:ascii="Arial" w:cs="Arial" w:eastAsia="Arial" w:hAnsi="Arial"/>
          <w:sz w:val="15"/>
          <w:szCs w:val="15"/>
          <w:color w:val="477157"/>
        </w:rPr>
      </w:pPr>
      <w:r>
        <w:rPr>
          <w:rFonts w:ascii="Arial" w:cs="Arial" w:eastAsia="Arial" w:hAnsi="Arial"/>
          <w:sz w:val="15"/>
          <w:szCs w:val="15"/>
          <w:color w:val="auto"/>
        </w:rPr>
        <w:t>Vice President, Treasurer and Acting Chief Financial Officer from January 2017 to February 2017.</w:t>
      </w:r>
    </w:p>
    <w:p>
      <w:pPr>
        <w:ind w:left="2480" w:hanging="135"/>
        <w:spacing w:after="0"/>
        <w:tabs>
          <w:tab w:leader="none" w:pos="2480" w:val="left"/>
        </w:tabs>
        <w:numPr>
          <w:ilvl w:val="0"/>
          <w:numId w:val="24"/>
        </w:numPr>
        <w:rPr>
          <w:rFonts w:ascii="Arial" w:cs="Arial" w:eastAsia="Arial" w:hAnsi="Arial"/>
          <w:sz w:val="15"/>
          <w:szCs w:val="15"/>
          <w:color w:val="477157"/>
        </w:rPr>
      </w:pPr>
      <w:r>
        <w:rPr>
          <w:rFonts w:ascii="Arial" w:cs="Arial" w:eastAsia="Arial" w:hAnsi="Arial"/>
          <w:sz w:val="15"/>
          <w:szCs w:val="15"/>
          <w:color w:val="auto"/>
        </w:rPr>
        <w:t>Vice President and Treasurer from 2012 to January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715518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tabs>
          <w:tab w:leader="none" w:pos="2020" w:val="left"/>
          <w:tab w:leader="none" w:pos="2320" w:val="left"/>
        </w:tabs>
        <w:rPr>
          <w:sz w:val="20"/>
          <w:szCs w:val="20"/>
          <w:color w:val="auto"/>
        </w:rPr>
      </w:pPr>
      <w:r>
        <w:rPr>
          <w:rFonts w:ascii="Arial" w:cs="Arial" w:eastAsia="Arial" w:hAnsi="Arial"/>
          <w:sz w:val="15"/>
          <w:szCs w:val="15"/>
          <w:color w:val="auto"/>
        </w:rPr>
        <w:t>Nikolaj H. Sjoqvist</w:t>
      </w:r>
      <w:r>
        <w:rPr>
          <w:sz w:val="20"/>
          <w:szCs w:val="20"/>
          <w:color w:val="auto"/>
        </w:rPr>
        <w:tab/>
      </w:r>
      <w:r>
        <w:rPr>
          <w:rFonts w:ascii="Arial" w:cs="Arial" w:eastAsia="Arial" w:hAnsi="Arial"/>
          <w:sz w:val="15"/>
          <w:szCs w:val="15"/>
          <w:color w:val="auto"/>
        </w:rPr>
        <w:t>47</w:t>
      </w:r>
      <w:r>
        <w:rPr>
          <w:sz w:val="20"/>
          <w:szCs w:val="20"/>
          <w:color w:val="auto"/>
        </w:rPr>
        <w:tab/>
      </w:r>
      <w:r>
        <w:rPr>
          <w:rFonts w:ascii="Arial" w:cs="Arial" w:eastAsia="Arial" w:hAnsi="Arial"/>
          <w:sz w:val="14"/>
          <w:szCs w:val="14"/>
          <w:color w:val="477157"/>
        </w:rPr>
        <w:t xml:space="preserve">• </w:t>
      </w:r>
      <w:r>
        <w:rPr>
          <w:rFonts w:ascii="Arial" w:cs="Arial" w:eastAsia="Arial" w:hAnsi="Arial"/>
          <w:sz w:val="14"/>
          <w:szCs w:val="14"/>
          <w:color w:val="000000"/>
        </w:rPr>
        <w:t>Senior Vice President and Chief Digital Officer since October 2017.</w:t>
      </w:r>
    </w:p>
    <w:p>
      <w:pPr>
        <w:spacing w:after="0" w:line="8" w:lineRule="exact"/>
        <w:rPr>
          <w:sz w:val="20"/>
          <w:szCs w:val="20"/>
          <w:color w:val="auto"/>
        </w:rPr>
      </w:pPr>
    </w:p>
    <w:p>
      <w:pPr>
        <w:ind w:left="2480" w:hanging="135"/>
        <w:spacing w:after="0"/>
        <w:tabs>
          <w:tab w:leader="none" w:pos="2480" w:val="left"/>
        </w:tabs>
        <w:numPr>
          <w:ilvl w:val="0"/>
          <w:numId w:val="25"/>
        </w:numPr>
        <w:rPr>
          <w:rFonts w:ascii="Arial" w:cs="Arial" w:eastAsia="Arial" w:hAnsi="Arial"/>
          <w:sz w:val="15"/>
          <w:szCs w:val="15"/>
          <w:color w:val="477157"/>
        </w:rPr>
      </w:pPr>
      <w:r>
        <w:rPr>
          <w:rFonts w:ascii="Arial" w:cs="Arial" w:eastAsia="Arial" w:hAnsi="Arial"/>
          <w:sz w:val="15"/>
          <w:szCs w:val="15"/>
          <w:color w:val="auto"/>
        </w:rPr>
        <w:t>Vice President — Revenue Management from 2012 to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715518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tabs>
          <w:tab w:leader="none" w:pos="2020" w:val="left"/>
          <w:tab w:leader="none" w:pos="2320" w:val="left"/>
        </w:tabs>
        <w:rPr>
          <w:sz w:val="20"/>
          <w:szCs w:val="20"/>
          <w:color w:val="auto"/>
        </w:rPr>
      </w:pPr>
      <w:r>
        <w:rPr>
          <w:rFonts w:ascii="Arial" w:cs="Arial" w:eastAsia="Arial" w:hAnsi="Arial"/>
          <w:sz w:val="15"/>
          <w:szCs w:val="15"/>
          <w:color w:val="auto"/>
        </w:rPr>
        <w:t>Michael J. Watson</w:t>
      </w:r>
      <w:r>
        <w:rPr>
          <w:sz w:val="20"/>
          <w:szCs w:val="20"/>
          <w:color w:val="auto"/>
        </w:rPr>
        <w:tab/>
      </w:r>
      <w:r>
        <w:rPr>
          <w:rFonts w:ascii="Arial" w:cs="Arial" w:eastAsia="Arial" w:hAnsi="Arial"/>
          <w:sz w:val="15"/>
          <w:szCs w:val="15"/>
          <w:color w:val="auto"/>
        </w:rPr>
        <w:t>50</w:t>
      </w:r>
      <w:r>
        <w:rPr>
          <w:sz w:val="20"/>
          <w:szCs w:val="20"/>
          <w:color w:val="auto"/>
        </w:rPr>
        <w:tab/>
      </w:r>
      <w:r>
        <w:rPr>
          <w:rFonts w:ascii="Arial" w:cs="Arial" w:eastAsia="Arial" w:hAnsi="Arial"/>
          <w:sz w:val="14"/>
          <w:szCs w:val="14"/>
          <w:color w:val="477157"/>
        </w:rPr>
        <w:t xml:space="preserve">• </w:t>
      </w:r>
      <w:r>
        <w:rPr>
          <w:rFonts w:ascii="Arial" w:cs="Arial" w:eastAsia="Arial" w:hAnsi="Arial"/>
          <w:sz w:val="14"/>
          <w:szCs w:val="14"/>
          <w:color w:val="000000"/>
        </w:rPr>
        <w:t>Senior Vice President and Chief Customer Officer since October 2018.</w:t>
      </w:r>
    </w:p>
    <w:p>
      <w:pPr>
        <w:spacing w:after="0" w:line="8" w:lineRule="exact"/>
        <w:rPr>
          <w:sz w:val="20"/>
          <w:szCs w:val="20"/>
          <w:color w:val="auto"/>
        </w:rPr>
      </w:pPr>
    </w:p>
    <w:p>
      <w:pPr>
        <w:ind w:left="2480" w:hanging="135"/>
        <w:spacing w:after="0"/>
        <w:tabs>
          <w:tab w:leader="none" w:pos="2480" w:val="left"/>
        </w:tabs>
        <w:numPr>
          <w:ilvl w:val="0"/>
          <w:numId w:val="26"/>
        </w:numPr>
        <w:rPr>
          <w:rFonts w:ascii="Arial" w:cs="Arial" w:eastAsia="Arial" w:hAnsi="Arial"/>
          <w:sz w:val="15"/>
          <w:szCs w:val="15"/>
          <w:color w:val="477157"/>
        </w:rPr>
      </w:pPr>
      <w:r>
        <w:rPr>
          <w:rFonts w:ascii="Arial" w:cs="Arial" w:eastAsia="Arial" w:hAnsi="Arial"/>
          <w:sz w:val="15"/>
          <w:szCs w:val="15"/>
          <w:color w:val="auto"/>
        </w:rPr>
        <w:t>Area Vice President — Illinois / Missouri Valley Area from 2013 to 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715518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61"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36"/>
          <w:szCs w:val="36"/>
          <w:color w:val="477157"/>
        </w:rPr>
        <w:t>EXECUTIVE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477157"/>
        </w:rPr>
        <w:t>COMPENSATION DISCUSSION AND ANALYSIS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Introduction</w:t>
      </w:r>
    </w:p>
    <w:p>
      <w:pPr>
        <w:spacing w:after="0" w:line="375" w:lineRule="exact"/>
        <w:rPr>
          <w:sz w:val="20"/>
          <w:szCs w:val="20"/>
          <w:color w:val="auto"/>
        </w:rPr>
      </w:pPr>
    </w:p>
    <w:p>
      <w:pPr>
        <w:jc w:val="both"/>
        <w:ind w:right="413"/>
        <w:spacing w:after="0" w:line="236" w:lineRule="auto"/>
        <w:rPr>
          <w:sz w:val="20"/>
          <w:szCs w:val="20"/>
          <w:color w:val="auto"/>
        </w:rPr>
      </w:pPr>
      <w:r>
        <w:rPr>
          <w:rFonts w:ascii="Arial" w:cs="Arial" w:eastAsia="Arial" w:hAnsi="Arial"/>
          <w:sz w:val="15"/>
          <w:szCs w:val="15"/>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2019 aligned with the Company's 2019 financial goals and performance. The Compensation Discussion and Analysis helps readers better understand the information found in the Summary Compensation Table and other accompanying tables included in this Proxy Statement.</w:t>
      </w:r>
    </w:p>
    <w:p>
      <w:pPr>
        <w:spacing w:after="0" w:line="176" w:lineRule="exact"/>
        <w:rPr>
          <w:sz w:val="20"/>
          <w:szCs w:val="20"/>
          <w:color w:val="auto"/>
        </w:rPr>
      </w:pPr>
    </w:p>
    <w:p>
      <w:pPr>
        <w:jc w:val="both"/>
        <w:ind w:right="413"/>
        <w:spacing w:after="0" w:line="238" w:lineRule="auto"/>
        <w:rPr>
          <w:sz w:val="20"/>
          <w:szCs w:val="20"/>
          <w:color w:val="auto"/>
        </w:rPr>
      </w:pPr>
      <w:r>
        <w:rPr>
          <w:rFonts w:ascii="Arial" w:cs="Arial" w:eastAsia="Arial" w:hAnsi="Arial"/>
          <w:sz w:val="15"/>
          <w:szCs w:val="15"/>
          <w:color w:val="auto"/>
        </w:rPr>
        <w:t>This Compensation Discussion and Analysis focuses on our executive pay program as it relates to the following executive officers during 2019, whom we refer to as the "named executive officers" or "named executives":</w:t>
      </w:r>
    </w:p>
    <w:p>
      <w:pPr>
        <w:spacing w:after="0" w:line="174" w:lineRule="exact"/>
        <w:rPr>
          <w:sz w:val="20"/>
          <w:szCs w:val="20"/>
          <w:color w:val="auto"/>
        </w:rPr>
      </w:pPr>
    </w:p>
    <w:p>
      <w:pPr>
        <w:ind w:left="900" w:right="413" w:hanging="459"/>
        <w:spacing w:after="0"/>
        <w:tabs>
          <w:tab w:leader="none" w:pos="900" w:val="left"/>
        </w:tabs>
        <w:numPr>
          <w:ilvl w:val="0"/>
          <w:numId w:val="27"/>
        </w:numPr>
        <w:rPr>
          <w:rFonts w:ascii="Arial" w:cs="Arial" w:eastAsia="Arial" w:hAnsi="Arial"/>
          <w:sz w:val="15"/>
          <w:szCs w:val="15"/>
          <w:color w:val="477157"/>
        </w:rPr>
      </w:pPr>
      <w:r>
        <w:rPr>
          <w:rFonts w:ascii="Arial" w:cs="Arial" w:eastAsia="Arial" w:hAnsi="Arial"/>
          <w:sz w:val="15"/>
          <w:szCs w:val="15"/>
          <w:color w:val="auto"/>
        </w:rPr>
        <w:t>Mr. James C. Fish, Jr. — President and Chief Executive Officer since November 2016.</w:t>
      </w:r>
    </w:p>
    <w:p>
      <w:pPr>
        <w:spacing w:after="0" w:line="173" w:lineRule="exact"/>
        <w:rPr>
          <w:rFonts w:ascii="Arial" w:cs="Arial" w:eastAsia="Arial" w:hAnsi="Arial"/>
          <w:sz w:val="15"/>
          <w:szCs w:val="15"/>
          <w:color w:val="477157"/>
        </w:rPr>
      </w:pPr>
    </w:p>
    <w:p>
      <w:pPr>
        <w:ind w:left="900" w:right="413" w:hanging="459"/>
        <w:spacing w:after="0"/>
        <w:tabs>
          <w:tab w:leader="none" w:pos="900" w:val="left"/>
        </w:tabs>
        <w:numPr>
          <w:ilvl w:val="0"/>
          <w:numId w:val="27"/>
        </w:numPr>
        <w:rPr>
          <w:rFonts w:ascii="Arial" w:cs="Arial" w:eastAsia="Arial" w:hAnsi="Arial"/>
          <w:sz w:val="15"/>
          <w:szCs w:val="15"/>
          <w:color w:val="477157"/>
        </w:rPr>
      </w:pPr>
      <w:r>
        <w:rPr>
          <w:rFonts w:ascii="Arial" w:cs="Arial" w:eastAsia="Arial" w:hAnsi="Arial"/>
          <w:sz w:val="15"/>
          <w:szCs w:val="15"/>
          <w:color w:val="auto"/>
        </w:rPr>
        <w:t>Ms. Devina A. Rankin — Senior Vice President and Chief Financial Officer since February 2017.</w:t>
      </w:r>
    </w:p>
    <w:p>
      <w:pPr>
        <w:spacing w:after="0" w:line="162" w:lineRule="exact"/>
        <w:rPr>
          <w:rFonts w:ascii="Arial" w:cs="Arial" w:eastAsia="Arial" w:hAnsi="Arial"/>
          <w:sz w:val="15"/>
          <w:szCs w:val="15"/>
          <w:color w:val="477157"/>
        </w:rPr>
      </w:pPr>
    </w:p>
    <w:p>
      <w:pPr>
        <w:jc w:val="both"/>
        <w:ind w:left="900" w:right="413" w:hanging="459"/>
        <w:spacing w:after="0" w:line="238" w:lineRule="auto"/>
        <w:tabs>
          <w:tab w:leader="none" w:pos="900" w:val="left"/>
        </w:tabs>
        <w:numPr>
          <w:ilvl w:val="0"/>
          <w:numId w:val="27"/>
        </w:numPr>
        <w:rPr>
          <w:rFonts w:ascii="Arial" w:cs="Arial" w:eastAsia="Arial" w:hAnsi="Arial"/>
          <w:sz w:val="15"/>
          <w:szCs w:val="15"/>
          <w:color w:val="477157"/>
        </w:rPr>
      </w:pPr>
      <w:r>
        <w:rPr>
          <w:rFonts w:ascii="Arial" w:cs="Arial" w:eastAsia="Arial" w:hAnsi="Arial"/>
          <w:sz w:val="15"/>
          <w:szCs w:val="15"/>
          <w:color w:val="auto"/>
        </w:rPr>
        <w:t>Mr. John J. Morris, Jr. — Executive Vice President and Chief Operating Officer since January 2019; Senior Vice President, Operations from July 2012 to December 2018.</w:t>
      </w:r>
    </w:p>
    <w:p>
      <w:pPr>
        <w:spacing w:after="0" w:line="162" w:lineRule="exact"/>
        <w:rPr>
          <w:rFonts w:ascii="Arial" w:cs="Arial" w:eastAsia="Arial" w:hAnsi="Arial"/>
          <w:sz w:val="15"/>
          <w:szCs w:val="15"/>
          <w:color w:val="477157"/>
        </w:rPr>
      </w:pPr>
    </w:p>
    <w:p>
      <w:pPr>
        <w:ind w:left="900" w:right="413" w:hanging="459"/>
        <w:spacing w:after="0"/>
        <w:tabs>
          <w:tab w:leader="none" w:pos="900" w:val="left"/>
        </w:tabs>
        <w:numPr>
          <w:ilvl w:val="0"/>
          <w:numId w:val="27"/>
        </w:numPr>
        <w:rPr>
          <w:rFonts w:ascii="Arial" w:cs="Arial" w:eastAsia="Arial" w:hAnsi="Arial"/>
          <w:sz w:val="15"/>
          <w:szCs w:val="15"/>
          <w:color w:val="477157"/>
        </w:rPr>
      </w:pPr>
      <w:r>
        <w:rPr>
          <w:rFonts w:ascii="Arial" w:cs="Arial" w:eastAsia="Arial" w:hAnsi="Arial"/>
          <w:sz w:val="15"/>
          <w:szCs w:val="15"/>
          <w:color w:val="auto"/>
        </w:rPr>
        <w:t>Ms. Tara J. Hemmer — Senior Vice President, Operations since January 2019.</w:t>
      </w:r>
    </w:p>
    <w:p>
      <w:pPr>
        <w:spacing w:after="0" w:line="173" w:lineRule="exact"/>
        <w:rPr>
          <w:rFonts w:ascii="Arial" w:cs="Arial" w:eastAsia="Arial" w:hAnsi="Arial"/>
          <w:sz w:val="15"/>
          <w:szCs w:val="15"/>
          <w:color w:val="477157"/>
        </w:rPr>
      </w:pPr>
    </w:p>
    <w:p>
      <w:pPr>
        <w:ind w:left="900" w:right="413" w:hanging="459"/>
        <w:spacing w:after="0"/>
        <w:tabs>
          <w:tab w:leader="none" w:pos="900" w:val="left"/>
        </w:tabs>
        <w:numPr>
          <w:ilvl w:val="0"/>
          <w:numId w:val="27"/>
        </w:numPr>
        <w:rPr>
          <w:rFonts w:ascii="Arial" w:cs="Arial" w:eastAsia="Arial" w:hAnsi="Arial"/>
          <w:sz w:val="15"/>
          <w:szCs w:val="15"/>
          <w:color w:val="477157"/>
        </w:rPr>
      </w:pPr>
      <w:r>
        <w:rPr>
          <w:rFonts w:ascii="Arial" w:cs="Arial" w:eastAsia="Arial" w:hAnsi="Arial"/>
          <w:sz w:val="15"/>
          <w:szCs w:val="15"/>
          <w:color w:val="auto"/>
        </w:rPr>
        <w:t>Mr. Steven R. Batchelor — Senior Vice President, Operations since January 2019.</w:t>
      </w:r>
    </w:p>
    <w:p>
      <w:pPr>
        <w:spacing w:after="0" w:line="173" w:lineRule="exact"/>
        <w:rPr>
          <w:sz w:val="20"/>
          <w:szCs w:val="20"/>
          <w:color w:val="auto"/>
        </w:rPr>
      </w:pPr>
    </w:p>
    <w:p>
      <w:pPr>
        <w:jc w:val="both"/>
        <w:ind w:right="413"/>
        <w:spacing w:after="0" w:line="238" w:lineRule="auto"/>
        <w:rPr>
          <w:sz w:val="20"/>
          <w:szCs w:val="20"/>
          <w:color w:val="auto"/>
        </w:rPr>
      </w:pPr>
      <w:r>
        <w:rPr>
          <w:rFonts w:ascii="Arial" w:cs="Arial" w:eastAsia="Arial" w:hAnsi="Arial"/>
          <w:sz w:val="15"/>
          <w:szCs w:val="15"/>
          <w:color w:val="auto"/>
        </w:rPr>
        <w:t>For additional information about the named executives' background and prior experience with the Company and Ms. Rankin's promotion in February 2020, please see "Executive Officers" on pg 25 of this Proxy Statement.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Executive Summary</w:t>
      </w:r>
    </w:p>
    <w:p>
      <w:pPr>
        <w:spacing w:after="0" w:line="195" w:lineRule="exact"/>
        <w:rPr>
          <w:sz w:val="20"/>
          <w:szCs w:val="20"/>
          <w:color w:val="auto"/>
        </w:rPr>
      </w:pPr>
    </w:p>
    <w:p>
      <w:pPr>
        <w:jc w:val="both"/>
        <w:ind w:right="413"/>
        <w:spacing w:after="0" w:line="236" w:lineRule="auto"/>
        <w:rPr>
          <w:sz w:val="20"/>
          <w:szCs w:val="20"/>
          <w:color w:val="auto"/>
        </w:rPr>
      </w:pPr>
      <w:r>
        <w:rPr>
          <w:rFonts w:ascii="Arial" w:cs="Arial" w:eastAsia="Arial" w:hAnsi="Arial"/>
          <w:sz w:val="15"/>
          <w:szCs w:val="15"/>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 The following key structural elements and policies further the objective of our executive compensation program:</w:t>
      </w:r>
    </w:p>
    <w:p>
      <w:pPr>
        <w:spacing w:after="0" w:line="326"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447" w:hanging="447"/>
        <w:spacing w:after="0" w:line="236" w:lineRule="auto"/>
        <w:tabs>
          <w:tab w:leader="none" w:pos="447" w:val="left"/>
        </w:tabs>
        <w:numPr>
          <w:ilvl w:val="0"/>
          <w:numId w:val="28"/>
        </w:numPr>
        <w:rPr>
          <w:rFonts w:ascii="Arial" w:cs="Arial" w:eastAsia="Arial" w:hAnsi="Arial"/>
          <w:sz w:val="15"/>
          <w:szCs w:val="15"/>
          <w:color w:val="477157"/>
        </w:rPr>
      </w:pPr>
      <w:r>
        <w:rPr>
          <w:rFonts w:ascii="Arial" w:cs="Arial" w:eastAsia="Arial" w:hAnsi="Arial"/>
          <w:sz w:val="15"/>
          <w:szCs w:val="15"/>
          <w:color w:val="auto"/>
        </w:rPr>
        <w:t>a substantial portion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with respect to some compensation elements in 2019. Performance-based annual cash incentive and long-term equity-based incentive awards comprised approximately 88% of total 2019 target compensation for our President and Chief Executive Officer, while approximately 80% of the 2019 target compensation opportunities for our other named executives was performance-based;</w:t>
      </w:r>
    </w:p>
    <w:p>
      <w:pPr>
        <w:spacing w:after="0" w:line="173" w:lineRule="exact"/>
        <w:rPr>
          <w:rFonts w:ascii="Arial" w:cs="Arial" w:eastAsia="Arial" w:hAnsi="Arial"/>
          <w:sz w:val="15"/>
          <w:szCs w:val="15"/>
          <w:color w:val="477157"/>
        </w:rPr>
      </w:pPr>
    </w:p>
    <w:p>
      <w:pPr>
        <w:jc w:val="both"/>
        <w:ind w:left="447" w:hanging="447"/>
        <w:spacing w:after="0" w:line="237" w:lineRule="auto"/>
        <w:tabs>
          <w:tab w:leader="none" w:pos="447" w:val="left"/>
        </w:tabs>
        <w:numPr>
          <w:ilvl w:val="0"/>
          <w:numId w:val="28"/>
        </w:numPr>
        <w:rPr>
          <w:rFonts w:ascii="Arial" w:cs="Arial" w:eastAsia="Arial" w:hAnsi="Arial"/>
          <w:sz w:val="15"/>
          <w:szCs w:val="15"/>
          <w:color w:val="477157"/>
        </w:rPr>
      </w:pPr>
      <w:r>
        <w:rPr>
          <w:rFonts w:ascii="Arial" w:cs="Arial" w:eastAsia="Arial" w:hAnsi="Arial"/>
          <w:sz w:val="15"/>
          <w:szCs w:val="15"/>
          <w:color w:val="auto"/>
        </w:rPr>
        <w:t>at target, 70% of total compensation of our President and Chief Executive Officer was tied to long-term equity awards, and approximately 62% of total compensation of our other named executives was tied to long-term equity awards, which aligns executives' interests with those of stockholders;</w:t>
      </w:r>
    </w:p>
    <w:p>
      <w:pPr>
        <w:spacing w:after="0" w:line="162" w:lineRule="exact"/>
        <w:rPr>
          <w:rFonts w:ascii="Arial" w:cs="Arial" w:eastAsia="Arial" w:hAnsi="Arial"/>
          <w:sz w:val="15"/>
          <w:szCs w:val="15"/>
          <w:color w:val="477157"/>
        </w:rPr>
      </w:pPr>
    </w:p>
    <w:p>
      <w:pPr>
        <w:jc w:val="both"/>
        <w:ind w:left="447" w:hanging="447"/>
        <w:spacing w:after="0" w:line="238" w:lineRule="auto"/>
        <w:tabs>
          <w:tab w:leader="none" w:pos="447" w:val="left"/>
        </w:tabs>
        <w:numPr>
          <w:ilvl w:val="0"/>
          <w:numId w:val="28"/>
        </w:numPr>
        <w:rPr>
          <w:rFonts w:ascii="Arial" w:cs="Arial" w:eastAsia="Arial" w:hAnsi="Arial"/>
          <w:sz w:val="15"/>
          <w:szCs w:val="15"/>
          <w:color w:val="477157"/>
        </w:rPr>
      </w:pPr>
      <w:r>
        <w:rPr>
          <w:rFonts w:ascii="Arial" w:cs="Arial" w:eastAsia="Arial" w:hAnsi="Arial"/>
          <w:sz w:val="15"/>
          <w:szCs w:val="15"/>
          <w:color w:val="auto"/>
        </w:rPr>
        <w:t>our total direct compensation opportunities for named executive officers are targeted to fall in a range around the competitive median;</w:t>
      </w:r>
    </w:p>
    <w:p>
      <w:pPr>
        <w:spacing w:after="0" w:line="162" w:lineRule="exact"/>
        <w:rPr>
          <w:rFonts w:ascii="Arial" w:cs="Arial" w:eastAsia="Arial" w:hAnsi="Arial"/>
          <w:sz w:val="15"/>
          <w:szCs w:val="15"/>
          <w:color w:val="477157"/>
        </w:rPr>
      </w:pPr>
    </w:p>
    <w:p>
      <w:pPr>
        <w:jc w:val="both"/>
        <w:ind w:left="447" w:hanging="447"/>
        <w:spacing w:after="0" w:line="237" w:lineRule="auto"/>
        <w:tabs>
          <w:tab w:leader="none" w:pos="447" w:val="left"/>
        </w:tabs>
        <w:numPr>
          <w:ilvl w:val="0"/>
          <w:numId w:val="28"/>
        </w:numPr>
        <w:rPr>
          <w:rFonts w:ascii="Arial" w:cs="Arial" w:eastAsia="Arial" w:hAnsi="Arial"/>
          <w:sz w:val="15"/>
          <w:szCs w:val="15"/>
          <w:color w:val="477157"/>
        </w:rPr>
      </w:pPr>
      <w:r>
        <w:rPr>
          <w:rFonts w:ascii="Arial" w:cs="Arial" w:eastAsia="Arial" w:hAnsi="Arial"/>
          <w:sz w:val="15"/>
          <w:szCs w:val="15"/>
          <w:color w:val="auto"/>
        </w:rPr>
        <w:t>performance-based awards include threshold, target and maximum payouts correlating to a range of performance outcomes and are based on a variety of indicators of performance, which limits risk-taking behavior;</w:t>
      </w:r>
    </w:p>
    <w:p>
      <w:pPr>
        <w:spacing w:after="0" w:line="175" w:lineRule="exact"/>
        <w:rPr>
          <w:rFonts w:ascii="Arial" w:cs="Arial" w:eastAsia="Arial" w:hAnsi="Arial"/>
          <w:sz w:val="15"/>
          <w:szCs w:val="15"/>
          <w:color w:val="477157"/>
        </w:rPr>
      </w:pPr>
    </w:p>
    <w:p>
      <w:pPr>
        <w:jc w:val="both"/>
        <w:ind w:left="447" w:hanging="447"/>
        <w:spacing w:after="0" w:line="237" w:lineRule="auto"/>
        <w:tabs>
          <w:tab w:leader="none" w:pos="447" w:val="left"/>
        </w:tabs>
        <w:numPr>
          <w:ilvl w:val="0"/>
          <w:numId w:val="28"/>
        </w:numPr>
        <w:rPr>
          <w:rFonts w:ascii="Arial" w:cs="Arial" w:eastAsia="Arial" w:hAnsi="Arial"/>
          <w:sz w:val="15"/>
          <w:szCs w:val="15"/>
          <w:color w:val="477157"/>
        </w:rPr>
      </w:pPr>
      <w:r>
        <w:rPr>
          <w:rFonts w:ascii="Arial" w:cs="Arial" w:eastAsia="Arial" w:hAnsi="Arial"/>
          <w:sz w:val="15"/>
          <w:szCs w:val="15"/>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163" w:lineRule="exact"/>
        <w:rPr>
          <w:rFonts w:ascii="Arial" w:cs="Arial" w:eastAsia="Arial" w:hAnsi="Arial"/>
          <w:sz w:val="15"/>
          <w:szCs w:val="15"/>
          <w:color w:val="477157"/>
        </w:rPr>
      </w:pPr>
    </w:p>
    <w:p>
      <w:pPr>
        <w:jc w:val="both"/>
        <w:ind w:left="447" w:right="20" w:hanging="447"/>
        <w:spacing w:after="0" w:line="238" w:lineRule="auto"/>
        <w:tabs>
          <w:tab w:leader="none" w:pos="447" w:val="left"/>
        </w:tabs>
        <w:numPr>
          <w:ilvl w:val="0"/>
          <w:numId w:val="28"/>
        </w:numPr>
        <w:rPr>
          <w:rFonts w:ascii="Arial" w:cs="Arial" w:eastAsia="Arial" w:hAnsi="Arial"/>
          <w:sz w:val="15"/>
          <w:szCs w:val="15"/>
          <w:color w:val="477157"/>
        </w:rPr>
      </w:pPr>
      <w:r>
        <w:rPr>
          <w:rFonts w:ascii="Arial" w:cs="Arial" w:eastAsia="Arial" w:hAnsi="Arial"/>
          <w:sz w:val="15"/>
          <w:szCs w:val="15"/>
          <w:color w:val="auto"/>
        </w:rPr>
        <w:t>all of our executive officers are subject to stock ownership guidelines, which we believe demonstrates a commitment to, and confidence in, the Company's long-term prospects;</w:t>
      </w:r>
    </w:p>
    <w:p>
      <w:pPr>
        <w:spacing w:after="0" w:line="162" w:lineRule="exact"/>
        <w:rPr>
          <w:rFonts w:ascii="Arial" w:cs="Arial" w:eastAsia="Arial" w:hAnsi="Arial"/>
          <w:sz w:val="15"/>
          <w:szCs w:val="15"/>
          <w:color w:val="477157"/>
        </w:rPr>
      </w:pPr>
    </w:p>
    <w:p>
      <w:pPr>
        <w:jc w:val="both"/>
        <w:ind w:left="447" w:hanging="447"/>
        <w:spacing w:after="0" w:line="237" w:lineRule="auto"/>
        <w:tabs>
          <w:tab w:leader="none" w:pos="447" w:val="left"/>
        </w:tabs>
        <w:numPr>
          <w:ilvl w:val="0"/>
          <w:numId w:val="28"/>
        </w:numPr>
        <w:rPr>
          <w:rFonts w:ascii="Arial" w:cs="Arial" w:eastAsia="Arial" w:hAnsi="Arial"/>
          <w:sz w:val="15"/>
          <w:szCs w:val="15"/>
          <w:color w:val="477157"/>
        </w:rPr>
      </w:pPr>
      <w:r>
        <w:rPr>
          <w:rFonts w:ascii="Arial" w:cs="Arial" w:eastAsia="Arial" w:hAnsi="Arial"/>
          <w:sz w:val="15"/>
          <w:szCs w:val="15"/>
          <w:color w:val="auto"/>
        </w:rPr>
        <w:t>the Company has clawback provisions in its equity award agreements and executive officer employment agreements, and has adopted a clawback policy applicable to annual incentive compensation, designed to recoup compensation when cause and/or misconduct are found;</w:t>
      </w:r>
    </w:p>
    <w:p>
      <w:pPr>
        <w:sectPr>
          <w:pgSz w:w="11900" w:h="16838" w:orient="portrait"/>
          <w:cols w:equalWidth="0" w:num="2">
            <w:col w:w="5693" w:space="720"/>
            <w:col w:w="4847"/>
          </w:cols>
          <w:pgMar w:left="320" w:top="142" w:right="31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715518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both"/>
        <w:ind w:left="900" w:right="420" w:hanging="459"/>
        <w:spacing w:after="0" w:line="237" w:lineRule="auto"/>
        <w:tabs>
          <w:tab w:leader="none" w:pos="900" w:val="left"/>
        </w:tabs>
        <w:numPr>
          <w:ilvl w:val="0"/>
          <w:numId w:val="29"/>
        </w:numPr>
        <w:rPr>
          <w:rFonts w:ascii="Arial" w:cs="Arial" w:eastAsia="Arial" w:hAnsi="Arial"/>
          <w:sz w:val="15"/>
          <w:szCs w:val="15"/>
          <w:color w:val="477157"/>
        </w:rPr>
      </w:pPr>
      <w:r>
        <w:rPr>
          <w:rFonts w:ascii="Arial" w:cs="Arial" w:eastAsia="Arial" w:hAnsi="Arial"/>
          <w:sz w:val="15"/>
          <w:szCs w:val="15"/>
          <w:color w:val="auto"/>
        </w:rPr>
        <w:t>our executive officer severance policy implemented a limitation on the amount of benefits the Company may provide to its executive officers under severance agreements entered into after the date of such policy (the "Severance Limitation Policy"); and</w:t>
      </w:r>
    </w:p>
    <w:p>
      <w:pPr>
        <w:spacing w:after="0" w:line="175" w:lineRule="exact"/>
        <w:rPr>
          <w:rFonts w:ascii="Arial" w:cs="Arial" w:eastAsia="Arial" w:hAnsi="Arial"/>
          <w:sz w:val="15"/>
          <w:szCs w:val="15"/>
          <w:color w:val="477157"/>
        </w:rPr>
      </w:pPr>
    </w:p>
    <w:p>
      <w:pPr>
        <w:jc w:val="both"/>
        <w:ind w:left="900" w:right="420" w:hanging="459"/>
        <w:spacing w:after="0" w:line="238" w:lineRule="auto"/>
        <w:tabs>
          <w:tab w:leader="none" w:pos="900" w:val="left"/>
        </w:tabs>
        <w:numPr>
          <w:ilvl w:val="0"/>
          <w:numId w:val="29"/>
        </w:numPr>
        <w:rPr>
          <w:rFonts w:ascii="Arial" w:cs="Arial" w:eastAsia="Arial" w:hAnsi="Arial"/>
          <w:sz w:val="15"/>
          <w:szCs w:val="15"/>
          <w:color w:val="477157"/>
        </w:rPr>
      </w:pPr>
      <w:r>
        <w:rPr>
          <w:rFonts w:ascii="Arial" w:cs="Arial" w:eastAsia="Arial" w:hAnsi="Arial"/>
          <w:sz w:val="15"/>
          <w:szCs w:val="15"/>
          <w:color w:val="auto"/>
        </w:rPr>
        <w:t>the Company has adopted a policy that prohibits it from entering into new agreements with executive officers that provide for certain death benefits or tax gross-up payments.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2019 Pay-for-Performance</w:t>
      </w:r>
    </w:p>
    <w:p>
      <w:pPr>
        <w:spacing w:after="0" w:line="195" w:lineRule="exact"/>
        <w:rPr>
          <w:sz w:val="20"/>
          <w:szCs w:val="20"/>
          <w:color w:val="auto"/>
        </w:rPr>
      </w:pPr>
    </w:p>
    <w:p>
      <w:pPr>
        <w:jc w:val="both"/>
        <w:ind w:right="420"/>
        <w:spacing w:after="0" w:line="255" w:lineRule="auto"/>
        <w:rPr>
          <w:sz w:val="20"/>
          <w:szCs w:val="20"/>
          <w:color w:val="auto"/>
        </w:rPr>
      </w:pPr>
      <w:r>
        <w:rPr>
          <w:rFonts w:ascii="Arial" w:cs="Arial" w:eastAsia="Arial" w:hAnsi="Arial"/>
          <w:sz w:val="14"/>
          <w:szCs w:val="14"/>
          <w:color w:val="auto"/>
        </w:rPr>
        <w:t>During 2019, we continued our focus on optimizing our solid waste business, developing our people and investing in technology to better serve our customers. We produced strong operating results from our collection and disposal business, and these results demonstrate that that we are investing in the right areas and driving the right behaviors. This positive 2019 performance continues to position management to execute on the strategic long-term growth goals of the Company through investments in our employees, technology, and asset network. Following is a summary of the 2019 compensation program results: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u w:val="single" w:color="auto"/>
          <w:color w:val="auto"/>
        </w:rPr>
        <w:t>Total Shareholder Return</w:t>
      </w:r>
    </w:p>
    <w:p>
      <w:pPr>
        <w:spacing w:after="0" w:line="195" w:lineRule="exact"/>
        <w:rPr>
          <w:sz w:val="20"/>
          <w:szCs w:val="20"/>
          <w:color w:val="auto"/>
        </w:rPr>
      </w:pPr>
    </w:p>
    <w:p>
      <w:pPr>
        <w:jc w:val="both"/>
        <w:ind w:left="440" w:right="420"/>
        <w:spacing w:after="0" w:line="255" w:lineRule="auto"/>
        <w:rPr>
          <w:sz w:val="20"/>
          <w:szCs w:val="20"/>
          <w:color w:val="auto"/>
        </w:rPr>
      </w:pPr>
      <w:r>
        <w:rPr>
          <w:rFonts w:ascii="Arial" w:cs="Arial" w:eastAsia="Arial" w:hAnsi="Arial"/>
          <w:sz w:val="14"/>
          <w:szCs w:val="14"/>
          <w:color w:val="auto"/>
        </w:rPr>
        <w:t>With respect to the half of the performance share units ("PSUs") granted in 2017 with a three-year performance period ended December 31, 2019 that was subject to total shareholder return relative to the S&amp;P 500, the performance of the Company's Common Stock on this measure translated into a percentile rank relative to the S&amp;P 500 of 73.66%, resulting in a 194.7% payout on these PSUs in shares of Common Stock. This performance directly benefited our stockholders, delivering total shareholder return of 69.83% over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224155</wp:posOffset>
            </wp:positionV>
            <wp:extent cx="4729480" cy="271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29480" cy="271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Cash Flow Generation</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generated net cash flow from operating activities, less capital expenditures, for purposes of the performance goal associated with the other half of our PSUs granted in 2017, of $5.959 billion, exceeding the maximum performance level of $5.336 billion for the three-year performance period ended December 31, 2019. This performance resulted in a maximum 200% payout on these PSUs in shares of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Annual Incentive Performance Measures</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Company performance on annual cash incentive performance measures for named executive officers is set forth below. Due to these results, each of the named executives received an annual cash incentive payment for fiscal year 2019 equal to 99.47% of target.</w:t>
      </w:r>
    </w:p>
    <w:p>
      <w:pPr>
        <w:spacing w:after="0" w:line="161" w:lineRule="exact"/>
        <w:rPr>
          <w:sz w:val="20"/>
          <w:szCs w:val="20"/>
          <w:color w:val="auto"/>
        </w:rPr>
      </w:pPr>
    </w:p>
    <w:p>
      <w:pPr>
        <w:jc w:val="both"/>
        <w:ind w:left="440"/>
        <w:spacing w:after="0" w:line="247" w:lineRule="auto"/>
        <w:rPr>
          <w:sz w:val="20"/>
          <w:szCs w:val="20"/>
          <w:color w:val="auto"/>
        </w:rPr>
      </w:pPr>
      <w:r>
        <w:rPr>
          <w:rFonts w:ascii="Arial" w:cs="Arial" w:eastAsia="Arial" w:hAnsi="Arial"/>
          <w:sz w:val="15"/>
          <w:szCs w:val="15"/>
          <w:i w:val="1"/>
          <w:iCs w:val="1"/>
          <w:u w:val="single" w:color="auto"/>
          <w:color w:val="auto"/>
        </w:rPr>
        <w:t>Income from Operations, excluding Depreciation and Amortization</w:t>
      </w:r>
      <w:r>
        <w:rPr>
          <w:rFonts w:ascii="Arial" w:cs="Arial" w:eastAsia="Arial" w:hAnsi="Arial"/>
          <w:sz w:val="15"/>
          <w:szCs w:val="15"/>
          <w:i w:val="1"/>
          <w:iCs w:val="1"/>
          <w:color w:val="auto"/>
        </w:rPr>
        <w:t xml:space="preserve"> </w:t>
      </w:r>
      <w:r>
        <w:rPr>
          <w:rFonts w:ascii="Arial" w:cs="Arial" w:eastAsia="Arial" w:hAnsi="Arial"/>
          <w:sz w:val="15"/>
          <w:szCs w:val="15"/>
          <w:color w:val="auto"/>
        </w:rPr>
        <w:t>— $4.360 billion, exceeding threshold of $4.216 billion</w:t>
      </w:r>
      <w:r>
        <w:rPr>
          <w:rFonts w:ascii="Arial" w:cs="Arial" w:eastAsia="Arial" w:hAnsi="Arial"/>
          <w:sz w:val="15"/>
          <w:szCs w:val="15"/>
          <w:i w:val="1"/>
          <w:iCs w:val="1"/>
          <w:color w:val="auto"/>
        </w:rPr>
        <w:t xml:space="preserve"> </w:t>
      </w:r>
      <w:r>
        <w:rPr>
          <w:rFonts w:ascii="Arial" w:cs="Arial" w:eastAsia="Arial" w:hAnsi="Arial"/>
          <w:sz w:val="15"/>
          <w:szCs w:val="15"/>
          <w:color w:val="auto"/>
        </w:rPr>
        <w:t>but below target of $4.454 billion, yielding a payout of 84.33%</w:t>
      </w:r>
    </w:p>
    <w:p>
      <w:pPr>
        <w:spacing w:after="0" w:line="155" w:lineRule="exact"/>
        <w:rPr>
          <w:sz w:val="20"/>
          <w:szCs w:val="20"/>
          <w:color w:val="auto"/>
        </w:rPr>
      </w:pPr>
    </w:p>
    <w:p>
      <w:pPr>
        <w:jc w:val="both"/>
        <w:ind w:left="440" w:right="20"/>
        <w:spacing w:after="0" w:line="260" w:lineRule="auto"/>
        <w:rPr>
          <w:sz w:val="20"/>
          <w:szCs w:val="20"/>
          <w:color w:val="auto"/>
        </w:rPr>
      </w:pPr>
      <w:r>
        <w:rPr>
          <w:rFonts w:ascii="Arial" w:cs="Arial" w:eastAsia="Arial" w:hAnsi="Arial"/>
          <w:sz w:val="15"/>
          <w:szCs w:val="15"/>
          <w:i w:val="1"/>
          <w:iCs w:val="1"/>
          <w:u w:val="single" w:color="auto"/>
          <w:color w:val="auto"/>
        </w:rPr>
        <w:t>Income from Operations Margin</w:t>
      </w:r>
      <w:r>
        <w:rPr>
          <w:rFonts w:ascii="Arial" w:cs="Arial" w:eastAsia="Arial" w:hAnsi="Arial"/>
          <w:sz w:val="15"/>
          <w:szCs w:val="15"/>
          <w:i w:val="1"/>
          <w:iCs w:val="1"/>
          <w:color w:val="auto"/>
        </w:rPr>
        <w:t xml:space="preserve"> </w:t>
      </w:r>
      <w:r>
        <w:rPr>
          <w:rFonts w:ascii="Arial" w:cs="Arial" w:eastAsia="Arial" w:hAnsi="Arial"/>
          <w:sz w:val="15"/>
          <w:szCs w:val="15"/>
          <w:color w:val="auto"/>
        </w:rPr>
        <w:t>— 18.03%, exceeding threshold of</w:t>
      </w:r>
      <w:r>
        <w:rPr>
          <w:rFonts w:ascii="Arial" w:cs="Arial" w:eastAsia="Arial" w:hAnsi="Arial"/>
          <w:sz w:val="15"/>
          <w:szCs w:val="15"/>
          <w:i w:val="1"/>
          <w:iCs w:val="1"/>
          <w:color w:val="auto"/>
        </w:rPr>
        <w:t xml:space="preserve"> </w:t>
      </w:r>
      <w:r>
        <w:rPr>
          <w:rFonts w:ascii="Arial" w:cs="Arial" w:eastAsia="Arial" w:hAnsi="Arial"/>
          <w:sz w:val="15"/>
          <w:szCs w:val="15"/>
          <w:color w:val="auto"/>
        </w:rPr>
        <w:t>18.0%, but below target of 18.3%, yielding a payout of 64.22%</w:t>
      </w:r>
    </w:p>
    <w:p>
      <w:pPr>
        <w:spacing w:after="0" w:line="145" w:lineRule="exact"/>
        <w:rPr>
          <w:sz w:val="20"/>
          <w:szCs w:val="20"/>
          <w:color w:val="auto"/>
        </w:rPr>
      </w:pPr>
    </w:p>
    <w:p>
      <w:pPr>
        <w:jc w:val="both"/>
        <w:ind w:left="440"/>
        <w:spacing w:after="0" w:line="239" w:lineRule="auto"/>
        <w:rPr>
          <w:sz w:val="20"/>
          <w:szCs w:val="20"/>
          <w:color w:val="auto"/>
        </w:rPr>
      </w:pPr>
      <w:r>
        <w:rPr>
          <w:rFonts w:ascii="Arial" w:cs="Arial" w:eastAsia="Arial" w:hAnsi="Arial"/>
          <w:sz w:val="15"/>
          <w:szCs w:val="15"/>
          <w:i w:val="1"/>
          <w:iCs w:val="1"/>
          <w:u w:val="single" w:color="auto"/>
          <w:color w:val="auto"/>
        </w:rPr>
        <w:t>Internal Revenue Growth</w:t>
      </w:r>
      <w:r>
        <w:rPr>
          <w:rFonts w:ascii="Arial" w:cs="Arial" w:eastAsia="Arial" w:hAnsi="Arial"/>
          <w:sz w:val="15"/>
          <w:szCs w:val="15"/>
          <w:i w:val="1"/>
          <w:iCs w:val="1"/>
          <w:color w:val="auto"/>
        </w:rPr>
        <w:t xml:space="preserve"> </w:t>
      </w:r>
      <w:r>
        <w:rPr>
          <w:rFonts w:ascii="Arial" w:cs="Arial" w:eastAsia="Arial" w:hAnsi="Arial"/>
          <w:sz w:val="15"/>
          <w:szCs w:val="15"/>
          <w:color w:val="auto"/>
        </w:rPr>
        <w:t>— defined as internal revenue growth</w:t>
      </w:r>
      <w:r>
        <w:rPr>
          <w:rFonts w:ascii="Arial" w:cs="Arial" w:eastAsia="Arial" w:hAnsi="Arial"/>
          <w:sz w:val="15"/>
          <w:szCs w:val="15"/>
          <w:i w:val="1"/>
          <w:iCs w:val="1"/>
          <w:color w:val="auto"/>
        </w:rPr>
        <w:t xml:space="preserve"> </w:t>
      </w:r>
      <w:r>
        <w:rPr>
          <w:rFonts w:ascii="Arial" w:cs="Arial" w:eastAsia="Arial" w:hAnsi="Arial"/>
          <w:sz w:val="15"/>
          <w:szCs w:val="15"/>
          <w:color w:val="auto"/>
        </w:rPr>
        <w:t>from yield, plus internal revenue growth from volume, at the consolidated level for the traditional solid waste business — 5.4%, exceeding maximum of 5.3%. This performance would have yielded a payout of 200% for that metric, but management proposed, and the MD&amp;C Committee approved, a reduced payout of 165% on this metric to more fairly reward actual achievement.</w:t>
      </w:r>
    </w:p>
    <w:p>
      <w:pPr>
        <w:spacing w:after="0" w:line="200" w:lineRule="exact"/>
        <w:rPr>
          <w:sz w:val="20"/>
          <w:szCs w:val="20"/>
          <w:color w:val="auto"/>
        </w:rPr>
      </w:pPr>
    </w:p>
    <w:p>
      <w:pPr>
        <w:sectPr>
          <w:pgSz w:w="11900" w:h="16838" w:orient="portrait"/>
          <w:cols w:equalWidth="0" w:num="2">
            <w:col w:w="5700" w:space="720"/>
            <w:col w:w="4840"/>
          </w:cols>
          <w:pgMar w:left="320" w:top="14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220"/>
        <w:spacing w:after="0"/>
        <w:tabs>
          <w:tab w:leader="none" w:pos="10860" w:val="left"/>
          <w:tab w:leader="none" w:pos="1108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715518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On the whole, the 2019 compensation program continued to demonstrate alignment between executive pay and Company performance. The payouts on the PSUs granted in 2017 correlate with outstanding cash flow generation and total shareholder return over the three-year performance period. The blended results of the annual incentive performance measures, after a voluntary reduction in the payout under the internal revenue growth measure to better calibrate this new performance measure, were almost exactly at target. Overall, these results reflect strong pay-for-performance, with both shareholders and executives being rewarded.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Consideration of Stockholder Advisory Vote</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When establishing 2019 compensation for the named executives, the MD&amp;C Committee noted the results of the advisory stockholder votes on executive compensation, with at least 96% of shares present and entitled to vote at the annual meeting voting in favor of the Company's executive compensation every year since the advisory vote on compensation was implemented. Accordingly, the results of the stockholder advisory vote have not caused the MD&amp;C Committee to recommend any changes to our compensation practices.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2020 Compensation Program Preview</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MD&amp;C Committee continually reviews our compensation program to ensure it is clearly aligned with the business strategy and best supports the accomplishment of our goals, and its choice of long-term performance measures and respective weighting has been consistent since 2016. The MD&amp;C Committee is pleased with the results that have been delivered, including outstanding financial results while maintaining our focus on pricing, capital allocation and cost control. Accordingly, the Committee has approved keeping the 2020 long-term incentive program design consistent with the 2019 design. The MD&amp;C Committee has also approved retaining the annual incentive program design consistent with the prior year, which included the introduction of the new internal revenue growth measure. This consistency reinforces the MD&amp;C Committee's efforts to maintain a compensation program that is straightforward, easy to communicate and readily translates into actionable goals.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Our Compensation Philosophy for Named Executive Officers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Company's compensation philosophy is designed to:</w:t>
      </w:r>
    </w:p>
    <w:p>
      <w:pPr>
        <w:spacing w:after="0" w:line="177"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5"/>
          <w:szCs w:val="15"/>
          <w:color w:val="477157"/>
        </w:rPr>
      </w:pPr>
      <w:r>
        <w:rPr>
          <w:rFonts w:ascii="Arial" w:cs="Arial" w:eastAsia="Arial" w:hAnsi="Arial"/>
          <w:sz w:val="15"/>
          <w:szCs w:val="15"/>
          <w:color w:val="auto"/>
        </w:rPr>
        <w:t>Attract and retain exceptional employees through competitive compensation opportunities;</w:t>
      </w:r>
    </w:p>
    <w:p>
      <w:pPr>
        <w:spacing w:after="0" w:line="173" w:lineRule="exact"/>
        <w:rPr>
          <w:rFonts w:ascii="Arial" w:cs="Arial" w:eastAsia="Arial" w:hAnsi="Arial"/>
          <w:sz w:val="15"/>
          <w:szCs w:val="15"/>
          <w:color w:val="477157"/>
        </w:rPr>
      </w:pPr>
    </w:p>
    <w:p>
      <w:pPr>
        <w:jc w:val="both"/>
        <w:ind w:left="900" w:hanging="447"/>
        <w:spacing w:after="0" w:line="238" w:lineRule="auto"/>
        <w:tabs>
          <w:tab w:leader="none" w:pos="900" w:val="left"/>
        </w:tabs>
        <w:numPr>
          <w:ilvl w:val="0"/>
          <w:numId w:val="30"/>
        </w:numPr>
        <w:rPr>
          <w:rFonts w:ascii="Arial" w:cs="Arial" w:eastAsia="Arial" w:hAnsi="Arial"/>
          <w:sz w:val="15"/>
          <w:szCs w:val="15"/>
          <w:color w:val="477157"/>
        </w:rPr>
      </w:pPr>
      <w:r>
        <w:rPr>
          <w:rFonts w:ascii="Arial" w:cs="Arial" w:eastAsia="Arial" w:hAnsi="Arial"/>
          <w:sz w:val="15"/>
          <w:szCs w:val="15"/>
          <w:color w:val="auto"/>
        </w:rPr>
        <w:t>Encourage and reward performance through substantial at-risk performance-based compensation, while discouraging excessive risk-taking behavior; and</w:t>
      </w:r>
    </w:p>
    <w:p>
      <w:pPr>
        <w:spacing w:after="0" w:line="162" w:lineRule="exact"/>
        <w:rPr>
          <w:rFonts w:ascii="Arial" w:cs="Arial" w:eastAsia="Arial" w:hAnsi="Arial"/>
          <w:sz w:val="15"/>
          <w:szCs w:val="15"/>
          <w:color w:val="477157"/>
        </w:rPr>
      </w:pPr>
    </w:p>
    <w:p>
      <w:pPr>
        <w:ind w:left="900" w:hanging="447"/>
        <w:spacing w:after="0"/>
        <w:tabs>
          <w:tab w:leader="none" w:pos="900" w:val="left"/>
        </w:tabs>
        <w:numPr>
          <w:ilvl w:val="0"/>
          <w:numId w:val="30"/>
        </w:numPr>
        <w:rPr>
          <w:rFonts w:ascii="Arial" w:cs="Arial" w:eastAsia="Arial" w:hAnsi="Arial"/>
          <w:sz w:val="15"/>
          <w:szCs w:val="15"/>
          <w:color w:val="477157"/>
        </w:rPr>
      </w:pPr>
      <w:r>
        <w:rPr>
          <w:rFonts w:ascii="Arial" w:cs="Arial" w:eastAsia="Arial" w:hAnsi="Arial"/>
          <w:sz w:val="15"/>
          <w:szCs w:val="15"/>
          <w:color w:val="auto"/>
        </w:rPr>
        <w:t>Align our decision makers' long-term interests with those of our stockholders through emphasis on equity ownership.</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Additionally, our compensation philosophy is intended to encourage executives to embrace the Company's strategy and to lead the Company in setting aspirations that will continue to drive exemplary performance.</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With respect to our named executive officers, the MD&amp;C Committee believes that total direct compensation at target should be in a range around the competitive median according to the following:</w:t>
      </w:r>
    </w:p>
    <w:p>
      <w:pPr>
        <w:spacing w:after="0" w:line="174" w:lineRule="exact"/>
        <w:rPr>
          <w:sz w:val="20"/>
          <w:szCs w:val="20"/>
          <w:color w:val="auto"/>
        </w:rPr>
      </w:pPr>
    </w:p>
    <w:p>
      <w:pPr>
        <w:jc w:val="both"/>
        <w:ind w:left="900" w:hanging="447"/>
        <w:spacing w:after="0" w:line="237" w:lineRule="auto"/>
        <w:tabs>
          <w:tab w:leader="none" w:pos="900" w:val="left"/>
        </w:tabs>
        <w:numPr>
          <w:ilvl w:val="0"/>
          <w:numId w:val="31"/>
        </w:numPr>
        <w:rPr>
          <w:rFonts w:ascii="Arial" w:cs="Arial" w:eastAsia="Arial" w:hAnsi="Arial"/>
          <w:sz w:val="15"/>
          <w:szCs w:val="15"/>
          <w:color w:val="477157"/>
        </w:rPr>
      </w:pPr>
      <w:r>
        <w:rPr>
          <w:rFonts w:ascii="Arial" w:cs="Arial" w:eastAsia="Arial" w:hAnsi="Arial"/>
          <w:sz w:val="15"/>
          <w:szCs w:val="15"/>
          <w:color w:val="auto"/>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173" w:lineRule="exact"/>
        <w:rPr>
          <w:rFonts w:ascii="Arial" w:cs="Arial" w:eastAsia="Arial" w:hAnsi="Arial"/>
          <w:sz w:val="15"/>
          <w:szCs w:val="15"/>
          <w:color w:val="477157"/>
        </w:rPr>
      </w:pPr>
    </w:p>
    <w:p>
      <w:pPr>
        <w:ind w:left="900" w:hanging="447"/>
        <w:spacing w:after="0"/>
        <w:tabs>
          <w:tab w:leader="none" w:pos="900" w:val="left"/>
        </w:tabs>
        <w:numPr>
          <w:ilvl w:val="0"/>
          <w:numId w:val="31"/>
        </w:numPr>
        <w:rPr>
          <w:rFonts w:ascii="Arial" w:cs="Arial" w:eastAsia="Arial" w:hAnsi="Arial"/>
          <w:sz w:val="15"/>
          <w:szCs w:val="15"/>
          <w:color w:val="477157"/>
        </w:rPr>
      </w:pPr>
      <w:r>
        <w:rPr>
          <w:rFonts w:ascii="Arial" w:cs="Arial" w:eastAsia="Arial" w:hAnsi="Arial"/>
          <w:sz w:val="15"/>
          <w:szCs w:val="15"/>
          <w:color w:val="auto"/>
        </w:rPr>
        <w:t>Target short-term and long-term incentive opportunities should generally be set at the competitive median; and</w:t>
      </w:r>
    </w:p>
    <w:p>
      <w:pPr>
        <w:spacing w:after="0" w:line="162" w:lineRule="exact"/>
        <w:rPr>
          <w:rFonts w:ascii="Arial" w:cs="Arial" w:eastAsia="Arial" w:hAnsi="Arial"/>
          <w:sz w:val="15"/>
          <w:szCs w:val="15"/>
          <w:color w:val="477157"/>
        </w:rPr>
      </w:pPr>
    </w:p>
    <w:p>
      <w:pPr>
        <w:ind w:left="900" w:hanging="447"/>
        <w:spacing w:after="0"/>
        <w:tabs>
          <w:tab w:leader="none" w:pos="900" w:val="left"/>
        </w:tabs>
        <w:numPr>
          <w:ilvl w:val="0"/>
          <w:numId w:val="31"/>
        </w:numPr>
        <w:rPr>
          <w:rFonts w:ascii="Arial" w:cs="Arial" w:eastAsia="Arial" w:hAnsi="Arial"/>
          <w:sz w:val="15"/>
          <w:szCs w:val="15"/>
          <w:color w:val="477157"/>
        </w:rPr>
      </w:pPr>
      <w:r>
        <w:rPr>
          <w:rFonts w:ascii="Arial" w:cs="Arial" w:eastAsia="Arial" w:hAnsi="Arial"/>
          <w:sz w:val="15"/>
          <w:szCs w:val="15"/>
          <w:color w:val="auto"/>
        </w:rPr>
        <w:t>Total direct compensation opportunities should generally be within a range of plus or minus 20% around the competitive median.</w:t>
      </w:r>
    </w:p>
    <w:p>
      <w:pPr>
        <w:spacing w:after="0" w:line="336"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302"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28</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31" w:name="page32"/>
    <w:bookmarkEnd w:id="3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0" w:type="dxa"/>
            <w:vAlign w:val="bottom"/>
          </w:tcPr>
          <w:p>
            <w:pPr>
              <w:ind w:left="2940"/>
              <w:spacing w:after="0"/>
              <w:rPr>
                <w:sz w:val="20"/>
                <w:szCs w:val="20"/>
                <w:color w:val="auto"/>
              </w:rPr>
            </w:pPr>
            <w:r>
              <w:rPr>
                <w:rFonts w:ascii="Arial" w:cs="Arial" w:eastAsia="Arial" w:hAnsi="Arial"/>
                <w:sz w:val="15"/>
                <w:szCs w:val="15"/>
                <w:b w:val="1"/>
                <w:bCs w:val="1"/>
                <w:color w:val="auto"/>
                <w:w w:val="96"/>
              </w:rPr>
              <w:t>EXECUTIVE COMPENSATION</w:t>
            </w:r>
          </w:p>
        </w:tc>
        <w:tc>
          <w:tcPr>
            <w:tcW w:w="0" w:type="dxa"/>
            <w:vAlign w:val="bottom"/>
          </w:tcPr>
          <w:p>
            <w:pPr>
              <w:spacing w:after="0"/>
              <w:rPr>
                <w:sz w:val="1"/>
                <w:szCs w:val="1"/>
                <w:color w:val="auto"/>
              </w:rPr>
            </w:pPr>
          </w:p>
        </w:tc>
      </w:tr>
      <w:tr>
        <w:trPr>
          <w:trHeight w:val="349"/>
        </w:trPr>
        <w:tc>
          <w:tcPr>
            <w:tcW w:w="6100" w:type="dxa"/>
            <w:vAlign w:val="bottom"/>
            <w:gridSpan w:val="3"/>
          </w:tcPr>
          <w:p>
            <w:pPr>
              <w:spacing w:after="0"/>
              <w:rPr>
                <w:sz w:val="20"/>
                <w:szCs w:val="20"/>
                <w:color w:val="auto"/>
              </w:rPr>
            </w:pPr>
            <w:r>
              <w:rPr>
                <w:rFonts w:ascii="Arial" w:cs="Arial" w:eastAsia="Arial" w:hAnsi="Arial"/>
                <w:sz w:val="15"/>
                <w:szCs w:val="15"/>
                <w:b w:val="1"/>
                <w:bCs w:val="1"/>
                <w:color w:val="477157"/>
              </w:rPr>
              <w:t>Overview of Elements of Our 2019 Executive Compensation Program</w:t>
            </w:r>
          </w:p>
        </w:tc>
        <w:tc>
          <w:tcPr>
            <w:tcW w:w="1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08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Timing</w:t>
            </w:r>
          </w:p>
        </w:tc>
        <w:tc>
          <w:tcPr>
            <w:tcW w:w="2040" w:type="dxa"/>
            <w:vAlign w:val="bottom"/>
            <w:tcBorders>
              <w:bottom w:val="single" w:sz="8" w:color="477157"/>
            </w:tcBorders>
          </w:tcPr>
          <w:p>
            <w:pPr>
              <w:ind w:left="900"/>
              <w:spacing w:after="0"/>
              <w:rPr>
                <w:sz w:val="20"/>
                <w:szCs w:val="20"/>
                <w:color w:val="auto"/>
              </w:rPr>
            </w:pPr>
            <w:r>
              <w:rPr>
                <w:rFonts w:ascii="Arial" w:cs="Arial" w:eastAsia="Arial" w:hAnsi="Arial"/>
                <w:sz w:val="12"/>
                <w:szCs w:val="12"/>
                <w:b w:val="1"/>
                <w:bCs w:val="1"/>
                <w:color w:val="477157"/>
              </w:rPr>
              <w:t>Component</w:t>
            </w:r>
          </w:p>
        </w:tc>
        <w:tc>
          <w:tcPr>
            <w:tcW w:w="2980" w:type="dxa"/>
            <w:vAlign w:val="bottom"/>
            <w:tcBorders>
              <w:bottom w:val="single" w:sz="8" w:color="477157"/>
            </w:tcBorders>
          </w:tcPr>
          <w:p>
            <w:pPr>
              <w:ind w:left="460"/>
              <w:spacing w:after="0"/>
              <w:rPr>
                <w:sz w:val="20"/>
                <w:szCs w:val="20"/>
                <w:color w:val="auto"/>
              </w:rPr>
            </w:pPr>
            <w:r>
              <w:rPr>
                <w:rFonts w:ascii="Arial" w:cs="Arial" w:eastAsia="Arial" w:hAnsi="Arial"/>
                <w:sz w:val="12"/>
                <w:szCs w:val="12"/>
                <w:b w:val="1"/>
                <w:bCs w:val="1"/>
                <w:color w:val="477157"/>
              </w:rPr>
              <w:t>Purpose</w:t>
            </w:r>
          </w:p>
        </w:tc>
        <w:tc>
          <w:tcPr>
            <w:tcW w:w="5160" w:type="dxa"/>
            <w:vAlign w:val="bottom"/>
            <w:tcBorders>
              <w:bottom w:val="single" w:sz="8" w:color="477157"/>
            </w:tcBorders>
            <w:gridSpan w:val="2"/>
          </w:tcPr>
          <w:p>
            <w:pPr>
              <w:ind w:left="80"/>
              <w:spacing w:after="0"/>
              <w:rPr>
                <w:sz w:val="20"/>
                <w:szCs w:val="20"/>
                <w:color w:val="auto"/>
              </w:rPr>
            </w:pPr>
            <w:r>
              <w:rPr>
                <w:rFonts w:ascii="Arial" w:cs="Arial" w:eastAsia="Arial" w:hAnsi="Arial"/>
                <w:sz w:val="12"/>
                <w:szCs w:val="12"/>
                <w:b w:val="1"/>
                <w:bCs w:val="1"/>
                <w:color w:val="477157"/>
              </w:rPr>
              <w:t>Key Features</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2"/>
                <w:szCs w:val="12"/>
                <w:b w:val="1"/>
                <w:bCs w:val="1"/>
                <w:color w:val="auto"/>
              </w:rPr>
              <w:t>Current</w:t>
            </w:r>
          </w:p>
        </w:tc>
        <w:tc>
          <w:tcPr>
            <w:tcW w:w="2040" w:type="dxa"/>
            <w:vAlign w:val="bottom"/>
          </w:tcPr>
          <w:p>
            <w:pPr>
              <w:ind w:left="120"/>
              <w:spacing w:after="0" w:line="130" w:lineRule="exact"/>
              <w:rPr>
                <w:sz w:val="20"/>
                <w:szCs w:val="20"/>
                <w:color w:val="auto"/>
              </w:rPr>
            </w:pPr>
            <w:r>
              <w:rPr>
                <w:rFonts w:ascii="Arial" w:cs="Arial" w:eastAsia="Arial" w:hAnsi="Arial"/>
                <w:sz w:val="12"/>
                <w:szCs w:val="12"/>
                <w:color w:val="auto"/>
              </w:rPr>
              <w:t>Base Salary</w:t>
            </w:r>
          </w:p>
        </w:tc>
        <w:tc>
          <w:tcPr>
            <w:tcW w:w="2980" w:type="dxa"/>
            <w:vAlign w:val="bottom"/>
          </w:tcPr>
          <w:p>
            <w:pPr>
              <w:ind w:left="460"/>
              <w:spacing w:after="0" w:line="130" w:lineRule="exact"/>
              <w:rPr>
                <w:sz w:val="20"/>
                <w:szCs w:val="20"/>
                <w:color w:val="auto"/>
              </w:rPr>
            </w:pPr>
            <w:r>
              <w:rPr>
                <w:rFonts w:ascii="Arial" w:cs="Arial" w:eastAsia="Arial" w:hAnsi="Arial"/>
                <w:sz w:val="12"/>
                <w:szCs w:val="12"/>
                <w:color w:val="auto"/>
              </w:rPr>
              <w:t>To attract and retain executives with a</w:t>
            </w:r>
          </w:p>
        </w:tc>
        <w:tc>
          <w:tcPr>
            <w:tcW w:w="516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Adjustments to base salary primarily consider competitive market data and the executive's</w:t>
            </w:r>
          </w:p>
        </w:tc>
        <w:tc>
          <w:tcPr>
            <w:tcW w:w="0" w:type="dxa"/>
            <w:vAlign w:val="bottom"/>
          </w:tcPr>
          <w:p>
            <w:pPr>
              <w:spacing w:after="0"/>
              <w:rPr>
                <w:sz w:val="1"/>
                <w:szCs w:val="1"/>
                <w:color w:val="auto"/>
              </w:rPr>
            </w:pPr>
          </w:p>
        </w:tc>
      </w:tr>
      <w:tr>
        <w:trPr>
          <w:trHeight w:val="131"/>
        </w:trPr>
        <w:tc>
          <w:tcPr>
            <w:tcW w:w="1080" w:type="dxa"/>
            <w:vAlign w:val="bottom"/>
            <w:tcBorders>
              <w:bottom w:val="single" w:sz="8" w:color="477157"/>
            </w:tcBorders>
          </w:tcPr>
          <w:p>
            <w:pPr>
              <w:spacing w:after="0"/>
              <w:rPr>
                <w:sz w:val="11"/>
                <w:szCs w:val="11"/>
                <w:color w:val="auto"/>
              </w:rPr>
            </w:pPr>
          </w:p>
        </w:tc>
        <w:tc>
          <w:tcPr>
            <w:tcW w:w="2040" w:type="dxa"/>
            <w:vAlign w:val="bottom"/>
            <w:tcBorders>
              <w:bottom w:val="single" w:sz="8" w:color="477157"/>
            </w:tcBorders>
          </w:tcPr>
          <w:p>
            <w:pPr>
              <w:spacing w:after="0"/>
              <w:rPr>
                <w:sz w:val="11"/>
                <w:szCs w:val="11"/>
                <w:color w:val="auto"/>
              </w:rPr>
            </w:pPr>
          </w:p>
        </w:tc>
        <w:tc>
          <w:tcPr>
            <w:tcW w:w="2980" w:type="dxa"/>
            <w:vAlign w:val="bottom"/>
            <w:tcBorders>
              <w:bottom w:val="single" w:sz="8" w:color="477157"/>
            </w:tcBorders>
          </w:tcPr>
          <w:p>
            <w:pPr>
              <w:ind w:left="460"/>
              <w:spacing w:after="0" w:line="132" w:lineRule="exact"/>
              <w:rPr>
                <w:sz w:val="20"/>
                <w:szCs w:val="20"/>
                <w:color w:val="auto"/>
              </w:rPr>
            </w:pPr>
            <w:r>
              <w:rPr>
                <w:rFonts w:ascii="Arial" w:cs="Arial" w:eastAsia="Arial" w:hAnsi="Arial"/>
                <w:sz w:val="12"/>
                <w:szCs w:val="12"/>
                <w:color w:val="auto"/>
              </w:rPr>
              <w:t>competitive level of regular income</w:t>
            </w:r>
          </w:p>
        </w:tc>
        <w:tc>
          <w:tcPr>
            <w:tcW w:w="5160" w:type="dxa"/>
            <w:vAlign w:val="bottom"/>
            <w:tcBorders>
              <w:bottom w:val="single" w:sz="8" w:color="477157"/>
            </w:tcBorders>
            <w:gridSpan w:val="2"/>
          </w:tcPr>
          <w:p>
            <w:pPr>
              <w:ind w:left="80"/>
              <w:spacing w:after="0" w:line="132" w:lineRule="exact"/>
              <w:rPr>
                <w:sz w:val="20"/>
                <w:szCs w:val="20"/>
                <w:color w:val="auto"/>
              </w:rPr>
            </w:pPr>
            <w:r>
              <w:rPr>
                <w:rFonts w:ascii="Arial" w:cs="Arial" w:eastAsia="Arial" w:hAnsi="Arial"/>
                <w:sz w:val="12"/>
                <w:szCs w:val="12"/>
                <w:color w:val="auto"/>
              </w:rPr>
              <w:t>individual performance and responsibilities.</w:t>
            </w:r>
          </w:p>
        </w:tc>
        <w:tc>
          <w:tcPr>
            <w:tcW w:w="0" w:type="dxa"/>
            <w:vAlign w:val="bottom"/>
          </w:tcPr>
          <w:p>
            <w:pPr>
              <w:spacing w:after="0"/>
              <w:rPr>
                <w:sz w:val="1"/>
                <w:szCs w:val="1"/>
                <w:color w:val="auto"/>
              </w:rPr>
            </w:pPr>
          </w:p>
        </w:tc>
      </w:tr>
      <w:tr>
        <w:trPr>
          <w:trHeight w:val="116"/>
        </w:trPr>
        <w:tc>
          <w:tcPr>
            <w:tcW w:w="1080" w:type="dxa"/>
            <w:vAlign w:val="bottom"/>
          </w:tcPr>
          <w:p>
            <w:pPr>
              <w:spacing w:after="0" w:line="117" w:lineRule="exact"/>
              <w:rPr>
                <w:sz w:val="20"/>
                <w:szCs w:val="20"/>
                <w:color w:val="auto"/>
              </w:rPr>
            </w:pPr>
            <w:r>
              <w:rPr>
                <w:rFonts w:ascii="Arial" w:cs="Arial" w:eastAsia="Arial" w:hAnsi="Arial"/>
                <w:sz w:val="12"/>
                <w:szCs w:val="12"/>
                <w:b w:val="1"/>
                <w:bCs w:val="1"/>
                <w:color w:val="auto"/>
              </w:rPr>
              <w:t>Short-Term</w:t>
            </w:r>
          </w:p>
        </w:tc>
        <w:tc>
          <w:tcPr>
            <w:tcW w:w="2040" w:type="dxa"/>
            <w:vAlign w:val="bottom"/>
          </w:tcPr>
          <w:p>
            <w:pPr>
              <w:ind w:left="120"/>
              <w:spacing w:after="0" w:line="117" w:lineRule="exact"/>
              <w:rPr>
                <w:sz w:val="20"/>
                <w:szCs w:val="20"/>
                <w:color w:val="auto"/>
              </w:rPr>
            </w:pPr>
            <w:r>
              <w:rPr>
                <w:rFonts w:ascii="Arial" w:cs="Arial" w:eastAsia="Arial" w:hAnsi="Arial"/>
                <w:sz w:val="12"/>
                <w:szCs w:val="12"/>
                <w:color w:val="auto"/>
              </w:rPr>
              <w:t>Annual Cash Incentive</w:t>
            </w:r>
          </w:p>
        </w:tc>
        <w:tc>
          <w:tcPr>
            <w:tcW w:w="2980" w:type="dxa"/>
            <w:vAlign w:val="bottom"/>
          </w:tcPr>
          <w:p>
            <w:pPr>
              <w:ind w:left="460"/>
              <w:spacing w:after="0" w:line="117" w:lineRule="exact"/>
              <w:rPr>
                <w:sz w:val="20"/>
                <w:szCs w:val="20"/>
                <w:color w:val="auto"/>
              </w:rPr>
            </w:pPr>
            <w:r>
              <w:rPr>
                <w:rFonts w:ascii="Arial" w:cs="Arial" w:eastAsia="Arial" w:hAnsi="Arial"/>
                <w:sz w:val="12"/>
                <w:szCs w:val="12"/>
                <w:color w:val="auto"/>
              </w:rPr>
              <w:t>To encourage and reward contributions to our</w:t>
            </w:r>
          </w:p>
        </w:tc>
        <w:tc>
          <w:tcPr>
            <w:tcW w:w="5160" w:type="dxa"/>
            <w:vAlign w:val="bottom"/>
            <w:gridSpan w:val="2"/>
          </w:tcPr>
          <w:p>
            <w:pPr>
              <w:ind w:left="80"/>
              <w:spacing w:after="0" w:line="117" w:lineRule="exact"/>
              <w:rPr>
                <w:sz w:val="20"/>
                <w:szCs w:val="20"/>
                <w:color w:val="auto"/>
              </w:rPr>
            </w:pPr>
            <w:r>
              <w:rPr>
                <w:rFonts w:ascii="Arial" w:cs="Arial" w:eastAsia="Arial" w:hAnsi="Arial"/>
                <w:sz w:val="12"/>
                <w:szCs w:val="12"/>
                <w:color w:val="auto"/>
              </w:rPr>
              <w:t>Cash incentives are targeted at a percentage of base salary and range from zero to 200% of</w:t>
            </w:r>
          </w:p>
        </w:tc>
        <w:tc>
          <w:tcPr>
            <w:tcW w:w="0" w:type="dxa"/>
            <w:vAlign w:val="bottom"/>
          </w:tcPr>
          <w:p>
            <w:pPr>
              <w:spacing w:after="0"/>
              <w:rPr>
                <w:sz w:val="1"/>
                <w:szCs w:val="1"/>
                <w:color w:val="auto"/>
              </w:rPr>
            </w:pPr>
          </w:p>
        </w:tc>
      </w:tr>
      <w:tr>
        <w:trPr>
          <w:trHeight w:val="135"/>
        </w:trPr>
        <w:tc>
          <w:tcPr>
            <w:tcW w:w="1080" w:type="dxa"/>
            <w:vAlign w:val="bottom"/>
          </w:tcPr>
          <w:p>
            <w:pPr>
              <w:spacing w:after="0" w:line="136" w:lineRule="exact"/>
              <w:rPr>
                <w:sz w:val="20"/>
                <w:szCs w:val="20"/>
                <w:color w:val="auto"/>
              </w:rPr>
            </w:pPr>
            <w:r>
              <w:rPr>
                <w:rFonts w:ascii="Arial" w:cs="Arial" w:eastAsia="Arial" w:hAnsi="Arial"/>
                <w:sz w:val="12"/>
                <w:szCs w:val="12"/>
                <w:b w:val="1"/>
                <w:bCs w:val="1"/>
                <w:color w:val="auto"/>
              </w:rPr>
              <w:t>Performance</w:t>
            </w:r>
          </w:p>
        </w:tc>
        <w:tc>
          <w:tcPr>
            <w:tcW w:w="2040" w:type="dxa"/>
            <w:vAlign w:val="bottom"/>
          </w:tcPr>
          <w:p>
            <w:pPr>
              <w:spacing w:after="0"/>
              <w:rPr>
                <w:sz w:val="11"/>
                <w:szCs w:val="11"/>
                <w:color w:val="auto"/>
              </w:rPr>
            </w:pPr>
          </w:p>
        </w:tc>
        <w:tc>
          <w:tcPr>
            <w:tcW w:w="2980" w:type="dxa"/>
            <w:vAlign w:val="bottom"/>
          </w:tcPr>
          <w:p>
            <w:pPr>
              <w:ind w:left="460"/>
              <w:spacing w:after="0" w:line="136" w:lineRule="exact"/>
              <w:rPr>
                <w:sz w:val="20"/>
                <w:szCs w:val="20"/>
                <w:color w:val="auto"/>
              </w:rPr>
            </w:pPr>
            <w:r>
              <w:rPr>
                <w:rFonts w:ascii="Arial" w:cs="Arial" w:eastAsia="Arial" w:hAnsi="Arial"/>
                <w:sz w:val="12"/>
                <w:szCs w:val="12"/>
                <w:color w:val="auto"/>
              </w:rPr>
              <w:t>annual financial objectives through</w:t>
            </w:r>
          </w:p>
        </w:tc>
        <w:tc>
          <w:tcPr>
            <w:tcW w:w="516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target based on the following performance measures:</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20"/>
                <w:szCs w:val="20"/>
                <w:color w:val="auto"/>
              </w:rPr>
            </w:pPr>
            <w:r>
              <w:rPr>
                <w:rFonts w:ascii="Arial" w:cs="Arial" w:eastAsia="Arial" w:hAnsi="Arial"/>
                <w:sz w:val="12"/>
                <w:szCs w:val="12"/>
                <w:b w:val="1"/>
                <w:bCs w:val="1"/>
                <w:color w:val="auto"/>
              </w:rPr>
              <w:t>Incentive</w:t>
            </w:r>
          </w:p>
        </w:tc>
        <w:tc>
          <w:tcPr>
            <w:tcW w:w="2040" w:type="dxa"/>
            <w:vAlign w:val="bottom"/>
          </w:tcPr>
          <w:p>
            <w:pPr>
              <w:spacing w:after="0"/>
              <w:rPr>
                <w:sz w:val="12"/>
                <w:szCs w:val="12"/>
                <w:color w:val="auto"/>
              </w:rPr>
            </w:pPr>
          </w:p>
        </w:tc>
        <w:tc>
          <w:tcPr>
            <w:tcW w:w="2980" w:type="dxa"/>
            <w:vAlign w:val="bottom"/>
          </w:tcPr>
          <w:p>
            <w:pPr>
              <w:ind w:left="460"/>
              <w:spacing w:after="0"/>
              <w:rPr>
                <w:sz w:val="20"/>
                <w:szCs w:val="20"/>
                <w:color w:val="auto"/>
              </w:rPr>
            </w:pPr>
            <w:r>
              <w:rPr>
                <w:rFonts w:ascii="Arial" w:cs="Arial" w:eastAsia="Arial" w:hAnsi="Arial"/>
                <w:sz w:val="12"/>
                <w:szCs w:val="12"/>
                <w:color w:val="auto"/>
              </w:rPr>
              <w:t>performance-based compensation subject to</w:t>
            </w:r>
          </w:p>
        </w:tc>
        <w:tc>
          <w:tcPr>
            <w:tcW w:w="1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980" w:type="dxa"/>
            <w:vAlign w:val="bottom"/>
          </w:tcPr>
          <w:p>
            <w:pPr>
              <w:ind w:left="460"/>
              <w:spacing w:after="0" w:line="136" w:lineRule="exact"/>
              <w:rPr>
                <w:sz w:val="20"/>
                <w:szCs w:val="20"/>
                <w:color w:val="auto"/>
              </w:rPr>
            </w:pPr>
            <w:r>
              <w:rPr>
                <w:rFonts w:ascii="Arial" w:cs="Arial" w:eastAsia="Arial" w:hAnsi="Arial"/>
                <w:sz w:val="12"/>
                <w:szCs w:val="12"/>
                <w:color w:val="auto"/>
              </w:rPr>
              <w:t>challenging, yet attainable, objective and</w:t>
            </w:r>
          </w:p>
        </w:tc>
        <w:tc>
          <w:tcPr>
            <w:tcW w:w="5160" w:type="dxa"/>
            <w:vAlign w:val="bottom"/>
            <w:gridSpan w:val="2"/>
          </w:tcPr>
          <w:p>
            <w:pPr>
              <w:ind w:left="80"/>
              <w:spacing w:after="0" w:line="136" w:lineRule="exact"/>
              <w:rPr>
                <w:sz w:val="20"/>
                <w:szCs w:val="20"/>
                <w:color w:val="auto"/>
              </w:rPr>
            </w:pPr>
            <w:r>
              <w:rPr>
                <w:rFonts w:ascii="Arial" w:cs="Arial" w:eastAsia="Arial" w:hAnsi="Arial"/>
                <w:sz w:val="12"/>
                <w:szCs w:val="12"/>
                <w:color w:val="477157"/>
              </w:rPr>
              <w:t xml:space="preserve">• </w:t>
            </w:r>
            <w:r>
              <w:rPr>
                <w:rFonts w:ascii="Arial" w:cs="Arial" w:eastAsia="Arial" w:hAnsi="Arial"/>
                <w:sz w:val="12"/>
                <w:szCs w:val="12"/>
                <w:color w:val="000000"/>
              </w:rPr>
              <w:t>Income from Operations, excluding Depreciation and Amortization—designed to encourage</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980" w:type="dxa"/>
            <w:vAlign w:val="bottom"/>
          </w:tcPr>
          <w:p>
            <w:pPr>
              <w:ind w:left="460"/>
              <w:spacing w:after="0"/>
              <w:rPr>
                <w:sz w:val="20"/>
                <w:szCs w:val="20"/>
                <w:color w:val="auto"/>
              </w:rPr>
            </w:pPr>
            <w:r>
              <w:rPr>
                <w:rFonts w:ascii="Arial" w:cs="Arial" w:eastAsia="Arial" w:hAnsi="Arial"/>
                <w:sz w:val="12"/>
                <w:szCs w:val="12"/>
                <w:color w:val="auto"/>
              </w:rPr>
              <w:t>transparent metrics</w:t>
            </w:r>
          </w:p>
        </w:tc>
        <w:tc>
          <w:tcPr>
            <w:tcW w:w="160" w:type="dxa"/>
            <w:vAlign w:val="bottom"/>
          </w:tcPr>
          <w:p>
            <w:pPr>
              <w:spacing w:after="0"/>
              <w:rPr>
                <w:sz w:val="12"/>
                <w:szCs w:val="12"/>
                <w:color w:val="auto"/>
              </w:rPr>
            </w:pPr>
          </w:p>
        </w:tc>
        <w:tc>
          <w:tcPr>
            <w:tcW w:w="5000" w:type="dxa"/>
            <w:vAlign w:val="bottom"/>
          </w:tcPr>
          <w:p>
            <w:pPr>
              <w:ind w:left="40"/>
              <w:spacing w:after="0"/>
              <w:rPr>
                <w:sz w:val="20"/>
                <w:szCs w:val="20"/>
                <w:color w:val="auto"/>
              </w:rPr>
            </w:pPr>
            <w:r>
              <w:rPr>
                <w:rFonts w:ascii="Arial" w:cs="Arial" w:eastAsia="Arial" w:hAnsi="Arial"/>
                <w:sz w:val="12"/>
                <w:szCs w:val="12"/>
                <w:color w:val="auto"/>
              </w:rPr>
              <w:t>balanced growth and profitability (weighted 50%);</w:t>
            </w:r>
          </w:p>
        </w:tc>
        <w:tc>
          <w:tcPr>
            <w:tcW w:w="0" w:type="dxa"/>
            <w:vAlign w:val="bottom"/>
          </w:tcPr>
          <w:p>
            <w:pPr>
              <w:spacing w:after="0"/>
              <w:rPr>
                <w:sz w:val="1"/>
                <w:szCs w:val="1"/>
                <w:color w:val="auto"/>
              </w:rPr>
            </w:pPr>
          </w:p>
        </w:tc>
      </w:tr>
      <w:tr>
        <w:trPr>
          <w:trHeight w:val="295"/>
        </w:trPr>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477157"/>
              </w:rPr>
              <w:t>•</w:t>
            </w:r>
          </w:p>
        </w:tc>
        <w:tc>
          <w:tcPr>
            <w:tcW w:w="5000" w:type="dxa"/>
            <w:vAlign w:val="bottom"/>
          </w:tcPr>
          <w:p>
            <w:pPr>
              <w:ind w:left="40"/>
              <w:spacing w:after="0"/>
              <w:rPr>
                <w:sz w:val="20"/>
                <w:szCs w:val="20"/>
                <w:color w:val="auto"/>
              </w:rPr>
            </w:pPr>
            <w:r>
              <w:rPr>
                <w:rFonts w:ascii="Arial" w:cs="Arial" w:eastAsia="Arial" w:hAnsi="Arial"/>
                <w:sz w:val="12"/>
                <w:szCs w:val="12"/>
                <w:color w:val="auto"/>
              </w:rPr>
              <w:t>Income from Operations Margin — defined as Income from Operations as a percentage of</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0" w:type="dxa"/>
            <w:vAlign w:val="bottom"/>
          </w:tcPr>
          <w:p>
            <w:pPr>
              <w:ind w:left="40"/>
              <w:spacing w:after="0" w:line="136" w:lineRule="exact"/>
              <w:rPr>
                <w:sz w:val="20"/>
                <w:szCs w:val="20"/>
                <w:color w:val="auto"/>
              </w:rPr>
            </w:pPr>
            <w:r>
              <w:rPr>
                <w:rFonts w:ascii="Arial" w:cs="Arial" w:eastAsia="Arial" w:hAnsi="Arial"/>
                <w:sz w:val="12"/>
                <w:szCs w:val="12"/>
                <w:color w:val="auto"/>
              </w:rPr>
              <w:t>Revenue — motivates executives to control costs and operate efficiently while focusing on</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0" w:type="dxa"/>
            <w:vAlign w:val="bottom"/>
          </w:tcPr>
          <w:p>
            <w:pPr>
              <w:ind w:left="40"/>
              <w:spacing w:after="0"/>
              <w:rPr>
                <w:sz w:val="20"/>
                <w:szCs w:val="20"/>
                <w:color w:val="auto"/>
              </w:rPr>
            </w:pPr>
            <w:r>
              <w:rPr>
                <w:rFonts w:ascii="Arial" w:cs="Arial" w:eastAsia="Arial" w:hAnsi="Arial"/>
                <w:sz w:val="12"/>
                <w:szCs w:val="12"/>
                <w:color w:val="auto"/>
              </w:rPr>
              <w:t>yield (weighted 25%); and</w:t>
            </w: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477157"/>
              </w:rPr>
              <w:t>•</w:t>
            </w:r>
          </w:p>
        </w:tc>
        <w:tc>
          <w:tcPr>
            <w:tcW w:w="5000" w:type="dxa"/>
            <w:vAlign w:val="bottom"/>
          </w:tcPr>
          <w:p>
            <w:pPr>
              <w:ind w:left="40"/>
              <w:spacing w:after="0"/>
              <w:rPr>
                <w:sz w:val="20"/>
                <w:szCs w:val="20"/>
                <w:color w:val="auto"/>
              </w:rPr>
            </w:pPr>
            <w:r>
              <w:rPr>
                <w:rFonts w:ascii="Arial" w:cs="Arial" w:eastAsia="Arial" w:hAnsi="Arial"/>
                <w:sz w:val="12"/>
                <w:szCs w:val="12"/>
                <w:color w:val="auto"/>
              </w:rPr>
              <w:t>Internal Revenue Growth — defined as internal revenue growth from yield, plus internal</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0" w:type="dxa"/>
            <w:vAlign w:val="bottom"/>
          </w:tcPr>
          <w:p>
            <w:pPr>
              <w:ind w:left="40"/>
              <w:spacing w:after="0" w:line="136" w:lineRule="exact"/>
              <w:rPr>
                <w:sz w:val="20"/>
                <w:szCs w:val="20"/>
                <w:color w:val="auto"/>
              </w:rPr>
            </w:pPr>
            <w:r>
              <w:rPr>
                <w:rFonts w:ascii="Arial" w:cs="Arial" w:eastAsia="Arial" w:hAnsi="Arial"/>
                <w:sz w:val="12"/>
                <w:szCs w:val="12"/>
                <w:color w:val="auto"/>
              </w:rPr>
              <w:t>revenue growth from volume, at the consolidated level for the traditional solid waste</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0" w:type="dxa"/>
            <w:vAlign w:val="bottom"/>
          </w:tcPr>
          <w:p>
            <w:pPr>
              <w:ind w:left="40"/>
              <w:spacing w:after="0"/>
              <w:rPr>
                <w:sz w:val="20"/>
                <w:szCs w:val="20"/>
                <w:color w:val="auto"/>
              </w:rPr>
            </w:pPr>
            <w:r>
              <w:rPr>
                <w:rFonts w:ascii="Arial" w:cs="Arial" w:eastAsia="Arial" w:hAnsi="Arial"/>
                <w:sz w:val="12"/>
                <w:szCs w:val="12"/>
                <w:color w:val="auto"/>
              </w:rPr>
              <w:t>business — designed to support strategic growth goals (weighted 25%).</w:t>
            </w:r>
          </w:p>
        </w:tc>
        <w:tc>
          <w:tcPr>
            <w:tcW w:w="0" w:type="dxa"/>
            <w:vAlign w:val="bottom"/>
          </w:tcPr>
          <w:p>
            <w:pPr>
              <w:spacing w:after="0"/>
              <w:rPr>
                <w:sz w:val="1"/>
                <w:szCs w:val="1"/>
                <w:color w:val="auto"/>
              </w:rPr>
            </w:pPr>
          </w:p>
        </w:tc>
      </w:tr>
      <w:tr>
        <w:trPr>
          <w:trHeight w:val="306"/>
        </w:trPr>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160" w:type="dxa"/>
            <w:vAlign w:val="bottom"/>
            <w:gridSpan w:val="2"/>
          </w:tcPr>
          <w:p>
            <w:pPr>
              <w:ind w:left="80"/>
              <w:spacing w:after="0"/>
              <w:rPr>
                <w:sz w:val="20"/>
                <w:szCs w:val="20"/>
                <w:color w:val="auto"/>
              </w:rPr>
            </w:pPr>
            <w:r>
              <w:rPr>
                <w:rFonts w:ascii="Arial" w:cs="Arial" w:eastAsia="Arial" w:hAnsi="Arial"/>
                <w:sz w:val="12"/>
                <w:szCs w:val="12"/>
                <w:color w:val="auto"/>
              </w:rPr>
              <w:t>The MD&amp;C Committee has discretion to increase or decrease an individual's payment by up to</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516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25% based on individual performance, but such modifier has never been used to increase a</w:t>
            </w:r>
          </w:p>
        </w:tc>
        <w:tc>
          <w:tcPr>
            <w:tcW w:w="0" w:type="dxa"/>
            <w:vAlign w:val="bottom"/>
          </w:tcPr>
          <w:p>
            <w:pPr>
              <w:spacing w:after="0"/>
              <w:rPr>
                <w:sz w:val="1"/>
                <w:szCs w:val="1"/>
                <w:color w:val="auto"/>
              </w:rPr>
            </w:pPr>
          </w:p>
        </w:tc>
      </w:tr>
      <w:tr>
        <w:trPr>
          <w:trHeight w:val="131"/>
        </w:trPr>
        <w:tc>
          <w:tcPr>
            <w:tcW w:w="1080" w:type="dxa"/>
            <w:vAlign w:val="bottom"/>
            <w:tcBorders>
              <w:bottom w:val="single" w:sz="8" w:color="477157"/>
            </w:tcBorders>
          </w:tcPr>
          <w:p>
            <w:pPr>
              <w:spacing w:after="0"/>
              <w:rPr>
                <w:sz w:val="11"/>
                <w:szCs w:val="11"/>
                <w:color w:val="auto"/>
              </w:rPr>
            </w:pPr>
          </w:p>
        </w:tc>
        <w:tc>
          <w:tcPr>
            <w:tcW w:w="2040" w:type="dxa"/>
            <w:vAlign w:val="bottom"/>
            <w:tcBorders>
              <w:bottom w:val="single" w:sz="8" w:color="477157"/>
            </w:tcBorders>
          </w:tcPr>
          <w:p>
            <w:pPr>
              <w:spacing w:after="0"/>
              <w:rPr>
                <w:sz w:val="11"/>
                <w:szCs w:val="11"/>
                <w:color w:val="auto"/>
              </w:rPr>
            </w:pPr>
          </w:p>
        </w:tc>
        <w:tc>
          <w:tcPr>
            <w:tcW w:w="2980" w:type="dxa"/>
            <w:vAlign w:val="bottom"/>
            <w:tcBorders>
              <w:bottom w:val="single" w:sz="8" w:color="477157"/>
            </w:tcBorders>
          </w:tcPr>
          <w:p>
            <w:pPr>
              <w:spacing w:after="0"/>
              <w:rPr>
                <w:sz w:val="11"/>
                <w:szCs w:val="11"/>
                <w:color w:val="auto"/>
              </w:rPr>
            </w:pPr>
          </w:p>
        </w:tc>
        <w:tc>
          <w:tcPr>
            <w:tcW w:w="5160" w:type="dxa"/>
            <w:vAlign w:val="bottom"/>
            <w:tcBorders>
              <w:bottom w:val="single" w:sz="8" w:color="477157"/>
            </w:tcBorders>
            <w:gridSpan w:val="2"/>
          </w:tcPr>
          <w:p>
            <w:pPr>
              <w:ind w:left="80"/>
              <w:spacing w:after="0" w:line="132" w:lineRule="exact"/>
              <w:rPr>
                <w:sz w:val="20"/>
                <w:szCs w:val="20"/>
                <w:color w:val="auto"/>
              </w:rPr>
            </w:pPr>
            <w:r>
              <w:rPr>
                <w:rFonts w:ascii="Arial" w:cs="Arial" w:eastAsia="Arial" w:hAnsi="Arial"/>
                <w:sz w:val="12"/>
                <w:szCs w:val="12"/>
                <w:color w:val="auto"/>
              </w:rPr>
              <w:t>payment to a named executive.</w:t>
            </w:r>
          </w:p>
        </w:tc>
        <w:tc>
          <w:tcPr>
            <w:tcW w:w="0" w:type="dxa"/>
            <w:vAlign w:val="bottom"/>
          </w:tcPr>
          <w:p>
            <w:pPr>
              <w:spacing w:after="0"/>
              <w:rPr>
                <w:sz w:val="1"/>
                <w:szCs w:val="1"/>
                <w:color w:val="auto"/>
              </w:rPr>
            </w:pPr>
          </w:p>
        </w:tc>
      </w:tr>
      <w:tr>
        <w:trPr>
          <w:trHeight w:val="116"/>
        </w:trPr>
        <w:tc>
          <w:tcPr>
            <w:tcW w:w="1080" w:type="dxa"/>
            <w:vAlign w:val="bottom"/>
          </w:tcPr>
          <w:p>
            <w:pPr>
              <w:spacing w:after="0" w:line="117" w:lineRule="exact"/>
              <w:rPr>
                <w:sz w:val="20"/>
                <w:szCs w:val="20"/>
                <w:color w:val="auto"/>
              </w:rPr>
            </w:pPr>
            <w:r>
              <w:rPr>
                <w:rFonts w:ascii="Arial" w:cs="Arial" w:eastAsia="Arial" w:hAnsi="Arial"/>
                <w:sz w:val="12"/>
                <w:szCs w:val="12"/>
                <w:b w:val="1"/>
                <w:bCs w:val="1"/>
                <w:color w:val="auto"/>
              </w:rPr>
              <w:t>Long-Term</w:t>
            </w:r>
          </w:p>
        </w:tc>
        <w:tc>
          <w:tcPr>
            <w:tcW w:w="2040" w:type="dxa"/>
            <w:vAlign w:val="bottom"/>
          </w:tcPr>
          <w:p>
            <w:pPr>
              <w:ind w:left="120"/>
              <w:spacing w:after="0" w:line="117" w:lineRule="exact"/>
              <w:rPr>
                <w:sz w:val="20"/>
                <w:szCs w:val="20"/>
                <w:color w:val="auto"/>
              </w:rPr>
            </w:pPr>
            <w:r>
              <w:rPr>
                <w:rFonts w:ascii="Arial" w:cs="Arial" w:eastAsia="Arial" w:hAnsi="Arial"/>
                <w:sz w:val="12"/>
                <w:szCs w:val="12"/>
                <w:color w:val="auto"/>
              </w:rPr>
              <w:t>Performance Share Units</w:t>
            </w:r>
          </w:p>
        </w:tc>
        <w:tc>
          <w:tcPr>
            <w:tcW w:w="2980" w:type="dxa"/>
            <w:vAlign w:val="bottom"/>
          </w:tcPr>
          <w:p>
            <w:pPr>
              <w:ind w:left="460"/>
              <w:spacing w:after="0" w:line="117" w:lineRule="exact"/>
              <w:rPr>
                <w:sz w:val="20"/>
                <w:szCs w:val="20"/>
                <w:color w:val="auto"/>
              </w:rPr>
            </w:pPr>
            <w:r>
              <w:rPr>
                <w:rFonts w:ascii="Arial" w:cs="Arial" w:eastAsia="Arial" w:hAnsi="Arial"/>
                <w:sz w:val="12"/>
                <w:szCs w:val="12"/>
                <w:color w:val="auto"/>
              </w:rPr>
              <w:t>To encourage and reward building long-term</w:t>
            </w:r>
          </w:p>
        </w:tc>
        <w:tc>
          <w:tcPr>
            <w:tcW w:w="5160" w:type="dxa"/>
            <w:vAlign w:val="bottom"/>
            <w:gridSpan w:val="2"/>
          </w:tcPr>
          <w:p>
            <w:pPr>
              <w:ind w:left="80"/>
              <w:spacing w:after="0" w:line="117" w:lineRule="exact"/>
              <w:rPr>
                <w:sz w:val="20"/>
                <w:szCs w:val="20"/>
                <w:color w:val="auto"/>
              </w:rPr>
            </w:pPr>
            <w:r>
              <w:rPr>
                <w:rFonts w:ascii="Arial" w:cs="Arial" w:eastAsia="Arial" w:hAnsi="Arial"/>
                <w:sz w:val="12"/>
                <w:szCs w:val="12"/>
                <w:color w:val="auto"/>
              </w:rPr>
              <w:t>Number of shares delivered range from zero to 200% of the initial target grant based on</w:t>
            </w:r>
          </w:p>
        </w:tc>
        <w:tc>
          <w:tcPr>
            <w:tcW w:w="0" w:type="dxa"/>
            <w:vAlign w:val="bottom"/>
          </w:tcPr>
          <w:p>
            <w:pPr>
              <w:spacing w:after="0"/>
              <w:rPr>
                <w:sz w:val="1"/>
                <w:szCs w:val="1"/>
                <w:color w:val="auto"/>
              </w:rPr>
            </w:pPr>
          </w:p>
        </w:tc>
      </w:tr>
      <w:tr>
        <w:trPr>
          <w:trHeight w:val="135"/>
        </w:trPr>
        <w:tc>
          <w:tcPr>
            <w:tcW w:w="1080" w:type="dxa"/>
            <w:vAlign w:val="bottom"/>
          </w:tcPr>
          <w:p>
            <w:pPr>
              <w:spacing w:after="0" w:line="136" w:lineRule="exact"/>
              <w:rPr>
                <w:sz w:val="20"/>
                <w:szCs w:val="20"/>
                <w:color w:val="auto"/>
              </w:rPr>
            </w:pPr>
            <w:r>
              <w:rPr>
                <w:rFonts w:ascii="Arial" w:cs="Arial" w:eastAsia="Arial" w:hAnsi="Arial"/>
                <w:sz w:val="12"/>
                <w:szCs w:val="12"/>
                <w:b w:val="1"/>
                <w:bCs w:val="1"/>
                <w:color w:val="auto"/>
              </w:rPr>
              <w:t>Performance</w:t>
            </w:r>
          </w:p>
        </w:tc>
        <w:tc>
          <w:tcPr>
            <w:tcW w:w="2040" w:type="dxa"/>
            <w:vAlign w:val="bottom"/>
          </w:tcPr>
          <w:p>
            <w:pPr>
              <w:spacing w:after="0"/>
              <w:rPr>
                <w:sz w:val="11"/>
                <w:szCs w:val="11"/>
                <w:color w:val="auto"/>
              </w:rPr>
            </w:pPr>
          </w:p>
        </w:tc>
        <w:tc>
          <w:tcPr>
            <w:tcW w:w="2980" w:type="dxa"/>
            <w:vAlign w:val="bottom"/>
          </w:tcPr>
          <w:p>
            <w:pPr>
              <w:ind w:left="460"/>
              <w:spacing w:after="0" w:line="136" w:lineRule="exact"/>
              <w:rPr>
                <w:sz w:val="20"/>
                <w:szCs w:val="20"/>
                <w:color w:val="auto"/>
              </w:rPr>
            </w:pPr>
            <w:r>
              <w:rPr>
                <w:rFonts w:ascii="Arial" w:cs="Arial" w:eastAsia="Arial" w:hAnsi="Arial"/>
                <w:sz w:val="12"/>
                <w:szCs w:val="12"/>
                <w:color w:val="auto"/>
              </w:rPr>
              <w:t>stockholder value through successful strategy</w:t>
            </w:r>
          </w:p>
        </w:tc>
        <w:tc>
          <w:tcPr>
            <w:tcW w:w="516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performance over a three-year performance period.</w:t>
            </w:r>
          </w:p>
        </w:tc>
        <w:tc>
          <w:tcPr>
            <w:tcW w:w="0" w:type="dxa"/>
            <w:vAlign w:val="bottom"/>
          </w:tcPr>
          <w:p>
            <w:pPr>
              <w:spacing w:after="0"/>
              <w:rPr>
                <w:sz w:val="1"/>
                <w:szCs w:val="1"/>
                <w:color w:val="auto"/>
              </w:rPr>
            </w:pPr>
          </w:p>
        </w:tc>
      </w:tr>
      <w:tr>
        <w:trPr>
          <w:trHeight w:val="159"/>
        </w:trPr>
        <w:tc>
          <w:tcPr>
            <w:tcW w:w="1080" w:type="dxa"/>
            <w:vAlign w:val="bottom"/>
          </w:tcPr>
          <w:p>
            <w:pPr>
              <w:spacing w:after="0"/>
              <w:rPr>
                <w:sz w:val="20"/>
                <w:szCs w:val="20"/>
                <w:color w:val="auto"/>
              </w:rPr>
            </w:pPr>
            <w:r>
              <w:rPr>
                <w:rFonts w:ascii="Arial" w:cs="Arial" w:eastAsia="Arial" w:hAnsi="Arial"/>
                <w:sz w:val="12"/>
                <w:szCs w:val="12"/>
                <w:b w:val="1"/>
                <w:bCs w:val="1"/>
                <w:color w:val="auto"/>
              </w:rPr>
              <w:t>Incentives</w:t>
            </w:r>
          </w:p>
        </w:tc>
        <w:tc>
          <w:tcPr>
            <w:tcW w:w="2040" w:type="dxa"/>
            <w:vAlign w:val="bottom"/>
          </w:tcPr>
          <w:p>
            <w:pPr>
              <w:spacing w:after="0"/>
              <w:rPr>
                <w:sz w:val="13"/>
                <w:szCs w:val="13"/>
                <w:color w:val="auto"/>
              </w:rPr>
            </w:pPr>
          </w:p>
        </w:tc>
        <w:tc>
          <w:tcPr>
            <w:tcW w:w="2980" w:type="dxa"/>
            <w:vAlign w:val="bottom"/>
          </w:tcPr>
          <w:p>
            <w:pPr>
              <w:ind w:left="460"/>
              <w:spacing w:after="0"/>
              <w:rPr>
                <w:sz w:val="20"/>
                <w:szCs w:val="20"/>
                <w:color w:val="auto"/>
              </w:rPr>
            </w:pPr>
            <w:r>
              <w:rPr>
                <w:rFonts w:ascii="Arial" w:cs="Arial" w:eastAsia="Arial" w:hAnsi="Arial"/>
                <w:sz w:val="12"/>
                <w:szCs w:val="12"/>
                <w:color w:val="auto"/>
              </w:rPr>
              <w:t>execution;</w:t>
            </w:r>
          </w:p>
        </w:tc>
        <w:tc>
          <w:tcPr>
            <w:tcW w:w="1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980" w:type="dxa"/>
            <w:vAlign w:val="bottom"/>
            <w:vMerge w:val="restart"/>
          </w:tcPr>
          <w:p>
            <w:pPr>
              <w:ind w:left="460"/>
              <w:spacing w:after="0"/>
              <w:rPr>
                <w:sz w:val="20"/>
                <w:szCs w:val="20"/>
                <w:color w:val="auto"/>
              </w:rPr>
            </w:pPr>
            <w:r>
              <w:rPr>
                <w:rFonts w:ascii="Arial" w:cs="Arial" w:eastAsia="Arial" w:hAnsi="Arial"/>
                <w:sz w:val="12"/>
                <w:szCs w:val="12"/>
                <w:color w:val="auto"/>
              </w:rPr>
              <w:t>To retain executives; and</w:t>
            </w:r>
          </w:p>
        </w:tc>
        <w:tc>
          <w:tcPr>
            <w:tcW w:w="5160" w:type="dxa"/>
            <w:vAlign w:val="bottom"/>
            <w:gridSpan w:val="2"/>
          </w:tcPr>
          <w:p>
            <w:pPr>
              <w:ind w:left="80"/>
              <w:spacing w:after="0" w:line="137" w:lineRule="exact"/>
              <w:rPr>
                <w:sz w:val="20"/>
                <w:szCs w:val="20"/>
                <w:color w:val="auto"/>
              </w:rPr>
            </w:pPr>
            <w:r>
              <w:rPr>
                <w:rFonts w:ascii="Arial" w:cs="Arial" w:eastAsia="Arial" w:hAnsi="Arial"/>
                <w:sz w:val="12"/>
                <w:szCs w:val="12"/>
                <w:color w:val="auto"/>
              </w:rPr>
              <w:t>Payout on half of each executive's PSUs granted in 2019 is dependent on cash flow</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980" w:type="dxa"/>
            <w:vAlign w:val="bottom"/>
            <w:vMerge w:val="continue"/>
          </w:tcPr>
          <w:p>
            <w:pPr>
              <w:spacing w:after="0"/>
              <w:rPr>
                <w:sz w:val="11"/>
                <w:szCs w:val="11"/>
                <w:color w:val="auto"/>
              </w:rPr>
            </w:pPr>
          </w:p>
        </w:tc>
        <w:tc>
          <w:tcPr>
            <w:tcW w:w="516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generation, defined as net cash flow provided by operating activities, less capital expenditures,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516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with certain exclusions, which continues our focus on capital discipline, while also aligning the</w:t>
            </w: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980" w:type="dxa"/>
            <w:vAlign w:val="bottom"/>
          </w:tcPr>
          <w:p>
            <w:pPr>
              <w:ind w:left="460"/>
              <w:spacing w:after="0"/>
              <w:rPr>
                <w:sz w:val="20"/>
                <w:szCs w:val="20"/>
                <w:color w:val="auto"/>
              </w:rPr>
            </w:pPr>
            <w:r>
              <w:rPr>
                <w:rFonts w:ascii="Arial" w:cs="Arial" w:eastAsia="Arial" w:hAnsi="Arial"/>
                <w:sz w:val="12"/>
                <w:szCs w:val="12"/>
                <w:color w:val="auto"/>
              </w:rPr>
              <w:t>To increase stockholder alignment through</w:t>
            </w:r>
          </w:p>
        </w:tc>
        <w:tc>
          <w:tcPr>
            <w:tcW w:w="5160" w:type="dxa"/>
            <w:vAlign w:val="bottom"/>
            <w:gridSpan w:val="2"/>
          </w:tcPr>
          <w:p>
            <w:pPr>
              <w:ind w:left="80"/>
              <w:spacing w:after="0"/>
              <w:rPr>
                <w:sz w:val="20"/>
                <w:szCs w:val="20"/>
                <w:color w:val="auto"/>
              </w:rPr>
            </w:pPr>
            <w:r>
              <w:rPr>
                <w:rFonts w:ascii="Arial" w:cs="Arial" w:eastAsia="Arial" w:hAnsi="Arial"/>
                <w:sz w:val="12"/>
                <w:szCs w:val="12"/>
                <w:color w:val="auto"/>
              </w:rPr>
              <w:t>Company with stockholders' free cash flow expectations.</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980" w:type="dxa"/>
            <w:vAlign w:val="bottom"/>
          </w:tcPr>
          <w:p>
            <w:pPr>
              <w:ind w:left="460"/>
              <w:spacing w:after="0"/>
              <w:rPr>
                <w:sz w:val="20"/>
                <w:szCs w:val="20"/>
                <w:color w:val="auto"/>
              </w:rPr>
            </w:pPr>
            <w:r>
              <w:rPr>
                <w:rFonts w:ascii="Arial" w:cs="Arial" w:eastAsia="Arial" w:hAnsi="Arial"/>
                <w:sz w:val="12"/>
                <w:szCs w:val="12"/>
                <w:color w:val="auto"/>
              </w:rPr>
              <w:t>executives' stock ownership</w:t>
            </w:r>
          </w:p>
        </w:tc>
        <w:tc>
          <w:tcPr>
            <w:tcW w:w="1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160" w:type="dxa"/>
            <w:vAlign w:val="bottom"/>
            <w:gridSpan w:val="2"/>
          </w:tcPr>
          <w:p>
            <w:pPr>
              <w:ind w:left="80"/>
              <w:spacing w:after="0"/>
              <w:rPr>
                <w:sz w:val="20"/>
                <w:szCs w:val="20"/>
                <w:color w:val="auto"/>
              </w:rPr>
            </w:pPr>
            <w:r>
              <w:rPr>
                <w:rFonts w:ascii="Arial" w:cs="Arial" w:eastAsia="Arial" w:hAnsi="Arial"/>
                <w:sz w:val="12"/>
                <w:szCs w:val="12"/>
                <w:color w:val="auto"/>
              </w:rPr>
              <w:t>Payout on the remaining half of the PSUs granted in 2019 is dependent on total shareholder</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160" w:type="dxa"/>
            <w:vAlign w:val="bottom"/>
            <w:gridSpan w:val="2"/>
          </w:tcPr>
          <w:p>
            <w:pPr>
              <w:ind w:left="80"/>
              <w:spacing w:after="0"/>
              <w:rPr>
                <w:sz w:val="20"/>
                <w:szCs w:val="20"/>
                <w:color w:val="auto"/>
              </w:rPr>
            </w:pPr>
            <w:r>
              <w:rPr>
                <w:rFonts w:ascii="Arial" w:cs="Arial" w:eastAsia="Arial" w:hAnsi="Arial"/>
                <w:sz w:val="12"/>
                <w:szCs w:val="12"/>
                <w:color w:val="auto"/>
              </w:rPr>
              <w:t>return relative to other companies in the S&amp;P 500 over the three-year performance period.</w:t>
            </w:r>
          </w:p>
        </w:tc>
        <w:tc>
          <w:tcPr>
            <w:tcW w:w="0" w:type="dxa"/>
            <w:vAlign w:val="bottom"/>
          </w:tcPr>
          <w:p>
            <w:pPr>
              <w:spacing w:after="0"/>
              <w:rPr>
                <w:sz w:val="1"/>
                <w:szCs w:val="1"/>
                <w:color w:val="auto"/>
              </w:rPr>
            </w:pPr>
          </w:p>
        </w:tc>
      </w:tr>
      <w:tr>
        <w:trPr>
          <w:trHeight w:val="306"/>
        </w:trPr>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160" w:type="dxa"/>
            <w:vAlign w:val="bottom"/>
            <w:gridSpan w:val="2"/>
          </w:tcPr>
          <w:p>
            <w:pPr>
              <w:ind w:left="80"/>
              <w:spacing w:after="0"/>
              <w:rPr>
                <w:sz w:val="20"/>
                <w:szCs w:val="20"/>
                <w:color w:val="auto"/>
              </w:rPr>
            </w:pPr>
            <w:r>
              <w:rPr>
                <w:rFonts w:ascii="Arial" w:cs="Arial" w:eastAsia="Arial" w:hAnsi="Arial"/>
                <w:sz w:val="12"/>
                <w:szCs w:val="12"/>
                <w:color w:val="auto"/>
              </w:rPr>
              <w:t>PSUs earn dividend equivalents that are paid at the end of the performance period based on</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516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the number of shares earned. Recipients can defer the receipt of shares, in which case such</w:t>
            </w:r>
          </w:p>
        </w:tc>
        <w:tc>
          <w:tcPr>
            <w:tcW w:w="0" w:type="dxa"/>
            <w:vAlign w:val="bottom"/>
          </w:tcPr>
          <w:p>
            <w:pPr>
              <w:spacing w:after="0"/>
              <w:rPr>
                <w:sz w:val="1"/>
                <w:szCs w:val="1"/>
                <w:color w:val="auto"/>
              </w:rPr>
            </w:pPr>
          </w:p>
        </w:tc>
      </w:tr>
      <w:tr>
        <w:trPr>
          <w:trHeight w:val="131"/>
        </w:trPr>
        <w:tc>
          <w:tcPr>
            <w:tcW w:w="1080" w:type="dxa"/>
            <w:vAlign w:val="bottom"/>
          </w:tcPr>
          <w:p>
            <w:pPr>
              <w:spacing w:after="0"/>
              <w:rPr>
                <w:sz w:val="11"/>
                <w:szCs w:val="11"/>
                <w:color w:val="auto"/>
              </w:rPr>
            </w:pPr>
          </w:p>
        </w:tc>
        <w:tc>
          <w:tcPr>
            <w:tcW w:w="2040" w:type="dxa"/>
            <w:vAlign w:val="bottom"/>
            <w:tcBorders>
              <w:bottom w:val="single" w:sz="8" w:color="477157"/>
            </w:tcBorders>
          </w:tcPr>
          <w:p>
            <w:pPr>
              <w:spacing w:after="0"/>
              <w:rPr>
                <w:sz w:val="11"/>
                <w:szCs w:val="11"/>
                <w:color w:val="auto"/>
              </w:rPr>
            </w:pPr>
          </w:p>
        </w:tc>
        <w:tc>
          <w:tcPr>
            <w:tcW w:w="2980" w:type="dxa"/>
            <w:vAlign w:val="bottom"/>
            <w:tcBorders>
              <w:bottom w:val="single" w:sz="8" w:color="477157"/>
            </w:tcBorders>
          </w:tcPr>
          <w:p>
            <w:pPr>
              <w:spacing w:after="0"/>
              <w:rPr>
                <w:sz w:val="11"/>
                <w:szCs w:val="11"/>
                <w:color w:val="auto"/>
              </w:rPr>
            </w:pPr>
          </w:p>
        </w:tc>
        <w:tc>
          <w:tcPr>
            <w:tcW w:w="5160" w:type="dxa"/>
            <w:vAlign w:val="bottom"/>
            <w:tcBorders>
              <w:bottom w:val="single" w:sz="8" w:color="477157"/>
            </w:tcBorders>
            <w:gridSpan w:val="2"/>
          </w:tcPr>
          <w:p>
            <w:pPr>
              <w:ind w:left="80"/>
              <w:spacing w:after="0" w:line="132" w:lineRule="exact"/>
              <w:rPr>
                <w:sz w:val="20"/>
                <w:szCs w:val="20"/>
                <w:color w:val="auto"/>
              </w:rPr>
            </w:pPr>
            <w:r>
              <w:rPr>
                <w:rFonts w:ascii="Arial" w:cs="Arial" w:eastAsia="Arial" w:hAnsi="Arial"/>
                <w:sz w:val="12"/>
                <w:szCs w:val="12"/>
                <w:color w:val="auto"/>
              </w:rPr>
              <w:t>shares of Common Stock will be paid out, without interest, at the end of the deferral period.</w:t>
            </w:r>
          </w:p>
        </w:tc>
        <w:tc>
          <w:tcPr>
            <w:tcW w:w="0" w:type="dxa"/>
            <w:vAlign w:val="bottom"/>
          </w:tcPr>
          <w:p>
            <w:pPr>
              <w:spacing w:after="0"/>
              <w:rPr>
                <w:sz w:val="1"/>
                <w:szCs w:val="1"/>
                <w:color w:val="auto"/>
              </w:rPr>
            </w:pPr>
          </w:p>
        </w:tc>
      </w:tr>
      <w:tr>
        <w:trPr>
          <w:trHeight w:val="130"/>
        </w:trPr>
        <w:tc>
          <w:tcPr>
            <w:tcW w:w="1080" w:type="dxa"/>
            <w:vAlign w:val="bottom"/>
          </w:tcPr>
          <w:p>
            <w:pPr>
              <w:spacing w:after="0"/>
              <w:rPr>
                <w:sz w:val="11"/>
                <w:szCs w:val="11"/>
                <w:color w:val="auto"/>
              </w:rPr>
            </w:pPr>
          </w:p>
        </w:tc>
        <w:tc>
          <w:tcPr>
            <w:tcW w:w="2040" w:type="dxa"/>
            <w:vAlign w:val="bottom"/>
          </w:tcPr>
          <w:p>
            <w:pPr>
              <w:ind w:left="120"/>
              <w:spacing w:after="0" w:line="130" w:lineRule="exact"/>
              <w:rPr>
                <w:sz w:val="20"/>
                <w:szCs w:val="20"/>
                <w:color w:val="auto"/>
              </w:rPr>
            </w:pPr>
            <w:r>
              <w:rPr>
                <w:rFonts w:ascii="Arial" w:cs="Arial" w:eastAsia="Arial" w:hAnsi="Arial"/>
                <w:sz w:val="12"/>
                <w:szCs w:val="12"/>
                <w:color w:val="auto"/>
              </w:rPr>
              <w:t>Stock Options</w:t>
            </w:r>
          </w:p>
        </w:tc>
        <w:tc>
          <w:tcPr>
            <w:tcW w:w="2980" w:type="dxa"/>
            <w:vAlign w:val="bottom"/>
          </w:tcPr>
          <w:p>
            <w:pPr>
              <w:ind w:left="460"/>
              <w:spacing w:after="0" w:line="130" w:lineRule="exact"/>
              <w:rPr>
                <w:sz w:val="20"/>
                <w:szCs w:val="20"/>
                <w:color w:val="auto"/>
              </w:rPr>
            </w:pPr>
            <w:r>
              <w:rPr>
                <w:rFonts w:ascii="Arial" w:cs="Arial" w:eastAsia="Arial" w:hAnsi="Arial"/>
                <w:sz w:val="12"/>
                <w:szCs w:val="12"/>
                <w:color w:val="auto"/>
              </w:rPr>
              <w:t>To support the growth element of the</w:t>
            </w:r>
          </w:p>
        </w:tc>
        <w:tc>
          <w:tcPr>
            <w:tcW w:w="516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Stock options vest in 25% increments on the first two anniversaries of the date of grant and the</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980" w:type="dxa"/>
            <w:vAlign w:val="bottom"/>
          </w:tcPr>
          <w:p>
            <w:pPr>
              <w:ind w:left="460"/>
              <w:spacing w:after="0" w:line="136" w:lineRule="exact"/>
              <w:rPr>
                <w:sz w:val="20"/>
                <w:szCs w:val="20"/>
                <w:color w:val="auto"/>
              </w:rPr>
            </w:pPr>
            <w:r>
              <w:rPr>
                <w:rFonts w:ascii="Arial" w:cs="Arial" w:eastAsia="Arial" w:hAnsi="Arial"/>
                <w:sz w:val="12"/>
                <w:szCs w:val="12"/>
                <w:color w:val="auto"/>
              </w:rPr>
              <w:t>Company's strategy and encourage and</w:t>
            </w:r>
          </w:p>
        </w:tc>
        <w:tc>
          <w:tcPr>
            <w:tcW w:w="516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remaining 50% vest on the third anniversary.</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980" w:type="dxa"/>
            <w:vAlign w:val="bottom"/>
          </w:tcPr>
          <w:p>
            <w:pPr>
              <w:ind w:left="460"/>
              <w:spacing w:after="0" w:line="136" w:lineRule="exact"/>
              <w:rPr>
                <w:sz w:val="20"/>
                <w:szCs w:val="20"/>
                <w:color w:val="auto"/>
              </w:rPr>
            </w:pPr>
            <w:r>
              <w:rPr>
                <w:rFonts w:ascii="Arial" w:cs="Arial" w:eastAsia="Arial" w:hAnsi="Arial"/>
                <w:sz w:val="12"/>
                <w:szCs w:val="12"/>
                <w:color w:val="auto"/>
              </w:rPr>
              <w:t>reward stock price appreciation over the long-</w:t>
            </w:r>
          </w:p>
        </w:tc>
        <w:tc>
          <w:tcPr>
            <w:tcW w:w="16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980" w:type="dxa"/>
            <w:vAlign w:val="bottom"/>
          </w:tcPr>
          <w:p>
            <w:pPr>
              <w:ind w:left="460"/>
              <w:spacing w:after="0"/>
              <w:rPr>
                <w:sz w:val="20"/>
                <w:szCs w:val="20"/>
                <w:color w:val="auto"/>
              </w:rPr>
            </w:pPr>
            <w:r>
              <w:rPr>
                <w:rFonts w:ascii="Arial" w:cs="Arial" w:eastAsia="Arial" w:hAnsi="Arial"/>
                <w:sz w:val="12"/>
                <w:szCs w:val="12"/>
                <w:color w:val="auto"/>
              </w:rPr>
              <w:t>term;</w:t>
            </w:r>
          </w:p>
        </w:tc>
        <w:tc>
          <w:tcPr>
            <w:tcW w:w="5160" w:type="dxa"/>
            <w:vAlign w:val="bottom"/>
            <w:gridSpan w:val="2"/>
          </w:tcPr>
          <w:p>
            <w:pPr>
              <w:ind w:left="80"/>
              <w:spacing w:after="0"/>
              <w:rPr>
                <w:sz w:val="20"/>
                <w:szCs w:val="20"/>
                <w:color w:val="auto"/>
              </w:rPr>
            </w:pPr>
            <w:r>
              <w:rPr>
                <w:rFonts w:ascii="Arial" w:cs="Arial" w:eastAsia="Arial" w:hAnsi="Arial"/>
                <w:sz w:val="12"/>
                <w:szCs w:val="12"/>
                <w:color w:val="auto"/>
              </w:rPr>
              <w:t>Exercise price is the average of the high and low market price of our Common Stock on the</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980" w:type="dxa"/>
            <w:vAlign w:val="bottom"/>
            <w:vMerge w:val="restart"/>
          </w:tcPr>
          <w:p>
            <w:pPr>
              <w:ind w:left="460"/>
              <w:spacing w:after="0"/>
              <w:rPr>
                <w:sz w:val="20"/>
                <w:szCs w:val="20"/>
                <w:color w:val="auto"/>
              </w:rPr>
            </w:pPr>
            <w:r>
              <w:rPr>
                <w:rFonts w:ascii="Arial" w:cs="Arial" w:eastAsia="Arial" w:hAnsi="Arial"/>
                <w:sz w:val="12"/>
                <w:szCs w:val="12"/>
                <w:color w:val="auto"/>
              </w:rPr>
              <w:t>To retain executives; and</w:t>
            </w:r>
          </w:p>
        </w:tc>
        <w:tc>
          <w:tcPr>
            <w:tcW w:w="5160" w:type="dxa"/>
            <w:vAlign w:val="bottom"/>
            <w:gridSpan w:val="2"/>
          </w:tcPr>
          <w:p>
            <w:pPr>
              <w:ind w:left="80"/>
              <w:spacing w:after="0"/>
              <w:rPr>
                <w:sz w:val="20"/>
                <w:szCs w:val="20"/>
                <w:color w:val="auto"/>
              </w:rPr>
            </w:pPr>
            <w:r>
              <w:rPr>
                <w:rFonts w:ascii="Arial" w:cs="Arial" w:eastAsia="Arial" w:hAnsi="Arial"/>
                <w:sz w:val="12"/>
                <w:szCs w:val="12"/>
                <w:color w:val="auto"/>
              </w:rPr>
              <w:t>date of grant.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-3499485</wp:posOffset>
            </wp:positionV>
            <wp:extent cx="7155180" cy="41357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5180" cy="4135755"/>
                    </a:xfrm>
                    <a:prstGeom prst="rect">
                      <a:avLst/>
                    </a:prstGeom>
                    <a:noFill/>
                  </pic:spPr>
                </pic:pic>
              </a:graphicData>
            </a:graphic>
          </wp:anchor>
        </w:drawing>
      </w:r>
    </w:p>
    <w:p>
      <w:pPr>
        <w:spacing w:after="0" w:line="13"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Stock options have a term of ten years.</w:t>
      </w:r>
    </w:p>
    <w:p>
      <w:pPr>
        <w:ind w:left="3580"/>
        <w:spacing w:after="0" w:line="235" w:lineRule="auto"/>
        <w:rPr>
          <w:sz w:val="20"/>
          <w:szCs w:val="20"/>
          <w:color w:val="auto"/>
        </w:rPr>
      </w:pPr>
      <w:r>
        <w:rPr>
          <w:rFonts w:ascii="Arial" w:cs="Arial" w:eastAsia="Arial" w:hAnsi="Arial"/>
          <w:sz w:val="12"/>
          <w:szCs w:val="12"/>
          <w:color w:val="auto"/>
        </w:rPr>
        <w:t>To increase stockholder alignment through</w:t>
      </w:r>
    </w:p>
    <w:p>
      <w:pPr>
        <w:ind w:left="3580"/>
        <w:spacing w:after="0"/>
        <w:rPr>
          <w:sz w:val="20"/>
          <w:szCs w:val="20"/>
          <w:color w:val="auto"/>
        </w:rPr>
      </w:pPr>
      <w:r>
        <w:rPr>
          <w:rFonts w:ascii="Arial" w:cs="Arial" w:eastAsia="Arial" w:hAnsi="Arial"/>
          <w:sz w:val="12"/>
          <w:szCs w:val="12"/>
          <w:color w:val="auto"/>
        </w:rPr>
        <w:t>executives' stock ownership</w:t>
      </w:r>
    </w:p>
    <w:p>
      <w:pPr>
        <w:sectPr>
          <w:pgSz w:w="11900" w:h="16838" w:orient="portrait"/>
          <w:cols w:equalWidth="0" w:num="1">
            <w:col w:w="11260"/>
          </w:cols>
          <w:pgMar w:left="320" w:top="142" w:right="319" w:bottom="1440" w:gutter="0" w:footer="0" w:header="0"/>
        </w:sectPr>
      </w:pPr>
    </w:p>
    <w:p>
      <w:pPr>
        <w:spacing w:after="0" w:line="6" w:lineRule="exact"/>
        <w:rPr>
          <w:sz w:val="20"/>
          <w:szCs w:val="20"/>
          <w:color w:val="auto"/>
        </w:rPr>
      </w:pPr>
    </w:p>
    <w:p>
      <w:pPr>
        <w:ind w:left="1200"/>
        <w:spacing w:after="0"/>
        <w:tabs>
          <w:tab w:leader="none" w:pos="3560" w:val="left"/>
        </w:tabs>
        <w:rPr>
          <w:sz w:val="20"/>
          <w:szCs w:val="20"/>
          <w:color w:val="auto"/>
        </w:rPr>
      </w:pPr>
      <w:r>
        <w:rPr>
          <w:rFonts w:ascii="Arial" w:cs="Arial" w:eastAsia="Arial" w:hAnsi="Arial"/>
          <w:sz w:val="12"/>
          <w:szCs w:val="12"/>
          <w:color w:val="auto"/>
        </w:rPr>
        <w:t>Restricted Stock Units</w:t>
      </w:r>
      <w:r>
        <w:rPr>
          <w:sz w:val="20"/>
          <w:szCs w:val="20"/>
          <w:color w:val="auto"/>
        </w:rPr>
        <w:tab/>
      </w:r>
      <w:r>
        <w:rPr>
          <w:rFonts w:ascii="Arial" w:cs="Arial" w:eastAsia="Arial" w:hAnsi="Arial"/>
          <w:sz w:val="11"/>
          <w:szCs w:val="11"/>
          <w:color w:val="auto"/>
        </w:rPr>
        <w:t>Used on a limited basis (e.g. promotion and</w:t>
      </w:r>
    </w:p>
    <w:p>
      <w:pPr>
        <w:ind w:left="3580"/>
        <w:spacing w:after="0"/>
        <w:rPr>
          <w:sz w:val="20"/>
          <w:szCs w:val="20"/>
          <w:color w:val="auto"/>
        </w:rPr>
      </w:pPr>
      <w:r>
        <w:rPr>
          <w:rFonts w:ascii="Arial" w:cs="Arial" w:eastAsia="Arial" w:hAnsi="Arial"/>
          <w:sz w:val="11"/>
          <w:szCs w:val="11"/>
          <w:color w:val="auto"/>
        </w:rPr>
        <w:t>new hire) to make awards that encourage and</w:t>
      </w:r>
    </w:p>
    <w:p>
      <w:pPr>
        <w:spacing w:after="0" w:line="6" w:lineRule="exact"/>
        <w:rPr>
          <w:sz w:val="20"/>
          <w:szCs w:val="20"/>
          <w:color w:val="auto"/>
        </w:rPr>
      </w:pPr>
    </w:p>
    <w:p>
      <w:pPr>
        <w:ind w:left="3580"/>
        <w:spacing w:after="0"/>
        <w:rPr>
          <w:sz w:val="20"/>
          <w:szCs w:val="20"/>
          <w:color w:val="auto"/>
        </w:rPr>
      </w:pPr>
      <w:r>
        <w:rPr>
          <w:rFonts w:ascii="Arial" w:cs="Arial" w:eastAsia="Arial" w:hAnsi="Arial"/>
          <w:sz w:val="12"/>
          <w:szCs w:val="12"/>
          <w:color w:val="auto"/>
        </w:rPr>
        <w:t>reward long-term performance and increase</w:t>
      </w:r>
    </w:p>
    <w:p>
      <w:pPr>
        <w:ind w:left="3580"/>
        <w:spacing w:after="0"/>
        <w:rPr>
          <w:sz w:val="20"/>
          <w:szCs w:val="20"/>
          <w:color w:val="auto"/>
        </w:rPr>
      </w:pPr>
      <w:r>
        <w:rPr>
          <w:rFonts w:ascii="Arial" w:cs="Arial" w:eastAsia="Arial" w:hAnsi="Arial"/>
          <w:sz w:val="12"/>
          <w:szCs w:val="12"/>
          <w:color w:val="auto"/>
        </w:rPr>
        <w:t>alignment with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No restricted stock units ("RSUs") were granted to named executives in 2019.</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RSUs typically vest in full three years after the date of grant. Time-based vesting aids retention.</w:t>
      </w:r>
    </w:p>
    <w:p>
      <w:pPr>
        <w:spacing w:after="0"/>
        <w:rPr>
          <w:sz w:val="20"/>
          <w:szCs w:val="20"/>
          <w:color w:val="auto"/>
        </w:rPr>
      </w:pPr>
      <w:r>
        <w:rPr>
          <w:rFonts w:ascii="Arial" w:cs="Arial" w:eastAsia="Arial" w:hAnsi="Arial"/>
          <w:sz w:val="12"/>
          <w:szCs w:val="12"/>
          <w:color w:val="auto"/>
        </w:rPr>
        <w:t>Dividend equivalents on RSUs accrue and are paid in cash upon vesting.</w:t>
      </w:r>
    </w:p>
    <w:p>
      <w:pPr>
        <w:spacing w:after="0" w:line="180" w:lineRule="exact"/>
        <w:rPr>
          <w:sz w:val="20"/>
          <w:szCs w:val="20"/>
          <w:color w:val="auto"/>
        </w:rPr>
      </w:pPr>
    </w:p>
    <w:p>
      <w:pPr>
        <w:sectPr>
          <w:pgSz w:w="11900" w:h="16838" w:orient="portrait"/>
          <w:cols w:equalWidth="0" w:num="2">
            <w:col w:w="6020" w:space="160"/>
            <w:col w:w="5080"/>
          </w:cols>
          <w:pgMar w:left="320" w:top="142" w:right="319" w:bottom="1440" w:gutter="0" w:footer="0" w:header="0"/>
          <w:type w:val="continuous"/>
        </w:sectPr>
      </w:pPr>
    </w:p>
    <w:p>
      <w:pPr>
        <w:ind w:left="9220"/>
        <w:spacing w:after="0"/>
        <w:tabs>
          <w:tab w:leader="none" w:pos="10860" w:val="left"/>
          <w:tab w:leader="none" w:pos="1108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715518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5"/>
          <w:szCs w:val="15"/>
          <w:i w:val="1"/>
          <w:iCs w:val="1"/>
          <w:u w:val="single" w:color="auto"/>
          <w:color w:val="auto"/>
        </w:rPr>
        <w:t>Deferral Plan.</w:t>
      </w:r>
      <w:r>
        <w:rPr>
          <w:rFonts w:ascii="Arial" w:cs="Arial" w:eastAsia="Arial" w:hAnsi="Arial"/>
          <w:sz w:val="15"/>
          <w:szCs w:val="15"/>
          <w:i w:val="1"/>
          <w:iCs w:val="1"/>
          <w:color w:val="auto"/>
        </w:rPr>
        <w:t xml:space="preserve"> </w:t>
      </w:r>
      <w:r>
        <w:rPr>
          <w:rFonts w:ascii="Arial" w:cs="Arial" w:eastAsia="Arial" w:hAnsi="Arial"/>
          <w:sz w:val="15"/>
          <w:szCs w:val="15"/>
          <w:color w:val="auto"/>
        </w:rPr>
        <w:t>Each of our named executive officers is eligible to participate in</w:t>
      </w:r>
      <w:r>
        <w:rPr>
          <w:rFonts w:ascii="Arial" w:cs="Arial" w:eastAsia="Arial" w:hAnsi="Arial"/>
          <w:sz w:val="15"/>
          <w:szCs w:val="15"/>
          <w:i w:val="1"/>
          <w:iCs w:val="1"/>
          <w:color w:val="auto"/>
        </w:rPr>
        <w:t xml:space="preserve"> </w:t>
      </w:r>
      <w:r>
        <w:rPr>
          <w:rFonts w:ascii="Arial" w:cs="Arial" w:eastAsia="Arial" w:hAnsi="Arial"/>
          <w:sz w:val="15"/>
          <w:szCs w:val="15"/>
          <w:color w:val="auto"/>
        </w:rPr>
        <w:t>our 409A Deferral Plan and may elect to 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details on the 409A Deferral Plan can be found in the Nonqualified Deferred Compensation in 2019 table and accompanying disclosure on page 46.</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5"/>
          <w:szCs w:val="15"/>
          <w:i w:val="1"/>
          <w:iCs w:val="1"/>
          <w:u w:val="single" w:color="auto"/>
          <w:color w:val="auto"/>
        </w:rPr>
        <w:t>Perquisites.</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provides very limited perquisites or personal</w:t>
      </w:r>
      <w:r>
        <w:rPr>
          <w:rFonts w:ascii="Arial" w:cs="Arial" w:eastAsia="Arial" w:hAnsi="Arial"/>
          <w:sz w:val="15"/>
          <w:szCs w:val="15"/>
          <w:i w:val="1"/>
          <w:iCs w:val="1"/>
          <w:color w:val="auto"/>
        </w:rPr>
        <w:t xml:space="preserve"> </w:t>
      </w:r>
      <w:r>
        <w:rPr>
          <w:rFonts w:ascii="Arial" w:cs="Arial" w:eastAsia="Arial" w:hAnsi="Arial"/>
          <w:sz w:val="15"/>
          <w:szCs w:val="15"/>
          <w:color w:val="auto"/>
        </w:rPr>
        <w:t>benefits to executive officers, consisting of reimbursement of the cost of physical exams, cost to the Company for spousal or guest participation in corporate events, and use of Company aircraft for personal travel. The MD&amp;C Committee permits our President and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Chairman of the MD&amp;C Committee. In 2019, our President and Chief Executive Officer had less than one hour of personal use of Company aircraft under this standard resulting from a brief route deviation during a business trip. Personal use of the Company's aircraft by other employees resulting in incremental cost to the Company is permitted with Chief Executive Officer approval, but this occurs infrequently.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 (5) to the Summary Compensation Table below for additional information about this calculation.</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5"/>
          <w:szCs w:val="15"/>
          <w:i w:val="1"/>
          <w:iCs w:val="1"/>
          <w:u w:val="single" w:color="auto"/>
          <w:color w:val="auto"/>
        </w:rPr>
        <w:t>Post-Employment and Change in Control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provides severance protections that aid in retention 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"—Post Employment and Change in Control Compensation; Clawback Policies" and "Potential Payments Upon Termination or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How Named Executive Officer Compensation Decisions are Made</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performance share unit calculations; reviews the individual annual cash incentive targets for the current year as a percent of base salary for each of the named executive officers; and makes decisions on granting long-term equity awards.</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15"/>
          <w:szCs w:val="15"/>
          <w:i w:val="1"/>
          <w:iCs w:val="1"/>
          <w:u w:val="single" w:color="auto"/>
          <w:color w:val="auto"/>
        </w:rPr>
        <w:t>Compensation Consultant.</w:t>
      </w:r>
      <w:r>
        <w:rPr>
          <w:rFonts w:ascii="Arial" w:cs="Arial" w:eastAsia="Arial" w:hAnsi="Arial"/>
          <w:sz w:val="15"/>
          <w:szCs w:val="15"/>
          <w:i w:val="1"/>
          <w:iCs w:val="1"/>
          <w:color w:val="auto"/>
        </w:rPr>
        <w:t xml:space="preserve"> </w:t>
      </w:r>
      <w:r>
        <w:rPr>
          <w:rFonts w:ascii="Arial" w:cs="Arial" w:eastAsia="Arial" w:hAnsi="Arial"/>
          <w:sz w:val="15"/>
          <w:szCs w:val="15"/>
          <w:color w:val="auto"/>
        </w:rPr>
        <w:t>The MD&amp;C Committee uses several resources in its</w:t>
      </w:r>
      <w:r>
        <w:rPr>
          <w:rFonts w:ascii="Arial" w:cs="Arial" w:eastAsia="Arial" w:hAnsi="Arial"/>
          <w:sz w:val="15"/>
          <w:szCs w:val="15"/>
          <w:i w:val="1"/>
          <w:iCs w:val="1"/>
          <w:color w:val="auto"/>
        </w:rPr>
        <w:t xml:space="preserve"> </w:t>
      </w:r>
      <w:r>
        <w:rPr>
          <w:rFonts w:ascii="Arial" w:cs="Arial" w:eastAsia="Arial" w:hAnsi="Arial"/>
          <w:sz w:val="15"/>
          <w:szCs w:val="15"/>
          <w:color w:val="auto"/>
        </w:rPr>
        <w:t>analysis of the appropriate compensation 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In addition to services related to executive compensation, FW Cook also provides the MD&amp;C Committee information and advice with respect to compensation of the independent directors. FW Cook has no other business relationships with the Company and receives no other payments from the Company. The MD&amp;C Committee adopted a charter provision requiring that it consider the independence of any compensation consultants it uses for executive compensation</w:t>
      </w:r>
    </w:p>
    <w:p>
      <w:pPr>
        <w:spacing w:after="0" w:line="200"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38"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30</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33" w:name="page34"/>
    <w:bookmarkEnd w:id="3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EXECUTIVE COMPENSATION</w:t>
      </w:r>
    </w:p>
    <w:p>
      <w:pPr>
        <w:sectPr>
          <w:pgSz w:w="11900" w:h="16838" w:orient="portrait"/>
          <w:cols w:equalWidth="0" w:num="1">
            <w:col w:w="11260"/>
          </w:cols>
          <w:pgMar w:left="320" w:top="142" w:right="319" w:bottom="1440" w:gutter="0" w:footer="0" w:header="0"/>
        </w:sectPr>
      </w:pPr>
    </w:p>
    <w:p>
      <w:pPr>
        <w:spacing w:after="0" w:line="195"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matters. The MD&amp;C Committee has considered the independence of FW Cook in light of SEC rules and New York Stock Exchange listing standards. In connection with this process, the MD&amp;C Committee has reviewed, among other items, a letter from FW Cook addressing the independence of FW Cook and the members of the consulting team serving the MD&amp;C Committee, including the following factors: (i) other services provided to us by FW Cook; (ii) fees paid by us as a percentage of FW Cook's total revenue; (iii) policies or procedures of FW Cook that are designed to prevent conflicts of interest; (iv) any business or personal relationships between the senior advisor of the consulting team with a member of the MD&amp;C Committee; (v) any Company stock owned by the senior advisor or any member of his immediate family and (vi)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5"/>
          <w:szCs w:val="15"/>
          <w:i w:val="1"/>
          <w:iCs w:val="1"/>
          <w:u w:val="single" w:color="auto"/>
          <w:color w:val="auto"/>
        </w:rPr>
        <w:t>Role of CEO and Human Resources.</w:t>
      </w:r>
      <w:r>
        <w:rPr>
          <w:rFonts w:ascii="Arial" w:cs="Arial" w:eastAsia="Arial" w:hAnsi="Arial"/>
          <w:sz w:val="15"/>
          <w:szCs w:val="15"/>
          <w:i w:val="1"/>
          <w:iCs w:val="1"/>
          <w:color w:val="auto"/>
        </w:rPr>
        <w:t xml:space="preserve"> </w:t>
      </w:r>
      <w:r>
        <w:rPr>
          <w:rFonts w:ascii="Arial" w:cs="Arial" w:eastAsia="Arial" w:hAnsi="Arial"/>
          <w:sz w:val="15"/>
          <w:szCs w:val="15"/>
          <w:color w:val="auto"/>
        </w:rPr>
        <w:t>Our President and Chief Executive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contributes to compensation determinations by assessing the performance of the other named executive officers and providing these assessments with recommendations to the MD&amp;C Committee. Personnel within the Company's Human Resources Department assist the MD&amp;C Committee by working with the independent consultant to provide information requested by the MD&amp;C Committee and assisting it in designing and administering the Company's compensation programs.</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5"/>
          <w:szCs w:val="15"/>
          <w:i w:val="1"/>
          <w:iCs w:val="1"/>
          <w:u w:val="single" w:color="auto"/>
          <w:color w:val="auto"/>
        </w:rPr>
        <w:t>Peer Company Comparisons.</w:t>
      </w:r>
      <w:r>
        <w:rPr>
          <w:rFonts w:ascii="Arial" w:cs="Arial" w:eastAsia="Arial" w:hAnsi="Arial"/>
          <w:sz w:val="15"/>
          <w:szCs w:val="15"/>
          <w:i w:val="1"/>
          <w:iCs w:val="1"/>
          <w:color w:val="auto"/>
        </w:rPr>
        <w:t xml:space="preserve"> </w:t>
      </w:r>
      <w:r>
        <w:rPr>
          <w:rFonts w:ascii="Arial" w:cs="Arial" w:eastAsia="Arial" w:hAnsi="Arial"/>
          <w:sz w:val="15"/>
          <w:szCs w:val="15"/>
          <w:color w:val="auto"/>
        </w:rPr>
        <w:t>The MD&amp;C Committee uses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information of comparison groups of companies to gauge the competitive market, which is relevant for attracting and retaining key talent and for ensuring that the Company's compensation practices are aligned with prevalent practices. For purposes of establishing the 2019 executive compensation program, the MD&amp;C Committee considered a competitive analysis of total direct compensation levels and compensation mix for our executive officers during the second half of 2018, using information from:</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ind w:left="900" w:hanging="447"/>
        <w:spacing w:after="0" w:line="236" w:lineRule="auto"/>
        <w:tabs>
          <w:tab w:leader="none" w:pos="900" w:val="left"/>
        </w:tabs>
        <w:numPr>
          <w:ilvl w:val="0"/>
          <w:numId w:val="32"/>
        </w:numPr>
        <w:rPr>
          <w:rFonts w:ascii="Arial" w:cs="Arial" w:eastAsia="Arial" w:hAnsi="Arial"/>
          <w:sz w:val="15"/>
          <w:szCs w:val="15"/>
          <w:color w:val="477157"/>
        </w:rPr>
      </w:pPr>
      <w:r>
        <w:rPr>
          <w:rFonts w:ascii="Arial" w:cs="Arial" w:eastAsia="Arial" w:hAnsi="Arial"/>
          <w:sz w:val="15"/>
          <w:szCs w:val="15"/>
          <w:color w:val="auto"/>
        </w:rPr>
        <w:t>Size-adjusted median compensation data from two general industry surveys in which management annually participates; the Aon Hewitt 2018 Total Compensation Measurement ("TCM") survey and the Willis Towers Watson 2018 Executive Compensation Data base ("CDB") survey. The Aon Hewitt TCM and Willis Towers Watson CDB surveys include over 500 companies ranging in size from approximately $5 million to $500 billion in annual revenue. Data selected from these surveys is scoped based on Company revenue; and</w:t>
      </w:r>
    </w:p>
    <w:p>
      <w:pPr>
        <w:spacing w:after="0" w:line="174" w:lineRule="exact"/>
        <w:rPr>
          <w:rFonts w:ascii="Arial" w:cs="Arial" w:eastAsia="Arial" w:hAnsi="Arial"/>
          <w:sz w:val="15"/>
          <w:szCs w:val="15"/>
          <w:color w:val="477157"/>
        </w:rPr>
      </w:pPr>
    </w:p>
    <w:p>
      <w:pPr>
        <w:ind w:left="900" w:hanging="447"/>
        <w:spacing w:after="0"/>
        <w:tabs>
          <w:tab w:leader="none" w:pos="900" w:val="left"/>
        </w:tabs>
        <w:numPr>
          <w:ilvl w:val="0"/>
          <w:numId w:val="32"/>
        </w:numPr>
        <w:rPr>
          <w:rFonts w:ascii="Arial" w:cs="Arial" w:eastAsia="Arial" w:hAnsi="Arial"/>
          <w:sz w:val="15"/>
          <w:szCs w:val="15"/>
          <w:color w:val="477157"/>
        </w:rPr>
      </w:pPr>
      <w:r>
        <w:rPr>
          <w:rFonts w:ascii="Arial" w:cs="Arial" w:eastAsia="Arial" w:hAnsi="Arial"/>
          <w:sz w:val="15"/>
          <w:szCs w:val="15"/>
          <w:color w:val="auto"/>
        </w:rPr>
        <w:t>Median compensation data from a comparison group of 18 publicly traded U.S. companies, described below.</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 Compared to the 2017 comparison group used to inform 2018 compensation decisions, Baker Hughes was removed from the comparison group and no companies were added.</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following chart sets forth various size comparisons to companies in the comparison group; this table is provided to evidence that the Company was appropriately positioned within its peer group for purposes of establishing 2019 compensation during 2018. All financial and market data are taken from Standard &amp; Poor's Capital IQ, with financial data as of each company's 2017 fiscal year end and market capitalization as of December 31, 2017.</w:t>
      </w:r>
    </w:p>
    <w:p>
      <w:pPr>
        <w:spacing w:after="0" w:line="200"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27" w:lineRule="exact"/>
        <w:rPr>
          <w:sz w:val="20"/>
          <w:szCs w:val="20"/>
          <w:color w:val="auto"/>
        </w:rPr>
      </w:pPr>
    </w:p>
    <w:p>
      <w:pPr>
        <w:ind w:left="9220"/>
        <w:spacing w:after="0"/>
        <w:tabs>
          <w:tab w:leader="none" w:pos="10860" w:val="left"/>
          <w:tab w:leader="none" w:pos="1108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140970</wp:posOffset>
            </wp:positionV>
            <wp:extent cx="7160260" cy="19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34" w:name="page35"/>
    <w:bookmarkEnd w:id="3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129540</wp:posOffset>
            </wp:positionV>
            <wp:extent cx="3713480" cy="25184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713480" cy="251841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5"/>
          <w:szCs w:val="15"/>
          <w:i w:val="1"/>
          <w:iCs w:val="1"/>
          <w:u w:val="single" w:color="auto"/>
          <w:color w:val="auto"/>
        </w:rPr>
        <w:t>Allocation of Compensation Elements and Tally Sheets.</w:t>
      </w:r>
      <w:r>
        <w:rPr>
          <w:rFonts w:ascii="Arial" w:cs="Arial" w:eastAsia="Arial" w:hAnsi="Arial"/>
          <w:sz w:val="15"/>
          <w:szCs w:val="15"/>
          <w:i w:val="1"/>
          <w:iCs w:val="1"/>
          <w:color w:val="auto"/>
        </w:rPr>
        <w:t xml:space="preserve"> </w:t>
      </w:r>
      <w:r>
        <w:rPr>
          <w:rFonts w:ascii="Arial" w:cs="Arial" w:eastAsia="Arial" w:hAnsi="Arial"/>
          <w:sz w:val="15"/>
          <w:szCs w:val="15"/>
          <w:color w:val="auto"/>
        </w:rPr>
        <w:t>The MD&amp;C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considers the forms in which total 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164"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The following charts display the allocation of total 2019 target compensation among base salary, annual cash incentive and long-term incentives for (a) our President and Chief Executive Officer and (b) our other named executives, on average. These charts reflect the MD&amp;C Committee's 2019 desired total mix of target compensation for named executives, which includes approximately 62% of total compensation derived from long-term equity awards, while long-term equity awards comprised 70% of our President and Chief Executive Officer's total target compensation. These charts also reflect that approximately 88% of our President and Chief Executive Officer's total target compensation opportunities awarded in 2019 were performance-based, while approximately 80% of the total target compensation established in February 2019 for the other named executives was performance-based. We consider stock options granted under our long-term incentive plan to be performance-based because their value will increase as the market value of our Common Stock increases.</w:t>
      </w:r>
    </w:p>
    <w:p>
      <w:pPr>
        <w:spacing w:after="0" w:line="200"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44"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35" w:name="page36"/>
    <w:bookmarkEnd w:id="3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121920</wp:posOffset>
            </wp:positionV>
            <wp:extent cx="4836795" cy="1659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36795" cy="165989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u w:val="single" w:color="auto"/>
          <w:color w:val="auto"/>
        </w:rPr>
        <w:t>Internal Pay Equity.</w:t>
      </w:r>
      <w:r>
        <w:rPr>
          <w:rFonts w:ascii="Arial" w:cs="Arial" w:eastAsia="Arial" w:hAnsi="Arial"/>
          <w:sz w:val="14"/>
          <w:szCs w:val="14"/>
          <w:i w:val="1"/>
          <w:iCs w:val="1"/>
          <w:color w:val="auto"/>
        </w:rPr>
        <w:t xml:space="preserve"> </w:t>
      </w:r>
      <w:r>
        <w:rPr>
          <w:rFonts w:ascii="Arial" w:cs="Arial" w:eastAsia="Arial" w:hAnsi="Arial"/>
          <w:sz w:val="14"/>
          <w:szCs w:val="14"/>
          <w:color w:val="auto"/>
        </w:rPr>
        <w:t>The MD&amp;C Committee considers the differentials between</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of the named executive officers. The MD&amp;C Committee also reviews compensation comparisons between the President and Chief Executive Officer and the other executive officers, while recognizing the additional responsibilities of the President and Chief Executive Officer and that such differentials will increase in periods of above-target performance and decrease in times of below-target performance. Based on these considerations, the MD&amp;C Committee concluded that the compensation paid to the President and Chief Executive Officer is reasonable compared to that of the other executive officers.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i w:val="1"/>
          <w:iCs w:val="1"/>
          <w:u w:val="single" w:color="auto"/>
          <w:color w:val="auto"/>
        </w:rPr>
        <w:t>Policy on Calculation Adjustments.</w:t>
      </w:r>
      <w:r>
        <w:rPr>
          <w:rFonts w:ascii="Arial" w:cs="Arial" w:eastAsia="Arial" w:hAnsi="Arial"/>
          <w:sz w:val="14"/>
          <w:szCs w:val="14"/>
          <w:i w:val="1"/>
          <w:iCs w:val="1"/>
          <w:color w:val="auto"/>
        </w:rPr>
        <w:t xml:space="preserve"> </w:t>
      </w:r>
      <w:r>
        <w:rPr>
          <w:rFonts w:ascii="Arial" w:cs="Arial" w:eastAsia="Arial" w:hAnsi="Arial"/>
          <w:sz w:val="14"/>
          <w:szCs w:val="14"/>
          <w:color w:val="auto"/>
        </w:rPr>
        <w:t>In 2014, the MD&amp;C Committee adopted a</w:t>
      </w:r>
      <w:r>
        <w:rPr>
          <w:rFonts w:ascii="Arial" w:cs="Arial" w:eastAsia="Arial" w:hAnsi="Arial"/>
          <w:sz w:val="14"/>
          <w:szCs w:val="14"/>
          <w:i w:val="1"/>
          <w:iCs w:val="1"/>
          <w:color w:val="auto"/>
        </w:rPr>
        <w:t xml:space="preserve"> </w:t>
      </w:r>
      <w:r>
        <w:rPr>
          <w:rFonts w:ascii="Arial" w:cs="Arial" w:eastAsia="Arial" w:hAnsi="Arial"/>
          <w:sz w:val="14"/>
          <w:szCs w:val="14"/>
          <w:color w:val="auto"/>
        </w:rPr>
        <w:t>policy on calculation adjustments that affect 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short-term gains and protect current incentive opportunities. To ensure the integrity of the adjustments, the policy provides that the MD&amp;C Committee's approach to adjustments shall generally be consistent with the Company's approach to reporting adjusted non-GAAP earnings to the investment community, except that the MD&amp;C Committee has determined that potential adjustments arising from a single transaction or event generally should be disregarded unless, taken together, they change the calculated award payout by at least five percent. For this reason, actual results reported in this proxy statement on financial performance metrics may differ from earnings results reported to the investment community. The MD&amp;C Committee retains discretion to evaluate all adjustments, both income and expense, as circumstances warrant; however, beginning with long-term equity incentive awards granted in 2017, the MD&amp;C Committee agreed that it shall not have the ability to use negative discretion with respect to the calculation of cash flow for purposes of the PSUs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rPr>
          <w:sz w:val="20"/>
          <w:szCs w:val="20"/>
          <w:color w:val="auto"/>
        </w:rPr>
      </w:pPr>
      <w:r>
        <w:rPr>
          <w:rFonts w:ascii="Arial" w:cs="Arial" w:eastAsia="Arial" w:hAnsi="Arial"/>
          <w:sz w:val="15"/>
          <w:szCs w:val="15"/>
          <w:color w:val="auto"/>
        </w:rPr>
        <w:t>subject to that performance measure, in order to avoid variable accounting treatment for those awards.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5"/>
          <w:szCs w:val="15"/>
          <w:i w:val="1"/>
          <w:iCs w:val="1"/>
          <w:u w:val="single" w:color="auto"/>
          <w:color w:val="auto"/>
        </w:rPr>
        <w:t>Tax and Accounting Matters.</w:t>
      </w:r>
      <w:r>
        <w:rPr>
          <w:rFonts w:ascii="Arial" w:cs="Arial" w:eastAsia="Arial" w:hAnsi="Arial"/>
          <w:sz w:val="15"/>
          <w:szCs w:val="15"/>
          <w:i w:val="1"/>
          <w:iCs w:val="1"/>
          <w:color w:val="auto"/>
        </w:rPr>
        <w:t xml:space="preserve"> </w:t>
      </w:r>
      <w:r>
        <w:rPr>
          <w:rFonts w:ascii="Arial" w:cs="Arial" w:eastAsia="Arial" w:hAnsi="Arial"/>
          <w:sz w:val="15"/>
          <w:szCs w:val="15"/>
          <w:color w:val="auto"/>
        </w:rPr>
        <w:t>Our compensation programs were designed to</w:t>
      </w:r>
      <w:r>
        <w:rPr>
          <w:rFonts w:ascii="Arial" w:cs="Arial" w:eastAsia="Arial" w:hAnsi="Arial"/>
          <w:sz w:val="15"/>
          <w:szCs w:val="15"/>
          <w:i w:val="1"/>
          <w:iCs w:val="1"/>
          <w:color w:val="auto"/>
        </w:rPr>
        <w:t xml:space="preserve"> </w:t>
      </w:r>
      <w:r>
        <w:rPr>
          <w:rFonts w:ascii="Arial" w:cs="Arial" w:eastAsia="Arial" w:hAnsi="Arial"/>
          <w:sz w:val="15"/>
          <w:szCs w:val="15"/>
          <w:color w:val="auto"/>
        </w:rPr>
        <w:t>permit the Company to deduct compensation expense under Section 162(m) of the IRC, which historically limited the tax deductibility of annual compensation paid to certain named executives to $1 million, unless the compensation qualified as performance-based. The Company also reserved the right to pay compensation that did not qualify as performance-based. Other than some limited exceptions relating to certain previously-granted awards, the ability to rely on this performance-based exception was eliminated in 2017, and the limitation on deductibility of compensation was expanded to include all named executive officers. As a result, the Company generally may no longer take a deduction for any compensation paid to any of its named executive officers in excess of $1 million.</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Section 409A of the IRC ("Code Section 409A") generally provides that any deferred compensation arrangement which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167"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We account for equity-based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long-term equity incentive awards.</w:t>
      </w:r>
    </w:p>
    <w:p>
      <w:pPr>
        <w:spacing w:after="0" w:line="200"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38" w:lineRule="exact"/>
        <w:rPr>
          <w:sz w:val="20"/>
          <w:szCs w:val="20"/>
          <w:color w:val="auto"/>
        </w:rPr>
      </w:pPr>
    </w:p>
    <w:p>
      <w:pPr>
        <w:ind w:left="9220"/>
        <w:spacing w:after="0"/>
        <w:tabs>
          <w:tab w:leader="none" w:pos="10860" w:val="left"/>
          <w:tab w:leader="none" w:pos="1108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715518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However, because our long-term equity incentive awards are based on a target dollar value established prior to grant (described in further detail under "Named Executives' 2019 Compensation Program and Results—Long-Term Equity Incentives"), this "value" will differ from the grant date fair value of awards calculated pursuant to ASC Topic 718.</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u w:val="single" w:color="auto"/>
          <w:color w:val="auto"/>
        </w:rPr>
        <w:t>Risk Assessment.</w:t>
      </w:r>
      <w:r>
        <w:rPr>
          <w:rFonts w:ascii="Arial" w:cs="Arial" w:eastAsia="Arial" w:hAnsi="Arial"/>
          <w:sz w:val="14"/>
          <w:szCs w:val="14"/>
          <w:i w:val="1"/>
          <w:iCs w:val="1"/>
          <w:color w:val="auto"/>
        </w:rPr>
        <w:t xml:space="preserve"> </w:t>
      </w:r>
      <w:r>
        <w:rPr>
          <w:rFonts w:ascii="Arial" w:cs="Arial" w:eastAsia="Arial" w:hAnsi="Arial"/>
          <w:sz w:val="14"/>
          <w:szCs w:val="14"/>
          <w:color w:val="auto"/>
        </w:rPr>
        <w:t>The MD&amp;C Committee uses the structural elements set forth</w:t>
      </w:r>
      <w:r>
        <w:rPr>
          <w:rFonts w:ascii="Arial" w:cs="Arial" w:eastAsia="Arial" w:hAnsi="Arial"/>
          <w:sz w:val="14"/>
          <w:szCs w:val="14"/>
          <w:i w:val="1"/>
          <w:iCs w:val="1"/>
          <w:color w:val="auto"/>
        </w:rPr>
        <w:t xml:space="preserve"> </w:t>
      </w:r>
      <w:r>
        <w:rPr>
          <w:rFonts w:ascii="Arial" w:cs="Arial" w:eastAsia="Arial" w:hAnsi="Arial"/>
          <w:sz w:val="14"/>
          <w:szCs w:val="14"/>
          <w:color w:val="auto"/>
        </w:rPr>
        <w:t>in the Executive Summary earlier to establish compensation that will provide sufficient incentives for named executive officers to drive results while avoiding unnecessary or excessive risk taking that could harm the long-term value of the Company. During 2019,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i w:val="1"/>
          <w:iCs w:val="1"/>
          <w:u w:val="single" w:color="auto"/>
          <w:color w:val="auto"/>
        </w:rPr>
        <w:t>Consideration of Stockholder Advisory Vote on Executive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color w:val="auto"/>
        </w:rPr>
        <w:t>MD&amp;C Committee reviews the results of the stockholder advisory vote on executive compensation</w:t>
      </w:r>
    </w:p>
    <w:p>
      <w:pPr>
        <w:spacing w:after="0" w:line="291" w:lineRule="exact"/>
        <w:rPr>
          <w:sz w:val="20"/>
          <w:szCs w:val="20"/>
          <w:color w:val="auto"/>
        </w:rPr>
      </w:pPr>
    </w:p>
    <w:p>
      <w:pPr>
        <w:ind w:left="1680"/>
        <w:spacing w:after="0"/>
        <w:rPr>
          <w:sz w:val="20"/>
          <w:szCs w:val="20"/>
          <w:color w:val="auto"/>
        </w:rPr>
      </w:pPr>
      <w:r>
        <w:rPr>
          <w:rFonts w:ascii="Arial" w:cs="Arial" w:eastAsia="Arial" w:hAnsi="Arial"/>
          <w:sz w:val="12"/>
          <w:szCs w:val="12"/>
          <w:b w:val="1"/>
          <w:bCs w:val="1"/>
          <w:color w:val="477157"/>
        </w:rPr>
        <w:t>Named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and considers any implications of such voting results on the Company's compensation programs. In light of the fact that at least 96% of shares present and entitled to vote at the annual meeting have voted in favor of the Company's executive compensation every year since the advisory vote on compensation was implemented, the results of the stockholder advisory votes have not caused the MD&amp;C Committee to recommend any changes to our compensation practices.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Named Executives' 2019 Compensation Program and Results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u w:val="single" w:color="auto"/>
          <w:color w:val="auto"/>
        </w:rPr>
        <w:t>Base Salary</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MD&amp;C Committee approved increases to the 2019 base salaries of named executive officers, consistent with our compensation philosophy and driven by competitive market data, internal pay equity considerations and individual performance relative to the executive's responsibilities and contributions. The Committee also considered the promotions effective January 1, 2019 for each of Mr. Morris, Ms. Hemmer and Mr. Batchelor. The table below shows the 2019 annual base salary established by the MD&amp;C Committee for each of our named executive officers.</w:t>
      </w:r>
    </w:p>
    <w:p>
      <w:pPr>
        <w:spacing w:after="0" w:line="321" w:lineRule="exact"/>
        <w:rPr>
          <w:sz w:val="20"/>
          <w:szCs w:val="20"/>
          <w:color w:val="auto"/>
        </w:rPr>
      </w:pPr>
    </w:p>
    <w:p>
      <w:pPr>
        <w:jc w:val="right"/>
        <w:ind w:right="1820"/>
        <w:spacing w:after="0"/>
        <w:rPr>
          <w:sz w:val="20"/>
          <w:szCs w:val="20"/>
          <w:color w:val="auto"/>
        </w:rPr>
      </w:pPr>
      <w:r>
        <w:rPr>
          <w:rFonts w:ascii="Arial" w:cs="Arial" w:eastAsia="Arial" w:hAnsi="Arial"/>
          <w:sz w:val="12"/>
          <w:szCs w:val="12"/>
          <w:b w:val="1"/>
          <w:bCs w:val="1"/>
          <w:color w:val="477157"/>
        </w:rPr>
        <w:t>2019</w:t>
      </w:r>
    </w:p>
    <w:p>
      <w:pPr>
        <w:spacing w:after="0" w:line="4" w:lineRule="exact"/>
        <w:rPr>
          <w:sz w:val="20"/>
          <w:szCs w:val="20"/>
          <w:color w:val="auto"/>
        </w:rPr>
      </w:pPr>
    </w:p>
    <w:p>
      <w:pPr>
        <w:jc w:val="right"/>
        <w:ind w:right="1820"/>
        <w:spacing w:after="0"/>
        <w:rPr>
          <w:sz w:val="20"/>
          <w:szCs w:val="20"/>
          <w:color w:val="auto"/>
        </w:rPr>
      </w:pPr>
      <w:r>
        <w:rPr>
          <w:rFonts w:ascii="Arial" w:cs="Arial" w:eastAsia="Arial" w:hAnsi="Arial"/>
          <w:sz w:val="12"/>
          <w:szCs w:val="12"/>
          <w:b w:val="1"/>
          <w:bCs w:val="1"/>
          <w:color w:val="477157"/>
        </w:rPr>
        <w:t>Base Salary</w:t>
      </w:r>
    </w:p>
    <w:p>
      <w:pPr>
        <w:spacing w:after="0" w:line="1"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tbl>
      <w:tblPr>
        <w:tblLayout w:type="fixed"/>
        <w:tblInd w:w="1680" w:type="dxa"/>
        <w:tblCellMar>
          <w:top w:w="0" w:type="dxa"/>
          <w:left w:w="0" w:type="dxa"/>
          <w:bottom w:w="0" w:type="dxa"/>
          <w:right w:w="0" w:type="dxa"/>
        </w:tblCellMar>
      </w:tblPr>
      <w:tr>
        <w:trPr>
          <w:trHeight w:val="160"/>
        </w:trPr>
        <w:tc>
          <w:tcPr>
            <w:tcW w:w="3800" w:type="dxa"/>
            <w:vAlign w:val="bottom"/>
            <w:tcBorders>
              <w:top w:val="single" w:sz="8" w:color="477157"/>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Fish</w:t>
            </w:r>
          </w:p>
        </w:tc>
        <w:tc>
          <w:tcPr>
            <w:tcW w:w="3120" w:type="dxa"/>
            <w:vAlign w:val="bottom"/>
            <w:tcBorders>
              <w:top w:val="single" w:sz="8" w:color="477157"/>
              <w:bottom w:val="single" w:sz="8" w:color="477157"/>
            </w:tcBorders>
          </w:tcPr>
          <w:p>
            <w:pPr>
              <w:jc w:val="right"/>
              <w:ind w:right="107"/>
              <w:spacing w:after="0" w:line="161"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477157"/>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1,250,000</w:t>
            </w:r>
          </w:p>
        </w:tc>
      </w:tr>
      <w:tr>
        <w:trPr>
          <w:trHeight w:val="160"/>
        </w:trPr>
        <w:tc>
          <w:tcPr>
            <w:tcW w:w="38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Rankin</w:t>
            </w:r>
          </w:p>
        </w:tc>
        <w:tc>
          <w:tcPr>
            <w:tcW w:w="3120" w:type="dxa"/>
            <w:vAlign w:val="bottom"/>
            <w:tcBorders>
              <w:bottom w:val="single" w:sz="8" w:color="477157"/>
            </w:tcBorders>
          </w:tcPr>
          <w:p>
            <w:pPr>
              <w:jc w:val="right"/>
              <w:ind w:right="107"/>
              <w:spacing w:after="0" w:line="16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638,100</w:t>
            </w:r>
          </w:p>
        </w:tc>
      </w:tr>
      <w:tr>
        <w:trPr>
          <w:trHeight w:val="160"/>
        </w:trPr>
        <w:tc>
          <w:tcPr>
            <w:tcW w:w="38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Morris</w:t>
            </w:r>
          </w:p>
        </w:tc>
        <w:tc>
          <w:tcPr>
            <w:tcW w:w="3120" w:type="dxa"/>
            <w:vAlign w:val="bottom"/>
            <w:tcBorders>
              <w:bottom w:val="single" w:sz="8" w:color="477157"/>
            </w:tcBorders>
          </w:tcPr>
          <w:p>
            <w:pPr>
              <w:jc w:val="right"/>
              <w:ind w:right="107"/>
              <w:spacing w:after="0" w:line="16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700,000</w:t>
            </w:r>
          </w:p>
        </w:tc>
      </w:tr>
      <w:tr>
        <w:trPr>
          <w:trHeight w:val="160"/>
        </w:trPr>
        <w:tc>
          <w:tcPr>
            <w:tcW w:w="38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Hemmer</w:t>
            </w:r>
          </w:p>
        </w:tc>
        <w:tc>
          <w:tcPr>
            <w:tcW w:w="3120" w:type="dxa"/>
            <w:vAlign w:val="bottom"/>
            <w:tcBorders>
              <w:bottom w:val="single" w:sz="8" w:color="477157"/>
            </w:tcBorders>
          </w:tcPr>
          <w:p>
            <w:pPr>
              <w:jc w:val="right"/>
              <w:ind w:right="107"/>
              <w:spacing w:after="0" w:line="16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537,600</w:t>
            </w:r>
          </w:p>
        </w:tc>
      </w:tr>
      <w:tr>
        <w:trPr>
          <w:trHeight w:val="160"/>
        </w:trPr>
        <w:tc>
          <w:tcPr>
            <w:tcW w:w="38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Batchelor</w:t>
            </w:r>
          </w:p>
        </w:tc>
        <w:tc>
          <w:tcPr>
            <w:tcW w:w="3120" w:type="dxa"/>
            <w:vAlign w:val="bottom"/>
            <w:tcBorders>
              <w:bottom w:val="single" w:sz="8" w:color="477157"/>
            </w:tcBorders>
          </w:tcPr>
          <w:p>
            <w:pPr>
              <w:jc w:val="right"/>
              <w:ind w:right="107"/>
              <w:spacing w:after="0" w:line="16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537,600</w:t>
            </w:r>
          </w:p>
        </w:tc>
      </w:tr>
    </w:tbl>
    <w:p>
      <w:pPr>
        <w:spacing w:after="0" w:line="200" w:lineRule="exact"/>
        <w:rPr>
          <w:sz w:val="20"/>
          <w:szCs w:val="20"/>
          <w:color w:val="auto"/>
        </w:rPr>
      </w:pPr>
    </w:p>
    <w:p>
      <w:pPr>
        <w:sectPr>
          <w:pgSz w:w="11900" w:h="16838" w:orient="portrait"/>
          <w:cols w:equalWidth="0" w:num="1">
            <w:col w:w="11260"/>
          </w:cols>
          <w:pgMar w:left="320" w:top="142" w:right="31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u w:val="single" w:color="auto"/>
          <w:color w:val="auto"/>
        </w:rPr>
        <w:t>Annual Cash Incentive</w:t>
      </w:r>
    </w:p>
    <w:p>
      <w:pPr>
        <w:spacing w:after="0" w:line="181" w:lineRule="exact"/>
        <w:rPr>
          <w:sz w:val="20"/>
          <w:szCs w:val="20"/>
          <w:color w:val="auto"/>
        </w:rPr>
      </w:pPr>
    </w:p>
    <w:p>
      <w:pPr>
        <w:jc w:val="both"/>
        <w:ind w:left="900" w:hanging="459"/>
        <w:spacing w:after="0" w:line="243" w:lineRule="auto"/>
        <w:tabs>
          <w:tab w:leader="none" w:pos="900" w:val="left"/>
        </w:tabs>
        <w:numPr>
          <w:ilvl w:val="0"/>
          <w:numId w:val="33"/>
        </w:numPr>
        <w:rPr>
          <w:rFonts w:ascii="Arial" w:cs="Arial" w:eastAsia="Arial" w:hAnsi="Arial"/>
          <w:sz w:val="15"/>
          <w:szCs w:val="15"/>
          <w:color w:val="477157"/>
        </w:rPr>
      </w:pPr>
      <w:r>
        <w:rPr>
          <w:rFonts w:ascii="Arial" w:cs="Arial" w:eastAsia="Arial" w:hAnsi="Arial"/>
          <w:sz w:val="15"/>
          <w:szCs w:val="15"/>
          <w:i w:val="1"/>
          <w:iCs w:val="1"/>
          <w:color w:val="auto"/>
        </w:rPr>
        <w:t>Annual cash incentives were dependent on the following performance measures: Income from Operations, excluding Depreciation and Amortization; Income from Operations Margin and Internal Revenue Growth.</w:t>
      </w:r>
    </w:p>
    <w:p>
      <w:pPr>
        <w:spacing w:after="0" w:line="157" w:lineRule="exact"/>
        <w:rPr>
          <w:rFonts w:ascii="Arial" w:cs="Arial" w:eastAsia="Arial" w:hAnsi="Arial"/>
          <w:sz w:val="15"/>
          <w:szCs w:val="15"/>
          <w:color w:val="477157"/>
        </w:rPr>
      </w:pPr>
    </w:p>
    <w:p>
      <w:pPr>
        <w:jc w:val="both"/>
        <w:ind w:left="900" w:hanging="459"/>
        <w:spacing w:after="0" w:line="243" w:lineRule="auto"/>
        <w:tabs>
          <w:tab w:leader="none" w:pos="900" w:val="left"/>
        </w:tabs>
        <w:numPr>
          <w:ilvl w:val="0"/>
          <w:numId w:val="33"/>
        </w:numPr>
        <w:rPr>
          <w:rFonts w:ascii="Arial" w:cs="Arial" w:eastAsia="Arial" w:hAnsi="Arial"/>
          <w:sz w:val="15"/>
          <w:szCs w:val="15"/>
          <w:color w:val="477157"/>
        </w:rPr>
      </w:pPr>
      <w:r>
        <w:rPr>
          <w:rFonts w:ascii="Arial" w:cs="Arial" w:eastAsia="Arial" w:hAnsi="Arial"/>
          <w:sz w:val="15"/>
          <w:szCs w:val="15"/>
          <w:i w:val="1"/>
          <w:iCs w:val="1"/>
          <w:color w:val="auto"/>
        </w:rPr>
        <w:t>Company performance on each of the performance measures set forth below resulted in each of the named executives receiving an annual cash incentive payment in March 2020 for fiscal year 2019 equal to 99.47% of target.</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The MD&amp;C Committee develops financial performance measures for annual cash incentive awards to drive improvements in business operations, as well as support and fund the long-term strategy of the Company. The MD&amp;C Committee has found that the Income from Operations, excluding Depreciation and Amortization,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measure encourages balanced focus on growth and profitability, while the Income from Operations Margin performance measure continues to keep the Company focused on cost control, operational improvements and yield. In 2019, the Company replaced a prior cost control performance measure with the new Internal Revenue Growth measure. The MD&amp;C Committee believes that this measure better supports the Company's strategic growth and creation of shareholder value, and the MD&amp;C Committee believes these financial performance measures, collectively, support and align with the strategy of the Company and are appropriate indicators of our progress toward the Company's goals.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When setting threshold, target and maximum performance measure levels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and expected costs.</w:t>
      </w:r>
    </w:p>
    <w:p>
      <w:pPr>
        <w:spacing w:after="0" w:line="225"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24"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37" w:name="page38"/>
    <w:bookmarkEnd w:id="3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EXECUTIVE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details the performance measures set by the MD&amp;C Committee for purposes of the named executive officers' annual cash incentive for 2019.</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120" w:type="dxa"/>
            <w:vAlign w:val="bottom"/>
          </w:tcPr>
          <w:p>
            <w:pPr>
              <w:spacing w:after="0"/>
              <w:rPr>
                <w:sz w:val="12"/>
                <w:szCs w:val="12"/>
                <w:color w:val="auto"/>
              </w:rPr>
            </w:pPr>
          </w:p>
        </w:tc>
        <w:tc>
          <w:tcPr>
            <w:tcW w:w="1660" w:type="dxa"/>
            <w:vAlign w:val="bottom"/>
          </w:tcPr>
          <w:p>
            <w:pPr>
              <w:jc w:val="right"/>
              <w:ind w:right="153"/>
              <w:spacing w:after="0"/>
              <w:rPr>
                <w:sz w:val="20"/>
                <w:szCs w:val="20"/>
                <w:color w:val="auto"/>
              </w:rPr>
            </w:pPr>
            <w:r>
              <w:rPr>
                <w:rFonts w:ascii="Arial" w:cs="Arial" w:eastAsia="Arial" w:hAnsi="Arial"/>
                <w:sz w:val="12"/>
                <w:szCs w:val="12"/>
                <w:b w:val="1"/>
                <w:bCs w:val="1"/>
                <w:color w:val="477157"/>
              </w:rPr>
              <w:t>Threshold</w:t>
            </w:r>
          </w:p>
        </w:tc>
        <w:tc>
          <w:tcPr>
            <w:tcW w:w="1160" w:type="dxa"/>
            <w:vAlign w:val="bottom"/>
          </w:tcPr>
          <w:p>
            <w:pPr>
              <w:jc w:val="right"/>
              <w:ind w:right="153"/>
              <w:spacing w:after="0"/>
              <w:rPr>
                <w:sz w:val="20"/>
                <w:szCs w:val="20"/>
                <w:color w:val="auto"/>
              </w:rPr>
            </w:pPr>
            <w:r>
              <w:rPr>
                <w:rFonts w:ascii="Arial" w:cs="Arial" w:eastAsia="Arial" w:hAnsi="Arial"/>
                <w:sz w:val="12"/>
                <w:szCs w:val="12"/>
                <w:b w:val="1"/>
                <w:bCs w:val="1"/>
                <w:color w:val="477157"/>
              </w:rPr>
              <w:t>Target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477157"/>
              </w:rPr>
              <w:t>Maximum</w:t>
            </w:r>
          </w:p>
        </w:tc>
      </w:tr>
      <w:tr>
        <w:trPr>
          <w:trHeight w:val="135"/>
        </w:trPr>
        <w:tc>
          <w:tcPr>
            <w:tcW w:w="5120" w:type="dxa"/>
            <w:vAlign w:val="bottom"/>
          </w:tcPr>
          <w:p>
            <w:pPr>
              <w:spacing w:after="0"/>
              <w:rPr>
                <w:sz w:val="11"/>
                <w:szCs w:val="11"/>
                <w:color w:val="auto"/>
              </w:rPr>
            </w:pPr>
          </w:p>
        </w:tc>
        <w:tc>
          <w:tcPr>
            <w:tcW w:w="1660" w:type="dxa"/>
            <w:vAlign w:val="bottom"/>
          </w:tcPr>
          <w:p>
            <w:pPr>
              <w:jc w:val="right"/>
              <w:ind w:right="153"/>
              <w:spacing w:after="0" w:line="136" w:lineRule="exact"/>
              <w:rPr>
                <w:sz w:val="20"/>
                <w:szCs w:val="20"/>
                <w:color w:val="auto"/>
              </w:rPr>
            </w:pPr>
            <w:r>
              <w:rPr>
                <w:rFonts w:ascii="Arial" w:cs="Arial" w:eastAsia="Arial" w:hAnsi="Arial"/>
                <w:sz w:val="12"/>
                <w:szCs w:val="12"/>
                <w:b w:val="1"/>
                <w:bCs w:val="1"/>
                <w:color w:val="477157"/>
              </w:rPr>
              <w:t>Performance</w:t>
            </w:r>
          </w:p>
        </w:tc>
        <w:tc>
          <w:tcPr>
            <w:tcW w:w="1160" w:type="dxa"/>
            <w:vAlign w:val="bottom"/>
          </w:tcPr>
          <w:p>
            <w:pPr>
              <w:jc w:val="right"/>
              <w:ind w:right="153"/>
              <w:spacing w:after="0" w:line="136" w:lineRule="exact"/>
              <w:rPr>
                <w:sz w:val="20"/>
                <w:szCs w:val="20"/>
                <w:color w:val="auto"/>
              </w:rPr>
            </w:pPr>
            <w:r>
              <w:rPr>
                <w:rFonts w:ascii="Arial" w:cs="Arial" w:eastAsia="Arial" w:hAnsi="Arial"/>
                <w:sz w:val="12"/>
                <w:szCs w:val="12"/>
                <w:b w:val="1"/>
                <w:bCs w:val="1"/>
                <w:color w:val="477157"/>
              </w:rPr>
              <w:t>Performance</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b w:val="1"/>
                <w:bCs w:val="1"/>
                <w:color w:val="477157"/>
              </w:rPr>
              <w:t>Performance</w:t>
            </w:r>
          </w:p>
        </w:tc>
      </w:tr>
      <w:tr>
        <w:trPr>
          <w:trHeight w:val="145"/>
        </w:trPr>
        <w:tc>
          <w:tcPr>
            <w:tcW w:w="5120" w:type="dxa"/>
            <w:vAlign w:val="bottom"/>
            <w:tcBorders>
              <w:bottom w:val="single" w:sz="8" w:color="477157"/>
            </w:tcBorders>
          </w:tcPr>
          <w:p>
            <w:pPr>
              <w:spacing w:after="0"/>
              <w:rPr>
                <w:sz w:val="12"/>
                <w:szCs w:val="12"/>
                <w:color w:val="auto"/>
              </w:rPr>
            </w:pPr>
          </w:p>
        </w:tc>
        <w:tc>
          <w:tcPr>
            <w:tcW w:w="1660" w:type="dxa"/>
            <w:vAlign w:val="bottom"/>
            <w:tcBorders>
              <w:bottom w:val="single" w:sz="8" w:color="477157"/>
            </w:tcBorders>
          </w:tcPr>
          <w:p>
            <w:pPr>
              <w:jc w:val="right"/>
              <w:ind w:right="153"/>
              <w:spacing w:after="0"/>
              <w:rPr>
                <w:sz w:val="20"/>
                <w:szCs w:val="20"/>
                <w:color w:val="auto"/>
              </w:rPr>
            </w:pPr>
            <w:r>
              <w:rPr>
                <w:rFonts w:ascii="Arial" w:cs="Arial" w:eastAsia="Arial" w:hAnsi="Arial"/>
                <w:sz w:val="12"/>
                <w:szCs w:val="12"/>
                <w:b w:val="1"/>
                <w:bCs w:val="1"/>
                <w:color w:val="477157"/>
              </w:rPr>
              <w:t>(60% Payment)</w:t>
            </w:r>
          </w:p>
        </w:tc>
        <w:tc>
          <w:tcPr>
            <w:tcW w:w="1160" w:type="dxa"/>
            <w:vAlign w:val="bottom"/>
            <w:tcBorders>
              <w:bottom w:val="single" w:sz="8" w:color="477157"/>
            </w:tcBorders>
          </w:tcPr>
          <w:p>
            <w:pPr>
              <w:jc w:val="right"/>
              <w:ind w:right="153"/>
              <w:spacing w:after="0"/>
              <w:rPr>
                <w:sz w:val="20"/>
                <w:szCs w:val="20"/>
                <w:color w:val="auto"/>
              </w:rPr>
            </w:pPr>
            <w:r>
              <w:rPr>
                <w:rFonts w:ascii="Arial" w:cs="Arial" w:eastAsia="Arial" w:hAnsi="Arial"/>
                <w:sz w:val="12"/>
                <w:szCs w:val="12"/>
                <w:b w:val="1"/>
                <w:bCs w:val="1"/>
                <w:color w:val="477157"/>
                <w:w w:val="99"/>
              </w:rPr>
              <w:t>(100% Payment)</w:t>
            </w:r>
          </w:p>
        </w:tc>
        <w:tc>
          <w:tcPr>
            <w:tcW w:w="940" w:type="dxa"/>
            <w:vAlign w:val="bottom"/>
            <w:tcBorders>
              <w:bottom w:val="single" w:sz="8" w:color="477157"/>
            </w:tcBorders>
          </w:tcPr>
          <w:p>
            <w:pPr>
              <w:jc w:val="right"/>
              <w:spacing w:after="0"/>
              <w:rPr>
                <w:sz w:val="20"/>
                <w:szCs w:val="20"/>
                <w:color w:val="auto"/>
              </w:rPr>
            </w:pPr>
            <w:r>
              <w:rPr>
                <w:rFonts w:ascii="Arial" w:cs="Arial" w:eastAsia="Arial" w:hAnsi="Arial"/>
                <w:sz w:val="12"/>
                <w:szCs w:val="12"/>
                <w:b w:val="1"/>
                <w:bCs w:val="1"/>
                <w:color w:val="477157"/>
                <w:w w:val="99"/>
              </w:rPr>
              <w:t>(200% Payment)</w:t>
            </w:r>
          </w:p>
        </w:tc>
        <w:tc>
          <w:tcPr>
            <w:tcW w:w="120" w:type="dxa"/>
            <w:vAlign w:val="bottom"/>
          </w:tcPr>
          <w:p>
            <w:pPr>
              <w:spacing w:after="0"/>
              <w:rPr>
                <w:sz w:val="12"/>
                <w:szCs w:val="12"/>
                <w:color w:val="auto"/>
              </w:rPr>
            </w:pPr>
          </w:p>
        </w:tc>
      </w:tr>
      <w:tr>
        <w:trPr>
          <w:trHeight w:val="160"/>
        </w:trPr>
        <w:tc>
          <w:tcPr>
            <w:tcW w:w="5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Income from Operations, excluding Depreciation and Amortization</w:t>
            </w:r>
          </w:p>
        </w:tc>
        <w:tc>
          <w:tcPr>
            <w:tcW w:w="16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$ 4.216 billion  $</w:t>
            </w:r>
          </w:p>
        </w:tc>
        <w:tc>
          <w:tcPr>
            <w:tcW w:w="11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4.454 billion  $</w:t>
            </w:r>
          </w:p>
        </w:tc>
        <w:tc>
          <w:tcPr>
            <w:tcW w:w="9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4.610 billion</w:t>
            </w:r>
          </w:p>
        </w:tc>
        <w:tc>
          <w:tcPr>
            <w:tcW w:w="120" w:type="dxa"/>
            <w:vAlign w:val="bottom"/>
          </w:tcPr>
          <w:p>
            <w:pPr>
              <w:spacing w:after="0"/>
              <w:rPr>
                <w:sz w:val="13"/>
                <w:szCs w:val="13"/>
                <w:color w:val="auto"/>
              </w:rPr>
            </w:pPr>
          </w:p>
        </w:tc>
      </w:tr>
      <w:tr>
        <w:trPr>
          <w:trHeight w:val="160"/>
        </w:trPr>
        <w:tc>
          <w:tcPr>
            <w:tcW w:w="5120" w:type="dxa"/>
            <w:vAlign w:val="bottom"/>
          </w:tcPr>
          <w:p>
            <w:pPr>
              <w:spacing w:after="0" w:line="161" w:lineRule="exact"/>
              <w:rPr>
                <w:sz w:val="20"/>
                <w:szCs w:val="20"/>
                <w:color w:val="auto"/>
              </w:rPr>
            </w:pPr>
            <w:r>
              <w:rPr>
                <w:rFonts w:ascii="Arial" w:cs="Arial" w:eastAsia="Arial" w:hAnsi="Arial"/>
                <w:sz w:val="15"/>
                <w:szCs w:val="15"/>
                <w:b w:val="1"/>
                <w:bCs w:val="1"/>
                <w:color w:val="auto"/>
              </w:rPr>
              <w:t>Income from Operations Margin</w:t>
            </w:r>
          </w:p>
        </w:tc>
        <w:tc>
          <w:tcPr>
            <w:tcW w:w="1660" w:type="dxa"/>
            <w:vAlign w:val="bottom"/>
          </w:tcPr>
          <w:p>
            <w:pPr>
              <w:jc w:val="right"/>
              <w:ind w:right="33"/>
              <w:spacing w:after="0" w:line="161" w:lineRule="exact"/>
              <w:rPr>
                <w:sz w:val="20"/>
                <w:szCs w:val="20"/>
                <w:color w:val="auto"/>
              </w:rPr>
            </w:pPr>
            <w:r>
              <w:rPr>
                <w:rFonts w:ascii="Arial" w:cs="Arial" w:eastAsia="Arial" w:hAnsi="Arial"/>
                <w:sz w:val="15"/>
                <w:szCs w:val="15"/>
                <w:color w:val="auto"/>
              </w:rPr>
              <w:t>18.0%</w:t>
            </w:r>
          </w:p>
        </w:tc>
        <w:tc>
          <w:tcPr>
            <w:tcW w:w="1160" w:type="dxa"/>
            <w:vAlign w:val="bottom"/>
          </w:tcPr>
          <w:p>
            <w:pPr>
              <w:jc w:val="right"/>
              <w:ind w:right="33"/>
              <w:spacing w:after="0" w:line="161" w:lineRule="exact"/>
              <w:rPr>
                <w:sz w:val="20"/>
                <w:szCs w:val="20"/>
                <w:color w:val="auto"/>
              </w:rPr>
            </w:pPr>
            <w:r>
              <w:rPr>
                <w:rFonts w:ascii="Arial" w:cs="Arial" w:eastAsia="Arial" w:hAnsi="Arial"/>
                <w:sz w:val="15"/>
                <w:szCs w:val="15"/>
                <w:color w:val="auto"/>
              </w:rPr>
              <w:t>18.3%</w:t>
            </w:r>
          </w:p>
        </w:tc>
        <w:tc>
          <w:tcPr>
            <w:tcW w:w="106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18.6%</w:t>
            </w:r>
          </w:p>
        </w:tc>
      </w:tr>
      <w:tr>
        <w:trPr>
          <w:trHeight w:val="20"/>
        </w:trPr>
        <w:tc>
          <w:tcPr>
            <w:tcW w:w="5120" w:type="dxa"/>
            <w:vAlign w:val="bottom"/>
            <w:shd w:val="clear" w:color="auto" w:fill="477157"/>
          </w:tcPr>
          <w:p>
            <w:pPr>
              <w:spacing w:after="0" w:line="20" w:lineRule="exact"/>
              <w:rPr>
                <w:sz w:val="1"/>
                <w:szCs w:val="1"/>
                <w:color w:val="auto"/>
              </w:rPr>
            </w:pPr>
          </w:p>
        </w:tc>
        <w:tc>
          <w:tcPr>
            <w:tcW w:w="1660" w:type="dxa"/>
            <w:vAlign w:val="bottom"/>
            <w:shd w:val="clear" w:color="auto" w:fill="477157"/>
          </w:tcPr>
          <w:p>
            <w:pPr>
              <w:spacing w:after="0" w:line="20" w:lineRule="exact"/>
              <w:rPr>
                <w:sz w:val="1"/>
                <w:szCs w:val="1"/>
                <w:color w:val="auto"/>
              </w:rPr>
            </w:pPr>
          </w:p>
        </w:tc>
        <w:tc>
          <w:tcPr>
            <w:tcW w:w="1160" w:type="dxa"/>
            <w:vAlign w:val="bottom"/>
            <w:shd w:val="clear" w:color="auto" w:fill="477157"/>
          </w:tcPr>
          <w:p>
            <w:pPr>
              <w:spacing w:after="0" w:line="20" w:lineRule="exact"/>
              <w:rPr>
                <w:sz w:val="1"/>
                <w:szCs w:val="1"/>
                <w:color w:val="auto"/>
              </w:rPr>
            </w:pPr>
          </w:p>
        </w:tc>
        <w:tc>
          <w:tcPr>
            <w:tcW w:w="940" w:type="dxa"/>
            <w:vAlign w:val="bottom"/>
            <w:shd w:val="clear" w:color="auto" w:fill="47715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5120" w:type="dxa"/>
            <w:vAlign w:val="bottom"/>
          </w:tcPr>
          <w:p>
            <w:pPr>
              <w:spacing w:after="0" w:line="161" w:lineRule="exact"/>
              <w:rPr>
                <w:sz w:val="20"/>
                <w:szCs w:val="20"/>
                <w:color w:val="auto"/>
              </w:rPr>
            </w:pPr>
            <w:r>
              <w:rPr>
                <w:rFonts w:ascii="Arial" w:cs="Arial" w:eastAsia="Arial" w:hAnsi="Arial"/>
                <w:sz w:val="15"/>
                <w:szCs w:val="15"/>
                <w:b w:val="1"/>
                <w:bCs w:val="1"/>
                <w:color w:val="auto"/>
              </w:rPr>
              <w:t>Internal Revenue Growth</w:t>
            </w:r>
          </w:p>
        </w:tc>
        <w:tc>
          <w:tcPr>
            <w:tcW w:w="1660" w:type="dxa"/>
            <w:vAlign w:val="bottom"/>
          </w:tcPr>
          <w:p>
            <w:pPr>
              <w:jc w:val="right"/>
              <w:ind w:right="33"/>
              <w:spacing w:after="0" w:line="161" w:lineRule="exact"/>
              <w:rPr>
                <w:sz w:val="20"/>
                <w:szCs w:val="20"/>
                <w:color w:val="auto"/>
              </w:rPr>
            </w:pPr>
            <w:r>
              <w:rPr>
                <w:rFonts w:ascii="Arial" w:cs="Arial" w:eastAsia="Arial" w:hAnsi="Arial"/>
                <w:sz w:val="15"/>
                <w:szCs w:val="15"/>
                <w:color w:val="auto"/>
              </w:rPr>
              <w:t>2.5%</w:t>
            </w:r>
          </w:p>
        </w:tc>
        <w:tc>
          <w:tcPr>
            <w:tcW w:w="1160" w:type="dxa"/>
            <w:vAlign w:val="bottom"/>
          </w:tcPr>
          <w:p>
            <w:pPr>
              <w:jc w:val="right"/>
              <w:ind w:right="33"/>
              <w:spacing w:after="0" w:line="161" w:lineRule="exact"/>
              <w:rPr>
                <w:sz w:val="20"/>
                <w:szCs w:val="20"/>
                <w:color w:val="auto"/>
              </w:rPr>
            </w:pPr>
            <w:r>
              <w:rPr>
                <w:rFonts w:ascii="Arial" w:cs="Arial" w:eastAsia="Arial" w:hAnsi="Arial"/>
                <w:sz w:val="15"/>
                <w:szCs w:val="15"/>
                <w:color w:val="auto"/>
              </w:rPr>
              <w:t>3.9%</w:t>
            </w:r>
          </w:p>
        </w:tc>
        <w:tc>
          <w:tcPr>
            <w:tcW w:w="106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5.3%</w:t>
            </w:r>
          </w:p>
        </w:tc>
      </w:tr>
      <w:tr>
        <w:trPr>
          <w:trHeight w:val="20"/>
        </w:trPr>
        <w:tc>
          <w:tcPr>
            <w:tcW w:w="5120" w:type="dxa"/>
            <w:vAlign w:val="bottom"/>
            <w:shd w:val="clear" w:color="auto" w:fill="477157"/>
          </w:tcPr>
          <w:p>
            <w:pPr>
              <w:spacing w:after="0" w:line="20" w:lineRule="exact"/>
              <w:rPr>
                <w:sz w:val="1"/>
                <w:szCs w:val="1"/>
                <w:color w:val="auto"/>
              </w:rPr>
            </w:pPr>
          </w:p>
        </w:tc>
        <w:tc>
          <w:tcPr>
            <w:tcW w:w="1660" w:type="dxa"/>
            <w:vAlign w:val="bottom"/>
            <w:shd w:val="clear" w:color="auto" w:fill="477157"/>
          </w:tcPr>
          <w:p>
            <w:pPr>
              <w:spacing w:after="0" w:line="20" w:lineRule="exact"/>
              <w:rPr>
                <w:sz w:val="1"/>
                <w:szCs w:val="1"/>
                <w:color w:val="auto"/>
              </w:rPr>
            </w:pPr>
          </w:p>
        </w:tc>
        <w:tc>
          <w:tcPr>
            <w:tcW w:w="1160" w:type="dxa"/>
            <w:vAlign w:val="bottom"/>
            <w:shd w:val="clear" w:color="auto" w:fill="477157"/>
          </w:tcPr>
          <w:p>
            <w:pPr>
              <w:spacing w:after="0" w:line="20" w:lineRule="exact"/>
              <w:rPr>
                <w:sz w:val="1"/>
                <w:szCs w:val="1"/>
                <w:color w:val="auto"/>
              </w:rPr>
            </w:pPr>
          </w:p>
        </w:tc>
        <w:tc>
          <w:tcPr>
            <w:tcW w:w="940" w:type="dxa"/>
            <w:vAlign w:val="bottom"/>
            <w:shd w:val="clear" w:color="auto" w:fill="47715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3"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The following table sets forth the Company's performance achieved on each of the annual cash incentive performance measures and the payout earned on account of such performance.</w:t>
      </w:r>
    </w:p>
    <w:p>
      <w:pPr>
        <w:spacing w:after="0" w:line="214" w:lineRule="exact"/>
        <w:rPr>
          <w:sz w:val="20"/>
          <w:szCs w:val="20"/>
          <w:color w:val="auto"/>
        </w:rPr>
      </w:pPr>
    </w:p>
    <w:tbl>
      <w:tblPr>
        <w:tblLayout w:type="fixed"/>
        <w:tblInd w:w="224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477157"/>
                <w:w w:val="99"/>
              </w:rPr>
              <w:t>Income from</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tcPr>
          <w:p>
            <w:pPr>
              <w:jc w:val="center"/>
              <w:ind w:left="518"/>
              <w:spacing w:after="0" w:line="136" w:lineRule="exact"/>
              <w:rPr>
                <w:sz w:val="20"/>
                <w:szCs w:val="20"/>
                <w:color w:val="auto"/>
              </w:rPr>
            </w:pPr>
            <w:r>
              <w:rPr>
                <w:rFonts w:ascii="Arial" w:cs="Arial" w:eastAsia="Arial" w:hAnsi="Arial"/>
                <w:sz w:val="12"/>
                <w:szCs w:val="12"/>
                <w:b w:val="1"/>
                <w:bCs w:val="1"/>
                <w:color w:val="477157"/>
                <w:w w:val="99"/>
              </w:rPr>
              <w:t>Income from Operations,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120"/>
              <w:spacing w:after="0" w:line="136" w:lineRule="exact"/>
              <w:rPr>
                <w:sz w:val="20"/>
                <w:szCs w:val="20"/>
                <w:color w:val="auto"/>
              </w:rPr>
            </w:pPr>
            <w:r>
              <w:rPr>
                <w:rFonts w:ascii="Arial" w:cs="Arial" w:eastAsia="Arial" w:hAnsi="Arial"/>
                <w:sz w:val="12"/>
                <w:szCs w:val="12"/>
                <w:b w:val="1"/>
                <w:bCs w:val="1"/>
                <w:color w:val="477157"/>
              </w:rPr>
              <w:t>Operations</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jc w:val="center"/>
              <w:ind w:left="498"/>
              <w:spacing w:after="0" w:line="136" w:lineRule="exact"/>
              <w:rPr>
                <w:sz w:val="20"/>
                <w:szCs w:val="20"/>
                <w:color w:val="auto"/>
              </w:rPr>
            </w:pPr>
            <w:r>
              <w:rPr>
                <w:rFonts w:ascii="Arial" w:cs="Arial" w:eastAsia="Arial" w:hAnsi="Arial"/>
                <w:sz w:val="12"/>
                <w:szCs w:val="12"/>
                <w:b w:val="1"/>
                <w:bCs w:val="1"/>
                <w:color w:val="477157"/>
                <w:w w:val="99"/>
              </w:rPr>
              <w:t>excluding Depreciation</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120"/>
              <w:spacing w:after="0" w:line="136" w:lineRule="exact"/>
              <w:rPr>
                <w:sz w:val="20"/>
                <w:szCs w:val="20"/>
                <w:color w:val="auto"/>
              </w:rPr>
            </w:pPr>
            <w:r>
              <w:rPr>
                <w:rFonts w:ascii="Arial" w:cs="Arial" w:eastAsia="Arial" w:hAnsi="Arial"/>
                <w:sz w:val="12"/>
                <w:szCs w:val="12"/>
                <w:b w:val="1"/>
                <w:bCs w:val="1"/>
                <w:color w:val="477157"/>
              </w:rPr>
              <w:t>Margin</w:t>
            </w:r>
          </w:p>
        </w:tc>
        <w:tc>
          <w:tcPr>
            <w:tcW w:w="1300" w:type="dxa"/>
            <w:vAlign w:val="bottom"/>
            <w:gridSpan w:val="3"/>
          </w:tcPr>
          <w:p>
            <w:pPr>
              <w:jc w:val="center"/>
              <w:ind w:right="160"/>
              <w:spacing w:after="0" w:line="136" w:lineRule="exact"/>
              <w:rPr>
                <w:sz w:val="20"/>
                <w:szCs w:val="20"/>
                <w:color w:val="auto"/>
              </w:rPr>
            </w:pPr>
            <w:r>
              <w:rPr>
                <w:rFonts w:ascii="Arial" w:cs="Arial" w:eastAsia="Arial" w:hAnsi="Arial"/>
                <w:sz w:val="12"/>
                <w:szCs w:val="12"/>
                <w:b w:val="1"/>
                <w:bCs w:val="1"/>
                <w:color w:val="477157"/>
              </w:rPr>
              <w:t>Internal Revenue</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jc w:val="center"/>
              <w:ind w:left="518"/>
              <w:spacing w:after="0" w:line="136" w:lineRule="exact"/>
              <w:rPr>
                <w:sz w:val="20"/>
                <w:szCs w:val="20"/>
                <w:color w:val="auto"/>
              </w:rPr>
            </w:pPr>
            <w:r>
              <w:rPr>
                <w:rFonts w:ascii="Arial" w:cs="Arial" w:eastAsia="Arial" w:hAnsi="Arial"/>
                <w:sz w:val="12"/>
                <w:szCs w:val="12"/>
                <w:b w:val="1"/>
                <w:bCs w:val="1"/>
                <w:color w:val="477157"/>
                <w:w w:val="99"/>
              </w:rPr>
              <w:t>and Amortization</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120"/>
              <w:spacing w:after="0" w:line="136" w:lineRule="exact"/>
              <w:rPr>
                <w:sz w:val="20"/>
                <w:szCs w:val="20"/>
                <w:color w:val="auto"/>
              </w:rPr>
            </w:pPr>
            <w:r>
              <w:rPr>
                <w:rFonts w:ascii="Arial" w:cs="Arial" w:eastAsia="Arial" w:hAnsi="Arial"/>
                <w:sz w:val="12"/>
                <w:szCs w:val="12"/>
                <w:b w:val="1"/>
                <w:bCs w:val="1"/>
                <w:color w:val="477157"/>
                <w:w w:val="99"/>
              </w:rPr>
              <w:t>(weighted</w:t>
            </w:r>
          </w:p>
        </w:tc>
        <w:tc>
          <w:tcPr>
            <w:tcW w:w="1300" w:type="dxa"/>
            <w:vAlign w:val="bottom"/>
            <w:gridSpan w:val="3"/>
          </w:tcPr>
          <w:p>
            <w:pPr>
              <w:jc w:val="center"/>
              <w:ind w:right="160"/>
              <w:spacing w:after="0" w:line="136" w:lineRule="exact"/>
              <w:rPr>
                <w:sz w:val="20"/>
                <w:szCs w:val="20"/>
                <w:color w:val="auto"/>
              </w:rPr>
            </w:pPr>
            <w:r>
              <w:rPr>
                <w:rFonts w:ascii="Arial" w:cs="Arial" w:eastAsia="Arial" w:hAnsi="Arial"/>
                <w:sz w:val="12"/>
                <w:szCs w:val="12"/>
                <w:b w:val="1"/>
                <w:bCs w:val="1"/>
                <w:color w:val="477157"/>
                <w:w w:val="99"/>
              </w:rPr>
              <w:t>Growth</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477157"/>
              </w:rPr>
              <w:t>Total</w:t>
            </w:r>
          </w:p>
        </w:tc>
        <w:tc>
          <w:tcPr>
            <w:tcW w:w="0" w:type="dxa"/>
            <w:vAlign w:val="bottom"/>
          </w:tcPr>
          <w:p>
            <w:pPr>
              <w:spacing w:after="0"/>
              <w:rPr>
                <w:sz w:val="1"/>
                <w:szCs w:val="1"/>
                <w:color w:val="auto"/>
              </w:rPr>
            </w:pPr>
          </w:p>
        </w:tc>
      </w:tr>
      <w:tr>
        <w:trPr>
          <w:trHeight w:val="68"/>
        </w:trPr>
        <w:tc>
          <w:tcPr>
            <w:tcW w:w="2360" w:type="dxa"/>
            <w:vAlign w:val="bottom"/>
            <w:vMerge w:val="restart"/>
          </w:tcPr>
          <w:p>
            <w:pPr>
              <w:jc w:val="center"/>
              <w:ind w:left="518"/>
              <w:spacing w:after="0"/>
              <w:rPr>
                <w:sz w:val="20"/>
                <w:szCs w:val="20"/>
                <w:color w:val="auto"/>
              </w:rPr>
            </w:pPr>
            <w:r>
              <w:rPr>
                <w:rFonts w:ascii="Arial" w:cs="Arial" w:eastAsia="Arial" w:hAnsi="Arial"/>
                <w:sz w:val="12"/>
                <w:szCs w:val="12"/>
                <w:b w:val="1"/>
                <w:bCs w:val="1"/>
                <w:color w:val="477157"/>
                <w:w w:val="98"/>
              </w:rPr>
              <w:t>(weighted 50%)</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center"/>
              <w:ind w:left="378"/>
              <w:spacing w:after="0"/>
              <w:rPr>
                <w:sz w:val="20"/>
                <w:szCs w:val="20"/>
                <w:color w:val="auto"/>
              </w:rPr>
            </w:pPr>
            <w:r>
              <w:rPr>
                <w:rFonts w:ascii="Arial" w:cs="Arial" w:eastAsia="Arial" w:hAnsi="Arial"/>
                <w:sz w:val="12"/>
                <w:szCs w:val="12"/>
                <w:b w:val="1"/>
                <w:bCs w:val="1"/>
                <w:color w:val="477157"/>
                <w:w w:val="99"/>
              </w:rPr>
              <w:t>25%)</w:t>
            </w: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3"/>
            <w:vMerge w:val="restart"/>
          </w:tcPr>
          <w:p>
            <w:pPr>
              <w:jc w:val="center"/>
              <w:ind w:right="160"/>
              <w:spacing w:after="0"/>
              <w:rPr>
                <w:sz w:val="20"/>
                <w:szCs w:val="20"/>
                <w:color w:val="auto"/>
              </w:rPr>
            </w:pPr>
            <w:r>
              <w:rPr>
                <w:rFonts w:ascii="Arial" w:cs="Arial" w:eastAsia="Arial" w:hAnsi="Arial"/>
                <w:sz w:val="12"/>
                <w:szCs w:val="12"/>
                <w:b w:val="1"/>
                <w:bCs w:val="1"/>
                <w:color w:val="477157"/>
                <w:w w:val="98"/>
              </w:rPr>
              <w:t>(weighted 25%)</w:t>
            </w: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3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120" w:type="dxa"/>
            <w:vAlign w:val="bottom"/>
            <w:gridSpan w:val="2"/>
            <w:vMerge w:val="restart"/>
          </w:tcPr>
          <w:p>
            <w:pPr>
              <w:jc w:val="right"/>
              <w:ind w:right="140"/>
              <w:spacing w:after="0" w:line="136" w:lineRule="exact"/>
              <w:rPr>
                <w:sz w:val="20"/>
                <w:szCs w:val="20"/>
                <w:color w:val="auto"/>
              </w:rPr>
            </w:pPr>
            <w:r>
              <w:rPr>
                <w:rFonts w:ascii="Arial" w:cs="Arial" w:eastAsia="Arial" w:hAnsi="Arial"/>
                <w:sz w:val="12"/>
                <w:szCs w:val="12"/>
                <w:b w:val="1"/>
                <w:bCs w:val="1"/>
                <w:color w:val="477157"/>
              </w:rPr>
              <w:t>Payout Earned</w:t>
            </w:r>
          </w:p>
        </w:tc>
        <w:tc>
          <w:tcPr>
            <w:tcW w:w="0" w:type="dxa"/>
            <w:vAlign w:val="bottom"/>
          </w:tcPr>
          <w:p>
            <w:pPr>
              <w:spacing w:after="0"/>
              <w:rPr>
                <w:sz w:val="1"/>
                <w:szCs w:val="1"/>
                <w:color w:val="auto"/>
              </w:rPr>
            </w:pPr>
          </w:p>
        </w:tc>
      </w:tr>
      <w:tr>
        <w:trPr>
          <w:trHeight w:val="38"/>
        </w:trPr>
        <w:tc>
          <w:tcPr>
            <w:tcW w:w="236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tcPr>
          <w:p>
            <w:pPr>
              <w:spacing w:after="0"/>
              <w:rPr>
                <w:sz w:val="11"/>
                <w:szCs w:val="11"/>
                <w:color w:val="auto"/>
              </w:rPr>
            </w:pPr>
          </w:p>
        </w:tc>
        <w:tc>
          <w:tcPr>
            <w:tcW w:w="700" w:type="dxa"/>
            <w:vAlign w:val="bottom"/>
            <w:gridSpan w:val="2"/>
          </w:tcPr>
          <w:p>
            <w:pPr>
              <w:jc w:val="right"/>
              <w:ind w:right="120"/>
              <w:spacing w:after="0" w:line="136" w:lineRule="exact"/>
              <w:rPr>
                <w:sz w:val="20"/>
                <w:szCs w:val="20"/>
                <w:color w:val="auto"/>
              </w:rPr>
            </w:pPr>
            <w:r>
              <w:rPr>
                <w:rFonts w:ascii="Arial" w:cs="Arial" w:eastAsia="Arial" w:hAnsi="Arial"/>
                <w:sz w:val="12"/>
                <w:szCs w:val="12"/>
                <w:b w:val="1"/>
                <w:bCs w:val="1"/>
                <w:color w:val="477157"/>
              </w:rPr>
              <w:t>Payout</w:t>
            </w:r>
          </w:p>
        </w:tc>
        <w:tc>
          <w:tcPr>
            <w:tcW w:w="720" w:type="dxa"/>
            <w:vAlign w:val="bottom"/>
          </w:tcPr>
          <w:p>
            <w:pPr>
              <w:spacing w:after="0"/>
              <w:rPr>
                <w:sz w:val="11"/>
                <w:szCs w:val="11"/>
                <w:color w:val="auto"/>
              </w:rPr>
            </w:pPr>
          </w:p>
        </w:tc>
        <w:tc>
          <w:tcPr>
            <w:tcW w:w="560" w:type="dxa"/>
            <w:vAlign w:val="bottom"/>
            <w:gridSpan w:val="2"/>
          </w:tcPr>
          <w:p>
            <w:pPr>
              <w:jc w:val="right"/>
              <w:ind w:right="140"/>
              <w:spacing w:after="0" w:line="136" w:lineRule="exact"/>
              <w:rPr>
                <w:sz w:val="20"/>
                <w:szCs w:val="20"/>
                <w:color w:val="auto"/>
              </w:rPr>
            </w:pPr>
            <w:r>
              <w:rPr>
                <w:rFonts w:ascii="Arial" w:cs="Arial" w:eastAsia="Arial" w:hAnsi="Arial"/>
                <w:sz w:val="12"/>
                <w:szCs w:val="12"/>
                <w:b w:val="1"/>
                <w:bCs w:val="1"/>
                <w:color w:val="477157"/>
                <w:w w:val="99"/>
              </w:rPr>
              <w:t>Payout</w:t>
            </w:r>
          </w:p>
        </w:tc>
        <w:tc>
          <w:tcPr>
            <w:tcW w:w="660" w:type="dxa"/>
            <w:vAlign w:val="bottom"/>
          </w:tcPr>
          <w:p>
            <w:pPr>
              <w:spacing w:after="0"/>
              <w:rPr>
                <w:sz w:val="11"/>
                <w:szCs w:val="11"/>
                <w:color w:val="auto"/>
              </w:rPr>
            </w:pPr>
          </w:p>
        </w:tc>
        <w:tc>
          <w:tcPr>
            <w:tcW w:w="6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477157"/>
              </w:rPr>
              <w:t>Payout</w:t>
            </w:r>
          </w:p>
        </w:tc>
        <w:tc>
          <w:tcPr>
            <w:tcW w:w="1120" w:type="dxa"/>
            <w:vAlign w:val="bottom"/>
            <w:gridSpan w:val="2"/>
          </w:tcPr>
          <w:p>
            <w:pPr>
              <w:jc w:val="right"/>
              <w:ind w:right="140"/>
              <w:spacing w:after="0" w:line="136" w:lineRule="exact"/>
              <w:rPr>
                <w:sz w:val="20"/>
                <w:szCs w:val="20"/>
                <w:color w:val="auto"/>
              </w:rPr>
            </w:pPr>
            <w:r>
              <w:rPr>
                <w:rFonts w:ascii="Arial" w:cs="Arial" w:eastAsia="Arial" w:hAnsi="Arial"/>
                <w:sz w:val="12"/>
                <w:szCs w:val="12"/>
                <w:b w:val="1"/>
                <w:bCs w:val="1"/>
                <w:color w:val="477157"/>
              </w:rPr>
              <w:t>(as a percentage</w:t>
            </w:r>
          </w:p>
        </w:tc>
        <w:tc>
          <w:tcPr>
            <w:tcW w:w="0" w:type="dxa"/>
            <w:vAlign w:val="bottom"/>
          </w:tcPr>
          <w:p>
            <w:pPr>
              <w:spacing w:after="0"/>
              <w:rPr>
                <w:sz w:val="1"/>
                <w:szCs w:val="1"/>
                <w:color w:val="auto"/>
              </w:rPr>
            </w:pPr>
          </w:p>
        </w:tc>
      </w:tr>
      <w:tr>
        <w:trPr>
          <w:trHeight w:val="145"/>
        </w:trPr>
        <w:tc>
          <w:tcPr>
            <w:tcW w:w="2360" w:type="dxa"/>
            <w:vAlign w:val="bottom"/>
          </w:tcPr>
          <w:p>
            <w:pPr>
              <w:spacing w:after="0"/>
              <w:rPr>
                <w:sz w:val="20"/>
                <w:szCs w:val="20"/>
                <w:color w:val="auto"/>
              </w:rPr>
            </w:pPr>
            <w:r>
              <w:rPr>
                <w:rFonts w:ascii="Arial" w:cs="Arial" w:eastAsia="Arial" w:hAnsi="Arial"/>
                <w:sz w:val="12"/>
                <w:szCs w:val="12"/>
                <w:b w:val="1"/>
                <w:bCs w:val="1"/>
                <w:color w:val="477157"/>
              </w:rPr>
              <w:t>Actual</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477157"/>
              </w:rPr>
              <w:t>Earned</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477157"/>
              </w:rPr>
              <w:t>Actual</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477157"/>
                <w:w w:val="98"/>
              </w:rPr>
              <w:t>Earned</w:t>
            </w:r>
          </w:p>
        </w:tc>
        <w:tc>
          <w:tcPr>
            <w:tcW w:w="660" w:type="dxa"/>
            <w:vAlign w:val="bottom"/>
          </w:tcPr>
          <w:p>
            <w:pPr>
              <w:jc w:val="right"/>
              <w:ind w:right="137"/>
              <w:spacing w:after="0"/>
              <w:rPr>
                <w:sz w:val="20"/>
                <w:szCs w:val="20"/>
                <w:color w:val="auto"/>
              </w:rPr>
            </w:pPr>
            <w:r>
              <w:rPr>
                <w:rFonts w:ascii="Arial" w:cs="Arial" w:eastAsia="Arial" w:hAnsi="Arial"/>
                <w:sz w:val="12"/>
                <w:szCs w:val="12"/>
                <w:b w:val="1"/>
                <w:bCs w:val="1"/>
                <w:color w:val="477157"/>
              </w:rPr>
              <w:t>Actual</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477157"/>
              </w:rPr>
              <w:t>Earned</w:t>
            </w:r>
          </w:p>
        </w:tc>
        <w:tc>
          <w:tcPr>
            <w:tcW w:w="11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477157"/>
              </w:rPr>
              <w:t>of Target)</w:t>
            </w:r>
          </w:p>
        </w:tc>
        <w:tc>
          <w:tcPr>
            <w:tcW w:w="0" w:type="dxa"/>
            <w:vAlign w:val="bottom"/>
          </w:tcPr>
          <w:p>
            <w:pPr>
              <w:spacing w:after="0"/>
              <w:rPr>
                <w:sz w:val="1"/>
                <w:szCs w:val="1"/>
                <w:color w:val="auto"/>
              </w:rPr>
            </w:pPr>
          </w:p>
        </w:tc>
      </w:tr>
      <w:tr>
        <w:trPr>
          <w:trHeight w:val="20"/>
        </w:trPr>
        <w:tc>
          <w:tcPr>
            <w:tcW w:w="2360" w:type="dxa"/>
            <w:vAlign w:val="bottom"/>
            <w:shd w:val="clear" w:color="auto" w:fill="477157"/>
          </w:tcPr>
          <w:p>
            <w:pPr>
              <w:spacing w:after="0" w:line="20" w:lineRule="exact"/>
              <w:rPr>
                <w:sz w:val="1"/>
                <w:szCs w:val="1"/>
                <w:color w:val="auto"/>
              </w:rPr>
            </w:pPr>
          </w:p>
        </w:tc>
        <w:tc>
          <w:tcPr>
            <w:tcW w:w="700" w:type="dxa"/>
            <w:vAlign w:val="bottom"/>
            <w:gridSpan w:val="2"/>
            <w:shd w:val="clear" w:color="auto" w:fill="477157"/>
          </w:tcPr>
          <w:p>
            <w:pPr>
              <w:spacing w:after="0" w:line="20" w:lineRule="exact"/>
              <w:rPr>
                <w:sz w:val="1"/>
                <w:szCs w:val="1"/>
                <w:color w:val="auto"/>
              </w:rPr>
            </w:pPr>
          </w:p>
        </w:tc>
        <w:tc>
          <w:tcPr>
            <w:tcW w:w="720" w:type="dxa"/>
            <w:vAlign w:val="bottom"/>
            <w:shd w:val="clear" w:color="auto" w:fill="477157"/>
          </w:tcPr>
          <w:p>
            <w:pPr>
              <w:spacing w:after="0" w:line="20" w:lineRule="exact"/>
              <w:rPr>
                <w:sz w:val="1"/>
                <w:szCs w:val="1"/>
                <w:color w:val="auto"/>
              </w:rPr>
            </w:pPr>
          </w:p>
        </w:tc>
        <w:tc>
          <w:tcPr>
            <w:tcW w:w="560" w:type="dxa"/>
            <w:vAlign w:val="bottom"/>
            <w:gridSpan w:val="2"/>
            <w:shd w:val="clear" w:color="auto" w:fill="477157"/>
          </w:tcPr>
          <w:p>
            <w:pPr>
              <w:spacing w:after="0" w:line="20" w:lineRule="exact"/>
              <w:rPr>
                <w:sz w:val="1"/>
                <w:szCs w:val="1"/>
                <w:color w:val="auto"/>
              </w:rPr>
            </w:pPr>
          </w:p>
        </w:tc>
        <w:tc>
          <w:tcPr>
            <w:tcW w:w="660" w:type="dxa"/>
            <w:vAlign w:val="bottom"/>
            <w:shd w:val="clear" w:color="auto" w:fill="477157"/>
          </w:tcPr>
          <w:p>
            <w:pPr>
              <w:spacing w:after="0" w:line="20" w:lineRule="exact"/>
              <w:rPr>
                <w:sz w:val="1"/>
                <w:szCs w:val="1"/>
                <w:color w:val="auto"/>
              </w:rPr>
            </w:pPr>
          </w:p>
        </w:tc>
        <w:tc>
          <w:tcPr>
            <w:tcW w:w="640" w:type="dxa"/>
            <w:vAlign w:val="bottom"/>
            <w:gridSpan w:val="2"/>
            <w:shd w:val="clear" w:color="auto" w:fill="477157"/>
          </w:tcPr>
          <w:p>
            <w:pPr>
              <w:spacing w:after="0" w:line="20" w:lineRule="exact"/>
              <w:rPr>
                <w:sz w:val="1"/>
                <w:szCs w:val="1"/>
                <w:color w:val="auto"/>
              </w:rPr>
            </w:pPr>
          </w:p>
        </w:tc>
        <w:tc>
          <w:tcPr>
            <w:tcW w:w="980" w:type="dxa"/>
            <w:vAlign w:val="bottom"/>
            <w:shd w:val="clear" w:color="auto" w:fill="47715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360" w:type="dxa"/>
            <w:vAlign w:val="bottom"/>
          </w:tcPr>
          <w:p>
            <w:pPr>
              <w:spacing w:after="0" w:line="161" w:lineRule="exact"/>
              <w:rPr>
                <w:sz w:val="20"/>
                <w:szCs w:val="20"/>
                <w:color w:val="auto"/>
              </w:rPr>
            </w:pPr>
            <w:r>
              <w:rPr>
                <w:rFonts w:ascii="Arial" w:cs="Arial" w:eastAsia="Arial" w:hAnsi="Arial"/>
                <w:sz w:val="15"/>
                <w:szCs w:val="15"/>
                <w:color w:val="auto"/>
              </w:rPr>
              <w:t>$4.360 billion</w:t>
            </w:r>
          </w:p>
        </w:tc>
        <w:tc>
          <w:tcPr>
            <w:tcW w:w="70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84.33%</w:t>
            </w:r>
          </w:p>
        </w:tc>
        <w:tc>
          <w:tcPr>
            <w:tcW w:w="720" w:type="dxa"/>
            <w:vAlign w:val="bottom"/>
          </w:tcPr>
          <w:p>
            <w:pPr>
              <w:ind w:left="100"/>
              <w:spacing w:after="0" w:line="161" w:lineRule="exact"/>
              <w:rPr>
                <w:sz w:val="20"/>
                <w:szCs w:val="20"/>
                <w:color w:val="auto"/>
              </w:rPr>
            </w:pPr>
            <w:r>
              <w:rPr>
                <w:rFonts w:ascii="Arial" w:cs="Arial" w:eastAsia="Arial" w:hAnsi="Arial"/>
                <w:sz w:val="15"/>
                <w:szCs w:val="15"/>
                <w:color w:val="auto"/>
              </w:rPr>
              <w:t>18.03%</w:t>
            </w:r>
          </w:p>
        </w:tc>
        <w:tc>
          <w:tcPr>
            <w:tcW w:w="56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64.22%</w:t>
            </w:r>
          </w:p>
        </w:tc>
        <w:tc>
          <w:tcPr>
            <w:tcW w:w="660" w:type="dxa"/>
            <w:vAlign w:val="bottom"/>
          </w:tcPr>
          <w:p>
            <w:pPr>
              <w:jc w:val="right"/>
              <w:spacing w:after="0" w:line="161" w:lineRule="exact"/>
              <w:rPr>
                <w:sz w:val="20"/>
                <w:szCs w:val="20"/>
                <w:color w:val="auto"/>
              </w:rPr>
            </w:pPr>
            <w:r>
              <w:rPr>
                <w:rFonts w:ascii="Arial" w:cs="Arial" w:eastAsia="Arial" w:hAnsi="Arial"/>
                <w:sz w:val="15"/>
                <w:szCs w:val="15"/>
                <w:color w:val="auto"/>
              </w:rPr>
              <w:t>5.4%</w:t>
            </w:r>
          </w:p>
        </w:tc>
        <w:tc>
          <w:tcPr>
            <w:tcW w:w="640" w:type="dxa"/>
            <w:vAlign w:val="bottom"/>
            <w:gridSpan w:val="2"/>
          </w:tcPr>
          <w:p>
            <w:pPr>
              <w:jc w:val="right"/>
              <w:ind w:right="20"/>
              <w:spacing w:after="0" w:line="161" w:lineRule="exact"/>
              <w:rPr>
                <w:sz w:val="20"/>
                <w:szCs w:val="20"/>
                <w:color w:val="auto"/>
              </w:rPr>
            </w:pPr>
            <w:r>
              <w:rPr>
                <w:rFonts w:ascii="Arial" w:cs="Arial" w:eastAsia="Arial" w:hAnsi="Arial"/>
                <w:sz w:val="15"/>
                <w:szCs w:val="15"/>
                <w:color w:val="auto"/>
              </w:rPr>
              <w:t>165%</w:t>
            </w:r>
          </w:p>
        </w:tc>
        <w:tc>
          <w:tcPr>
            <w:tcW w:w="112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99.47%</w:t>
            </w:r>
          </w:p>
        </w:tc>
        <w:tc>
          <w:tcPr>
            <w:tcW w:w="0" w:type="dxa"/>
            <w:vAlign w:val="bottom"/>
          </w:tcPr>
          <w:p>
            <w:pPr>
              <w:spacing w:after="0"/>
              <w:rPr>
                <w:sz w:val="1"/>
                <w:szCs w:val="1"/>
                <w:color w:val="auto"/>
              </w:rPr>
            </w:pPr>
          </w:p>
        </w:tc>
      </w:tr>
      <w:tr>
        <w:trPr>
          <w:trHeight w:val="20"/>
        </w:trPr>
        <w:tc>
          <w:tcPr>
            <w:tcW w:w="2360" w:type="dxa"/>
            <w:vAlign w:val="bottom"/>
            <w:shd w:val="clear" w:color="auto" w:fill="477157"/>
          </w:tcPr>
          <w:p>
            <w:pPr>
              <w:spacing w:after="0" w:line="20" w:lineRule="exact"/>
              <w:rPr>
                <w:sz w:val="1"/>
                <w:szCs w:val="1"/>
                <w:color w:val="auto"/>
              </w:rPr>
            </w:pPr>
          </w:p>
        </w:tc>
        <w:tc>
          <w:tcPr>
            <w:tcW w:w="580" w:type="dxa"/>
            <w:vAlign w:val="bottom"/>
            <w:shd w:val="clear" w:color="auto" w:fill="477157"/>
          </w:tcPr>
          <w:p>
            <w:pPr>
              <w:spacing w:after="0" w:line="20" w:lineRule="exact"/>
              <w:rPr>
                <w:sz w:val="1"/>
                <w:szCs w:val="1"/>
                <w:color w:val="auto"/>
              </w:rPr>
            </w:pPr>
          </w:p>
        </w:tc>
        <w:tc>
          <w:tcPr>
            <w:tcW w:w="120" w:type="dxa"/>
            <w:vAlign w:val="bottom"/>
            <w:shd w:val="clear" w:color="auto" w:fill="477157"/>
          </w:tcPr>
          <w:p>
            <w:pPr>
              <w:spacing w:after="0" w:line="20" w:lineRule="exact"/>
              <w:rPr>
                <w:sz w:val="1"/>
                <w:szCs w:val="1"/>
                <w:color w:val="auto"/>
              </w:rPr>
            </w:pPr>
          </w:p>
        </w:tc>
        <w:tc>
          <w:tcPr>
            <w:tcW w:w="720" w:type="dxa"/>
            <w:vAlign w:val="bottom"/>
            <w:shd w:val="clear" w:color="auto" w:fill="477157"/>
          </w:tcPr>
          <w:p>
            <w:pPr>
              <w:spacing w:after="0" w:line="20" w:lineRule="exact"/>
              <w:rPr>
                <w:sz w:val="1"/>
                <w:szCs w:val="1"/>
                <w:color w:val="auto"/>
              </w:rPr>
            </w:pPr>
          </w:p>
        </w:tc>
        <w:tc>
          <w:tcPr>
            <w:tcW w:w="420" w:type="dxa"/>
            <w:vAlign w:val="bottom"/>
            <w:shd w:val="clear" w:color="auto" w:fill="477157"/>
          </w:tcPr>
          <w:p>
            <w:pPr>
              <w:spacing w:after="0" w:line="20" w:lineRule="exact"/>
              <w:rPr>
                <w:sz w:val="1"/>
                <w:szCs w:val="1"/>
                <w:color w:val="auto"/>
              </w:rPr>
            </w:pPr>
          </w:p>
        </w:tc>
        <w:tc>
          <w:tcPr>
            <w:tcW w:w="140" w:type="dxa"/>
            <w:vAlign w:val="bottom"/>
            <w:shd w:val="clear" w:color="auto" w:fill="477157"/>
          </w:tcPr>
          <w:p>
            <w:pPr>
              <w:spacing w:after="0" w:line="20" w:lineRule="exact"/>
              <w:rPr>
                <w:sz w:val="1"/>
                <w:szCs w:val="1"/>
                <w:color w:val="auto"/>
              </w:rPr>
            </w:pPr>
          </w:p>
        </w:tc>
        <w:tc>
          <w:tcPr>
            <w:tcW w:w="660" w:type="dxa"/>
            <w:vAlign w:val="bottom"/>
            <w:shd w:val="clear" w:color="auto" w:fill="477157"/>
          </w:tcPr>
          <w:p>
            <w:pPr>
              <w:spacing w:after="0" w:line="20" w:lineRule="exact"/>
              <w:rPr>
                <w:sz w:val="1"/>
                <w:szCs w:val="1"/>
                <w:color w:val="auto"/>
              </w:rPr>
            </w:pPr>
          </w:p>
        </w:tc>
        <w:tc>
          <w:tcPr>
            <w:tcW w:w="480" w:type="dxa"/>
            <w:vAlign w:val="bottom"/>
            <w:shd w:val="clear" w:color="auto" w:fill="477157"/>
          </w:tcPr>
          <w:p>
            <w:pPr>
              <w:spacing w:after="0" w:line="20" w:lineRule="exact"/>
              <w:rPr>
                <w:sz w:val="1"/>
                <w:szCs w:val="1"/>
                <w:color w:val="auto"/>
              </w:rPr>
            </w:pPr>
          </w:p>
        </w:tc>
        <w:tc>
          <w:tcPr>
            <w:tcW w:w="160" w:type="dxa"/>
            <w:vAlign w:val="bottom"/>
            <w:shd w:val="clear" w:color="auto" w:fill="477157"/>
          </w:tcPr>
          <w:p>
            <w:pPr>
              <w:spacing w:after="0" w:line="20" w:lineRule="exact"/>
              <w:rPr>
                <w:sz w:val="1"/>
                <w:szCs w:val="1"/>
                <w:color w:val="auto"/>
              </w:rPr>
            </w:pPr>
          </w:p>
        </w:tc>
        <w:tc>
          <w:tcPr>
            <w:tcW w:w="980" w:type="dxa"/>
            <w:vAlign w:val="bottom"/>
            <w:shd w:val="clear" w:color="auto" w:fill="47715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2" w:right="31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As discussed above, the MD&amp;C Committee has discretion to adjust the performance calculations for unusual or otherwise non-operational matters in line with its policy on calculation adjustments. The calculation of 2019 annual cash incentive performance measures was generally made on a basis consistent with the Company's reporting of its 2019 financial results, including exclusion of $33 million in costs related to the planned acquisition of Advanced Disposal Services, Inc. Additionally, actual performance on the internal revenue growth measure would have yielded a payout of 200% for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metric, but management proposed, and the MD&amp;C Committee approved, a reduced payout of 165% on this metric to more fairly reward actual achievement and to better calibrate this new performance measure.</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Target annual cash incentives are a specified percentage of the executives' base salary. The following table shows each named executive's target percentage of base salary for 2019 and annual cash incentive for 2019 paid in March 2020.</w:t>
      </w:r>
    </w:p>
    <w:p>
      <w:pPr>
        <w:spacing w:after="0" w:line="303"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tbl>
      <w:tblPr>
        <w:tblLayout w:type="fixed"/>
        <w:tblInd w:w="1680" w:type="dxa"/>
        <w:tblCellMar>
          <w:top w:w="0" w:type="dxa"/>
          <w:left w:w="0" w:type="dxa"/>
          <w:bottom w:w="0" w:type="dxa"/>
          <w:right w:w="0" w:type="dxa"/>
        </w:tblCellMar>
      </w:tblPr>
      <w:tr>
        <w:trPr>
          <w:trHeight w:val="145"/>
        </w:trPr>
        <w:tc>
          <w:tcPr>
            <w:tcW w:w="3240" w:type="dxa"/>
            <w:vAlign w:val="bottom"/>
          </w:tcPr>
          <w:p>
            <w:pPr>
              <w:spacing w:after="0"/>
              <w:rPr>
                <w:sz w:val="12"/>
                <w:szCs w:val="12"/>
                <w:color w:val="auto"/>
              </w:rPr>
            </w:pPr>
          </w:p>
        </w:tc>
        <w:tc>
          <w:tcPr>
            <w:tcW w:w="2920" w:type="dxa"/>
            <w:vAlign w:val="bottom"/>
          </w:tcPr>
          <w:p>
            <w:pPr>
              <w:jc w:val="right"/>
              <w:ind w:right="11"/>
              <w:spacing w:after="0"/>
              <w:rPr>
                <w:sz w:val="20"/>
                <w:szCs w:val="20"/>
                <w:color w:val="auto"/>
              </w:rPr>
            </w:pPr>
            <w:r>
              <w:rPr>
                <w:rFonts w:ascii="Arial" w:cs="Arial" w:eastAsia="Arial" w:hAnsi="Arial"/>
                <w:sz w:val="12"/>
                <w:szCs w:val="12"/>
                <w:b w:val="1"/>
                <w:bCs w:val="1"/>
                <w:color w:val="477157"/>
              </w:rPr>
              <w:t>Target Percentage</w:t>
            </w:r>
          </w:p>
        </w:tc>
        <w:tc>
          <w:tcPr>
            <w:tcW w:w="2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b w:val="1"/>
                <w:bCs w:val="1"/>
                <w:color w:val="477157"/>
              </w:rPr>
              <w:t>Annual Cash Incentive</w:t>
            </w:r>
          </w:p>
        </w:tc>
      </w:tr>
      <w:tr>
        <w:trPr>
          <w:trHeight w:val="158"/>
        </w:trPr>
        <w:tc>
          <w:tcPr>
            <w:tcW w:w="324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Named Executive Officer</w:t>
            </w:r>
          </w:p>
        </w:tc>
        <w:tc>
          <w:tcPr>
            <w:tcW w:w="2920" w:type="dxa"/>
            <w:vAlign w:val="bottom"/>
            <w:tcBorders>
              <w:bottom w:val="single" w:sz="8" w:color="477157"/>
            </w:tcBorders>
          </w:tcPr>
          <w:p>
            <w:pPr>
              <w:jc w:val="right"/>
              <w:ind w:right="11"/>
              <w:spacing w:after="0"/>
              <w:rPr>
                <w:sz w:val="20"/>
                <w:szCs w:val="20"/>
                <w:color w:val="auto"/>
              </w:rPr>
            </w:pPr>
            <w:r>
              <w:rPr>
                <w:rFonts w:ascii="Arial" w:cs="Arial" w:eastAsia="Arial" w:hAnsi="Arial"/>
                <w:sz w:val="12"/>
                <w:szCs w:val="12"/>
                <w:b w:val="1"/>
                <w:bCs w:val="1"/>
                <w:color w:val="477157"/>
              </w:rPr>
              <w:t>of Base Salary</w:t>
            </w:r>
          </w:p>
        </w:tc>
        <w:tc>
          <w:tcPr>
            <w:tcW w:w="220" w:type="dxa"/>
            <w:vAlign w:val="bottom"/>
            <w:tcBorders>
              <w:bottom w:val="single" w:sz="8" w:color="477157"/>
            </w:tcBorders>
          </w:tcPr>
          <w:p>
            <w:pPr>
              <w:spacing w:after="0"/>
              <w:rPr>
                <w:sz w:val="13"/>
                <w:szCs w:val="13"/>
                <w:color w:val="auto"/>
              </w:rPr>
            </w:pPr>
          </w:p>
        </w:tc>
        <w:tc>
          <w:tcPr>
            <w:tcW w:w="1380" w:type="dxa"/>
            <w:vAlign w:val="bottom"/>
            <w:tcBorders>
              <w:bottom w:val="single" w:sz="8" w:color="477157"/>
            </w:tcBorders>
          </w:tcPr>
          <w:p>
            <w:pPr>
              <w:jc w:val="right"/>
              <w:spacing w:after="0" w:line="157" w:lineRule="exact"/>
              <w:rPr>
                <w:sz w:val="20"/>
                <w:szCs w:val="20"/>
                <w:color w:val="auto"/>
              </w:rPr>
            </w:pPr>
            <w:r>
              <w:rPr>
                <w:rFonts w:ascii="Arial" w:cs="Arial" w:eastAsia="Arial" w:hAnsi="Arial"/>
                <w:sz w:val="12"/>
                <w:szCs w:val="12"/>
                <w:b w:val="1"/>
                <w:bCs w:val="1"/>
                <w:color w:val="477157"/>
              </w:rPr>
              <w:t>For 2019</w:t>
            </w:r>
            <w:r>
              <w:rPr>
                <w:rFonts w:ascii="Arial" w:cs="Arial" w:eastAsia="Arial" w:hAnsi="Arial"/>
                <w:sz w:val="18"/>
                <w:szCs w:val="18"/>
                <w:b w:val="1"/>
                <w:bCs w:val="1"/>
                <w:color w:val="477157"/>
                <w:vertAlign w:val="superscript"/>
              </w:rPr>
              <w:t>(1)</w:t>
            </w:r>
          </w:p>
        </w:tc>
      </w:tr>
      <w:tr>
        <w:trPr>
          <w:trHeight w:val="160"/>
        </w:trPr>
        <w:tc>
          <w:tcPr>
            <w:tcW w:w="32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Fish</w:t>
            </w:r>
          </w:p>
        </w:tc>
        <w:tc>
          <w:tcPr>
            <w:tcW w:w="2920" w:type="dxa"/>
            <w:vAlign w:val="bottom"/>
            <w:tcBorders>
              <w:bottom w:val="single" w:sz="8" w:color="477157"/>
            </w:tcBorders>
          </w:tcPr>
          <w:p>
            <w:pPr>
              <w:jc w:val="right"/>
              <w:ind w:right="11"/>
              <w:spacing w:after="0" w:line="161" w:lineRule="exact"/>
              <w:rPr>
                <w:sz w:val="20"/>
                <w:szCs w:val="20"/>
                <w:color w:val="auto"/>
              </w:rPr>
            </w:pPr>
            <w:r>
              <w:rPr>
                <w:rFonts w:ascii="Arial" w:cs="Arial" w:eastAsia="Arial" w:hAnsi="Arial"/>
                <w:sz w:val="15"/>
                <w:szCs w:val="15"/>
                <w:color w:val="auto"/>
              </w:rPr>
              <w:t>140</w:t>
            </w:r>
          </w:p>
        </w:tc>
        <w:tc>
          <w:tcPr>
            <w:tcW w:w="220" w:type="dxa"/>
            <w:vAlign w:val="bottom"/>
            <w:tcBorders>
              <w:bottom w:val="single" w:sz="8" w:color="477157"/>
            </w:tcBorders>
          </w:tcPr>
          <w:p>
            <w:pPr>
              <w:jc w:val="right"/>
              <w:ind w:right="7"/>
              <w:spacing w:after="0" w:line="161"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1,704,132</w:t>
            </w:r>
          </w:p>
        </w:tc>
      </w:tr>
      <w:tr>
        <w:trPr>
          <w:trHeight w:val="160"/>
        </w:trPr>
        <w:tc>
          <w:tcPr>
            <w:tcW w:w="32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Rankin</w:t>
            </w:r>
          </w:p>
        </w:tc>
        <w:tc>
          <w:tcPr>
            <w:tcW w:w="2920" w:type="dxa"/>
            <w:vAlign w:val="bottom"/>
            <w:tcBorders>
              <w:bottom w:val="single" w:sz="8" w:color="477157"/>
            </w:tcBorders>
          </w:tcPr>
          <w:p>
            <w:pPr>
              <w:jc w:val="right"/>
              <w:ind w:right="11"/>
              <w:spacing w:after="0" w:line="161" w:lineRule="exact"/>
              <w:rPr>
                <w:sz w:val="20"/>
                <w:szCs w:val="20"/>
                <w:color w:val="auto"/>
              </w:rPr>
            </w:pPr>
            <w:r>
              <w:rPr>
                <w:rFonts w:ascii="Arial" w:cs="Arial" w:eastAsia="Arial" w:hAnsi="Arial"/>
                <w:sz w:val="15"/>
                <w:szCs w:val="15"/>
                <w:color w:val="auto"/>
              </w:rPr>
              <w:t>95</w:t>
            </w:r>
          </w:p>
        </w:tc>
        <w:tc>
          <w:tcPr>
            <w:tcW w:w="220" w:type="dxa"/>
            <w:vAlign w:val="bottom"/>
            <w:tcBorders>
              <w:bottom w:val="single" w:sz="8" w:color="477157"/>
            </w:tcBorders>
          </w:tcPr>
          <w:p>
            <w:pPr>
              <w:jc w:val="right"/>
              <w:ind w:right="7"/>
              <w:spacing w:after="0" w:line="161"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578,516</w:t>
            </w:r>
          </w:p>
        </w:tc>
      </w:tr>
      <w:tr>
        <w:trPr>
          <w:trHeight w:val="160"/>
        </w:trPr>
        <w:tc>
          <w:tcPr>
            <w:tcW w:w="32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Morris</w:t>
            </w:r>
          </w:p>
        </w:tc>
        <w:tc>
          <w:tcPr>
            <w:tcW w:w="2920" w:type="dxa"/>
            <w:vAlign w:val="bottom"/>
            <w:tcBorders>
              <w:bottom w:val="single" w:sz="8" w:color="477157"/>
            </w:tcBorders>
          </w:tcPr>
          <w:p>
            <w:pPr>
              <w:jc w:val="right"/>
              <w:ind w:right="11"/>
              <w:spacing w:after="0" w:line="161" w:lineRule="exact"/>
              <w:rPr>
                <w:sz w:val="20"/>
                <w:szCs w:val="20"/>
                <w:color w:val="auto"/>
              </w:rPr>
            </w:pPr>
            <w:r>
              <w:rPr>
                <w:rFonts w:ascii="Arial" w:cs="Arial" w:eastAsia="Arial" w:hAnsi="Arial"/>
                <w:sz w:val="15"/>
                <w:szCs w:val="15"/>
                <w:color w:val="auto"/>
              </w:rPr>
              <w:t>95</w:t>
            </w:r>
          </w:p>
        </w:tc>
        <w:tc>
          <w:tcPr>
            <w:tcW w:w="220" w:type="dxa"/>
            <w:vAlign w:val="bottom"/>
            <w:tcBorders>
              <w:bottom w:val="single" w:sz="8" w:color="477157"/>
            </w:tcBorders>
          </w:tcPr>
          <w:p>
            <w:pPr>
              <w:jc w:val="right"/>
              <w:ind w:right="7"/>
              <w:spacing w:after="0" w:line="161"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661,476</w:t>
            </w:r>
          </w:p>
        </w:tc>
      </w:tr>
      <w:tr>
        <w:trPr>
          <w:trHeight w:val="160"/>
        </w:trPr>
        <w:tc>
          <w:tcPr>
            <w:tcW w:w="32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Hemmer</w:t>
            </w:r>
          </w:p>
        </w:tc>
        <w:tc>
          <w:tcPr>
            <w:tcW w:w="2920" w:type="dxa"/>
            <w:vAlign w:val="bottom"/>
            <w:tcBorders>
              <w:bottom w:val="single" w:sz="8" w:color="477157"/>
            </w:tcBorders>
          </w:tcPr>
          <w:p>
            <w:pPr>
              <w:jc w:val="right"/>
              <w:ind w:right="11"/>
              <w:spacing w:after="0" w:line="161" w:lineRule="exact"/>
              <w:rPr>
                <w:sz w:val="20"/>
                <w:szCs w:val="20"/>
                <w:color w:val="auto"/>
              </w:rPr>
            </w:pPr>
            <w:r>
              <w:rPr>
                <w:rFonts w:ascii="Arial" w:cs="Arial" w:eastAsia="Arial" w:hAnsi="Arial"/>
                <w:sz w:val="15"/>
                <w:szCs w:val="15"/>
                <w:color w:val="auto"/>
              </w:rPr>
              <w:t>90</w:t>
            </w:r>
          </w:p>
        </w:tc>
        <w:tc>
          <w:tcPr>
            <w:tcW w:w="220" w:type="dxa"/>
            <w:vAlign w:val="bottom"/>
            <w:tcBorders>
              <w:bottom w:val="single" w:sz="8" w:color="477157"/>
            </w:tcBorders>
          </w:tcPr>
          <w:p>
            <w:pPr>
              <w:jc w:val="right"/>
              <w:ind w:right="7"/>
              <w:spacing w:after="0" w:line="161"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479,828</w:t>
            </w:r>
          </w:p>
        </w:tc>
      </w:tr>
      <w:tr>
        <w:trPr>
          <w:trHeight w:val="160"/>
        </w:trPr>
        <w:tc>
          <w:tcPr>
            <w:tcW w:w="32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Batchelor</w:t>
            </w:r>
          </w:p>
        </w:tc>
        <w:tc>
          <w:tcPr>
            <w:tcW w:w="2920" w:type="dxa"/>
            <w:vAlign w:val="bottom"/>
            <w:tcBorders>
              <w:bottom w:val="single" w:sz="8" w:color="477157"/>
            </w:tcBorders>
          </w:tcPr>
          <w:p>
            <w:pPr>
              <w:jc w:val="right"/>
              <w:ind w:right="11"/>
              <w:spacing w:after="0" w:line="161" w:lineRule="exact"/>
              <w:rPr>
                <w:sz w:val="20"/>
                <w:szCs w:val="20"/>
                <w:color w:val="auto"/>
              </w:rPr>
            </w:pPr>
            <w:r>
              <w:rPr>
                <w:rFonts w:ascii="Arial" w:cs="Arial" w:eastAsia="Arial" w:hAnsi="Arial"/>
                <w:sz w:val="15"/>
                <w:szCs w:val="15"/>
                <w:color w:val="auto"/>
              </w:rPr>
              <w:t>90</w:t>
            </w:r>
          </w:p>
        </w:tc>
        <w:tc>
          <w:tcPr>
            <w:tcW w:w="220" w:type="dxa"/>
            <w:vAlign w:val="bottom"/>
            <w:tcBorders>
              <w:bottom w:val="single" w:sz="8" w:color="477157"/>
            </w:tcBorders>
          </w:tcPr>
          <w:p>
            <w:pPr>
              <w:jc w:val="right"/>
              <w:ind w:right="7"/>
              <w:spacing w:after="0" w:line="161"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479,828</w:t>
            </w:r>
          </w:p>
        </w:tc>
      </w:tr>
    </w:tbl>
    <w:p>
      <w:pPr>
        <w:spacing w:after="0" w:line="183" w:lineRule="exact"/>
        <w:rPr>
          <w:sz w:val="20"/>
          <w:szCs w:val="20"/>
          <w:color w:val="auto"/>
        </w:rPr>
      </w:pPr>
    </w:p>
    <w:p>
      <w:pPr>
        <w:jc w:val="both"/>
        <w:ind w:left="2140" w:hanging="460"/>
        <w:spacing w:after="0" w:line="238" w:lineRule="auto"/>
        <w:tabs>
          <w:tab w:leader="none" w:pos="21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Calculations of annual cash incentive payouts, as a percentage of base salary, were made using the named executive's actual base salary received in 2019. Such amounts are lower than if calculated using the 2019 base salaries in the table above due to the timing of when base salary increases take effect.</w:t>
      </w:r>
    </w:p>
    <w:p>
      <w:pPr>
        <w:sectPr>
          <w:pgSz w:w="11900" w:h="16838" w:orient="portrait"/>
          <w:cols w:equalWidth="0" w:num="1">
            <w:col w:w="11260"/>
          </w:cols>
          <w:pgMar w:left="320" w:top="142" w:right="319" w:bottom="1440" w:gutter="0" w:footer="0" w:header="0"/>
          <w:type w:val="continuous"/>
        </w:sectPr>
      </w:pPr>
    </w:p>
    <w:p>
      <w:pPr>
        <w:spacing w:after="0" w:line="336"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u w:val="single" w:color="auto"/>
          <w:color w:val="auto"/>
        </w:rPr>
        <w:t>Long-Term Equity Incentives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2019 annual long-term incentive award, the MD&amp;C Committee decided to grant both PSUs comprising 80% of each named executive's award and stock options comprising 20% of each named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executive's award, consistent with prior years. Payout on half of each named executives' PSUs granted in 2019 is dependent on cash flow generation. Payout on the remaining half of PSUs granted in 2019 is dependent on total shareholder return relative to the S&amp;P 500. Meanwhile, stock options encourage focus on increasing the market value of our stock. Before determining the actual number of PSUs and stock options that were granted to each of the named executives in 2019, the MD&amp;C Committee established a target dollar amount for each named executive's annual total long-term equity incentive award. The values chosen were based primarily on the comparison information for the competitive market and</w:t>
      </w:r>
    </w:p>
    <w:p>
      <w:pPr>
        <w:spacing w:after="0" w:line="386"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29" w:lineRule="exact"/>
        <w:rPr>
          <w:sz w:val="20"/>
          <w:szCs w:val="20"/>
          <w:color w:val="auto"/>
        </w:rPr>
      </w:pPr>
    </w:p>
    <w:p>
      <w:pPr>
        <w:ind w:left="9220"/>
        <w:spacing w:after="0"/>
        <w:tabs>
          <w:tab w:leader="none" w:pos="10860" w:val="left"/>
          <w:tab w:leader="none" w:pos="1108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38" w:name="page39"/>
    <w:bookmarkEnd w:id="38"/>
    <w:p>
      <w:pPr>
        <w:ind w:left="1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15518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70"/>
          </w:cols>
          <w:pgMar w:left="310" w:top="142" w:right="319" w:bottom="1440" w:gutter="0" w:footer="0" w:header="0"/>
        </w:sectPr>
      </w:pPr>
    </w:p>
    <w:p>
      <w:pPr>
        <w:spacing w:after="0" w:line="20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10"/>
        <w:spacing w:after="0"/>
        <w:rPr>
          <w:sz w:val="20"/>
          <w:szCs w:val="20"/>
          <w:color w:val="auto"/>
        </w:rPr>
      </w:pPr>
      <w:r>
        <w:rPr>
          <w:rFonts w:ascii="Arial" w:cs="Arial" w:eastAsia="Arial" w:hAnsi="Arial"/>
          <w:sz w:val="15"/>
          <w:szCs w:val="15"/>
          <w:color w:val="auto"/>
        </w:rPr>
        <w:t>consideration of the named executives' responsibility for meeting the Company's strategic objectives. Target dollar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auto"/>
        </w:rPr>
        <w:t>amounts for equity incentive awards will vary from grant date fair values calculated for accounting purposes.</w:t>
      </w:r>
    </w:p>
    <w:p>
      <w:pPr>
        <w:spacing w:after="0" w:line="158" w:lineRule="exact"/>
        <w:rPr>
          <w:sz w:val="20"/>
          <w:szCs w:val="20"/>
          <w:color w:val="auto"/>
        </w:rPr>
      </w:pPr>
    </w:p>
    <w:p>
      <w:pPr>
        <w:sectPr>
          <w:pgSz w:w="11900" w:h="16838" w:orient="portrait"/>
          <w:cols w:equalWidth="0" w:num="2">
            <w:col w:w="5290" w:space="680"/>
            <w:col w:w="5300"/>
          </w:cols>
          <w:pgMar w:left="310" w:top="142" w:right="319" w:bottom="1440" w:gutter="0" w:footer="0" w:header="0"/>
          <w:type w:val="continuous"/>
        </w:sectPr>
      </w:pPr>
    </w:p>
    <w:tbl>
      <w:tblPr>
        <w:tblLayout w:type="fixed"/>
        <w:tblInd w:w="169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2"/>
                <w:szCs w:val="12"/>
                <w:b w:val="1"/>
                <w:bCs w:val="1"/>
                <w:color w:val="477157"/>
              </w:rPr>
              <w:t>Dollar Values of 2019</w:t>
            </w:r>
          </w:p>
        </w:tc>
      </w:tr>
      <w:tr>
        <w:trPr>
          <w:trHeight w:val="135"/>
        </w:trPr>
        <w:tc>
          <w:tcPr>
            <w:tcW w:w="36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76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Long-Term Equity Incentives</w:t>
            </w:r>
          </w:p>
        </w:tc>
      </w:tr>
      <w:tr>
        <w:trPr>
          <w:trHeight w:val="135"/>
        </w:trPr>
        <w:tc>
          <w:tcPr>
            <w:tcW w:w="36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76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Set by the Committee</w:t>
            </w:r>
          </w:p>
        </w:tc>
      </w:tr>
      <w:tr>
        <w:trPr>
          <w:trHeight w:val="145"/>
        </w:trPr>
        <w:tc>
          <w:tcPr>
            <w:tcW w:w="362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Named Executive Officer</w:t>
            </w:r>
          </w:p>
        </w:tc>
        <w:tc>
          <w:tcPr>
            <w:tcW w:w="2380" w:type="dxa"/>
            <w:vAlign w:val="bottom"/>
            <w:tcBorders>
              <w:bottom w:val="single" w:sz="8" w:color="477157"/>
            </w:tcBorders>
          </w:tcPr>
          <w:p>
            <w:pPr>
              <w:spacing w:after="0"/>
              <w:rPr>
                <w:sz w:val="12"/>
                <w:szCs w:val="12"/>
                <w:color w:val="auto"/>
              </w:rPr>
            </w:pPr>
          </w:p>
        </w:tc>
        <w:tc>
          <w:tcPr>
            <w:tcW w:w="1760" w:type="dxa"/>
            <w:vAlign w:val="bottom"/>
            <w:tcBorders>
              <w:bottom w:val="single" w:sz="8" w:color="477157"/>
            </w:tcBorders>
          </w:tcPr>
          <w:p>
            <w:pPr>
              <w:jc w:val="right"/>
              <w:spacing w:after="0"/>
              <w:rPr>
                <w:sz w:val="20"/>
                <w:szCs w:val="20"/>
                <w:color w:val="auto"/>
              </w:rPr>
            </w:pPr>
            <w:r>
              <w:rPr>
                <w:rFonts w:ascii="Arial" w:cs="Arial" w:eastAsia="Arial" w:hAnsi="Arial"/>
                <w:sz w:val="12"/>
                <w:szCs w:val="12"/>
                <w:b w:val="1"/>
                <w:bCs w:val="1"/>
                <w:color w:val="477157"/>
              </w:rPr>
              <w:t>(at Target)</w:t>
            </w:r>
          </w:p>
        </w:tc>
      </w:tr>
      <w:tr>
        <w:trPr>
          <w:trHeight w:val="160"/>
        </w:trPr>
        <w:tc>
          <w:tcPr>
            <w:tcW w:w="36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Fish</w:t>
            </w:r>
          </w:p>
        </w:tc>
        <w:tc>
          <w:tcPr>
            <w:tcW w:w="2380" w:type="dxa"/>
            <w:vAlign w:val="bottom"/>
            <w:tcBorders>
              <w:bottom w:val="single" w:sz="8" w:color="477157"/>
            </w:tcBorders>
          </w:tcPr>
          <w:p>
            <w:pPr>
              <w:jc w:val="right"/>
              <w:ind w:right="27"/>
              <w:spacing w:after="0" w:line="161" w:lineRule="exact"/>
              <w:rPr>
                <w:sz w:val="20"/>
                <w:szCs w:val="20"/>
                <w:color w:val="auto"/>
              </w:rPr>
            </w:pPr>
            <w:r>
              <w:rPr>
                <w:rFonts w:ascii="Arial" w:cs="Arial" w:eastAsia="Arial" w:hAnsi="Arial"/>
                <w:sz w:val="15"/>
                <w:szCs w:val="15"/>
                <w:color w:val="auto"/>
              </w:rPr>
              <w:t>$</w:t>
            </w:r>
          </w:p>
        </w:tc>
        <w:tc>
          <w:tcPr>
            <w:tcW w:w="1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7,000,000</w:t>
            </w:r>
          </w:p>
        </w:tc>
      </w:tr>
      <w:tr>
        <w:trPr>
          <w:trHeight w:val="160"/>
        </w:trPr>
        <w:tc>
          <w:tcPr>
            <w:tcW w:w="36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Rankin</w:t>
            </w:r>
          </w:p>
        </w:tc>
        <w:tc>
          <w:tcPr>
            <w:tcW w:w="2380" w:type="dxa"/>
            <w:vAlign w:val="bottom"/>
            <w:tcBorders>
              <w:bottom w:val="single" w:sz="8" w:color="477157"/>
            </w:tcBorders>
          </w:tcPr>
          <w:p>
            <w:pPr>
              <w:jc w:val="right"/>
              <w:ind w:right="27"/>
              <w:spacing w:after="0" w:line="161" w:lineRule="exact"/>
              <w:rPr>
                <w:sz w:val="20"/>
                <w:szCs w:val="20"/>
                <w:color w:val="auto"/>
              </w:rPr>
            </w:pPr>
            <w:r>
              <w:rPr>
                <w:rFonts w:ascii="Arial" w:cs="Arial" w:eastAsia="Arial" w:hAnsi="Arial"/>
                <w:sz w:val="15"/>
                <w:szCs w:val="15"/>
                <w:color w:val="auto"/>
              </w:rPr>
              <w:t>$</w:t>
            </w:r>
          </w:p>
        </w:tc>
        <w:tc>
          <w:tcPr>
            <w:tcW w:w="1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2,000,000</w:t>
            </w:r>
          </w:p>
        </w:tc>
      </w:tr>
      <w:tr>
        <w:trPr>
          <w:trHeight w:val="160"/>
        </w:trPr>
        <w:tc>
          <w:tcPr>
            <w:tcW w:w="36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Morris</w:t>
            </w:r>
          </w:p>
        </w:tc>
        <w:tc>
          <w:tcPr>
            <w:tcW w:w="2380" w:type="dxa"/>
            <w:vAlign w:val="bottom"/>
            <w:tcBorders>
              <w:bottom w:val="single" w:sz="8" w:color="477157"/>
            </w:tcBorders>
          </w:tcPr>
          <w:p>
            <w:pPr>
              <w:jc w:val="right"/>
              <w:ind w:right="27"/>
              <w:spacing w:after="0" w:line="161" w:lineRule="exact"/>
              <w:rPr>
                <w:sz w:val="20"/>
                <w:szCs w:val="20"/>
                <w:color w:val="auto"/>
              </w:rPr>
            </w:pPr>
            <w:r>
              <w:rPr>
                <w:rFonts w:ascii="Arial" w:cs="Arial" w:eastAsia="Arial" w:hAnsi="Arial"/>
                <w:sz w:val="15"/>
                <w:szCs w:val="15"/>
                <w:color w:val="auto"/>
              </w:rPr>
              <w:t>$</w:t>
            </w:r>
          </w:p>
        </w:tc>
        <w:tc>
          <w:tcPr>
            <w:tcW w:w="1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2,200,000</w:t>
            </w:r>
          </w:p>
        </w:tc>
      </w:tr>
      <w:tr>
        <w:trPr>
          <w:trHeight w:val="160"/>
        </w:trPr>
        <w:tc>
          <w:tcPr>
            <w:tcW w:w="36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Hemmer</w:t>
            </w:r>
          </w:p>
        </w:tc>
        <w:tc>
          <w:tcPr>
            <w:tcW w:w="2380" w:type="dxa"/>
            <w:vAlign w:val="bottom"/>
            <w:tcBorders>
              <w:bottom w:val="single" w:sz="8" w:color="477157"/>
            </w:tcBorders>
          </w:tcPr>
          <w:p>
            <w:pPr>
              <w:jc w:val="right"/>
              <w:ind w:right="27"/>
              <w:spacing w:after="0" w:line="161" w:lineRule="exact"/>
              <w:rPr>
                <w:sz w:val="20"/>
                <w:szCs w:val="20"/>
                <w:color w:val="auto"/>
              </w:rPr>
            </w:pPr>
            <w:r>
              <w:rPr>
                <w:rFonts w:ascii="Arial" w:cs="Arial" w:eastAsia="Arial" w:hAnsi="Arial"/>
                <w:sz w:val="15"/>
                <w:szCs w:val="15"/>
                <w:color w:val="auto"/>
              </w:rPr>
              <w:t>$</w:t>
            </w:r>
          </w:p>
        </w:tc>
        <w:tc>
          <w:tcPr>
            <w:tcW w:w="1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1,650,000</w:t>
            </w:r>
          </w:p>
        </w:tc>
      </w:tr>
      <w:tr>
        <w:trPr>
          <w:trHeight w:val="160"/>
        </w:trPr>
        <w:tc>
          <w:tcPr>
            <w:tcW w:w="36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Batchelor</w:t>
            </w:r>
          </w:p>
        </w:tc>
        <w:tc>
          <w:tcPr>
            <w:tcW w:w="2380" w:type="dxa"/>
            <w:vAlign w:val="bottom"/>
            <w:tcBorders>
              <w:bottom w:val="single" w:sz="8" w:color="477157"/>
            </w:tcBorders>
          </w:tcPr>
          <w:p>
            <w:pPr>
              <w:jc w:val="right"/>
              <w:ind w:right="27"/>
              <w:spacing w:after="0" w:line="161" w:lineRule="exact"/>
              <w:rPr>
                <w:sz w:val="20"/>
                <w:szCs w:val="20"/>
                <w:color w:val="auto"/>
              </w:rPr>
            </w:pPr>
            <w:r>
              <w:rPr>
                <w:rFonts w:ascii="Arial" w:cs="Arial" w:eastAsia="Arial" w:hAnsi="Arial"/>
                <w:sz w:val="15"/>
                <w:szCs w:val="15"/>
                <w:color w:val="auto"/>
              </w:rPr>
              <w:t>$</w:t>
            </w:r>
          </w:p>
        </w:tc>
        <w:tc>
          <w:tcPr>
            <w:tcW w:w="1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1,650,000</w:t>
            </w:r>
          </w:p>
        </w:tc>
      </w:tr>
    </w:tbl>
    <w:p>
      <w:pPr>
        <w:spacing w:after="0" w:line="200" w:lineRule="exact"/>
        <w:rPr>
          <w:sz w:val="20"/>
          <w:szCs w:val="20"/>
          <w:color w:val="auto"/>
        </w:rPr>
      </w:pPr>
    </w:p>
    <w:p>
      <w:pPr>
        <w:sectPr>
          <w:pgSz w:w="11900" w:h="16838" w:orient="portrait"/>
          <w:cols w:equalWidth="0" w:num="1">
            <w:col w:w="11270"/>
          </w:cols>
          <w:pgMar w:left="310" w:top="142" w:right="31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10"/>
        <w:spacing w:after="0"/>
        <w:rPr>
          <w:sz w:val="20"/>
          <w:szCs w:val="20"/>
          <w:color w:val="auto"/>
        </w:rPr>
      </w:pPr>
      <w:r>
        <w:rPr>
          <w:rFonts w:ascii="Arial" w:cs="Arial" w:eastAsia="Arial" w:hAnsi="Arial"/>
          <w:sz w:val="15"/>
          <w:szCs w:val="15"/>
          <w:i w:val="1"/>
          <w:iCs w:val="1"/>
          <w:u w:val="single" w:color="auto"/>
          <w:color w:val="auto"/>
        </w:rPr>
        <w:t>Overview of Performance Share Units.</w:t>
      </w:r>
    </w:p>
    <w:p>
      <w:pPr>
        <w:spacing w:after="0" w:line="177" w:lineRule="exact"/>
        <w:rPr>
          <w:sz w:val="20"/>
          <w:szCs w:val="20"/>
          <w:color w:val="auto"/>
        </w:rPr>
      </w:pPr>
    </w:p>
    <w:p>
      <w:pPr>
        <w:jc w:val="both"/>
        <w:ind w:left="450" w:hanging="450"/>
        <w:spacing w:after="0" w:line="241" w:lineRule="auto"/>
        <w:tabs>
          <w:tab w:leader="none" w:pos="450" w:val="left"/>
        </w:tabs>
        <w:numPr>
          <w:ilvl w:val="0"/>
          <w:numId w:val="35"/>
        </w:numPr>
        <w:rPr>
          <w:rFonts w:ascii="Arial" w:cs="Arial" w:eastAsia="Arial" w:hAnsi="Arial"/>
          <w:sz w:val="15"/>
          <w:szCs w:val="15"/>
          <w:color w:val="477157"/>
        </w:rPr>
      </w:pPr>
      <w:r>
        <w:rPr>
          <w:rFonts w:ascii="Arial" w:cs="Arial" w:eastAsia="Arial" w:hAnsi="Arial"/>
          <w:sz w:val="15"/>
          <w:szCs w:val="15"/>
          <w:i w:val="1"/>
          <w:iCs w:val="1"/>
          <w:color w:val="auto"/>
        </w:rPr>
        <w:t>Named executives were granted new PSUs with a three-year performance period ending December 31, 2021. Payout on half of each named executive's PSUs granted in 2019 is dependent on cash flow generation, and payout on the remaining half of PSUs granted in 2019 is dependent on total shareholder return relative to the S&amp;P 500.</w:t>
      </w:r>
    </w:p>
    <w:p>
      <w:pPr>
        <w:spacing w:after="0" w:line="159" w:lineRule="exact"/>
        <w:rPr>
          <w:rFonts w:ascii="Arial" w:cs="Arial" w:eastAsia="Arial" w:hAnsi="Arial"/>
          <w:sz w:val="15"/>
          <w:szCs w:val="15"/>
          <w:color w:val="477157"/>
        </w:rPr>
      </w:pPr>
    </w:p>
    <w:p>
      <w:pPr>
        <w:jc w:val="both"/>
        <w:ind w:left="450" w:hanging="450"/>
        <w:spacing w:after="0"/>
        <w:tabs>
          <w:tab w:leader="none" w:pos="450" w:val="left"/>
        </w:tabs>
        <w:numPr>
          <w:ilvl w:val="0"/>
          <w:numId w:val="35"/>
        </w:numPr>
        <w:rPr>
          <w:rFonts w:ascii="Arial" w:cs="Arial" w:eastAsia="Arial" w:hAnsi="Arial"/>
          <w:sz w:val="15"/>
          <w:szCs w:val="15"/>
          <w:color w:val="477157"/>
        </w:rPr>
      </w:pPr>
      <w:r>
        <w:rPr>
          <w:rFonts w:ascii="Arial" w:cs="Arial" w:eastAsia="Arial" w:hAnsi="Arial"/>
          <w:sz w:val="15"/>
          <w:szCs w:val="15"/>
          <w:i w:val="1"/>
          <w:iCs w:val="1"/>
          <w:color w:val="auto"/>
        </w:rPr>
        <w:t>Named executives received a payout of 197.4% of the PSUs granted in 2017 with a three-year performance period ended December 31, 2019. The Company exceeded the maximum level of performance for the cash flow generation performance measure and exceeded the target level of performance for the relative total shareholder return performance measure.</w:t>
      </w:r>
    </w:p>
    <w:p>
      <w:pPr>
        <w:spacing w:after="0" w:line="159" w:lineRule="exact"/>
        <w:rPr>
          <w:sz w:val="20"/>
          <w:szCs w:val="20"/>
          <w:color w:val="auto"/>
        </w:rPr>
      </w:pPr>
    </w:p>
    <w:p>
      <w:pPr>
        <w:jc w:val="both"/>
        <w:ind w:left="10"/>
        <w:spacing w:after="0" w:line="243" w:lineRule="auto"/>
        <w:rPr>
          <w:sz w:val="20"/>
          <w:szCs w:val="20"/>
          <w:color w:val="auto"/>
        </w:rPr>
      </w:pPr>
      <w:r>
        <w:rPr>
          <w:rFonts w:ascii="Arial" w:cs="Arial" w:eastAsia="Arial" w:hAnsi="Arial"/>
          <w:sz w:val="15"/>
          <w:szCs w:val="15"/>
          <w:i w:val="1"/>
          <w:iCs w:val="1"/>
          <w:u w:val="single" w:color="auto"/>
          <w:color w:val="auto"/>
        </w:rPr>
        <w:t>PSUs Granted in 2019.</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share units are granted to our named</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annually to align compensation with the achievement of our long-term financial goals and to increase stockholder alignment through stock ownership. PSUs provide an immediate retention benefit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PSUs granted, depending on the Company's three-year performance against pre-established targets.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MD&amp;C Committee determined the number of PSUs that were granted to each of the named executives in 2019 by taking the targeted dollar amounts established for total long-term equity incentives (set forth in the table above) and multiplying by 80%. Those values were then divided by the average of the high and low market price of our Common Stock over the 30 trading days preceding the date of the MD&amp;C Committee meeting at which the grants were approved to determine the number of PSUs granted. The number of PSUs granted in 2019 are shown in the table below.</w:t>
      </w:r>
    </w:p>
    <w:p>
      <w:pPr>
        <w:spacing w:after="0" w:line="858" w:lineRule="exact"/>
        <w:rPr>
          <w:sz w:val="20"/>
          <w:szCs w:val="20"/>
          <w:color w:val="auto"/>
        </w:rPr>
      </w:pPr>
    </w:p>
    <w:p>
      <w:pPr>
        <w:sectPr>
          <w:pgSz w:w="11900" w:h="16838" w:orient="portrait"/>
          <w:cols w:equalWidth="0" w:num="2">
            <w:col w:w="5290" w:space="680"/>
            <w:col w:w="5300"/>
          </w:cols>
          <w:pgMar w:left="310" w:top="142" w:right="319" w:bottom="1440" w:gutter="0" w:footer="0" w:header="0"/>
          <w:type w:val="continuous"/>
        </w:sectPr>
      </w:pPr>
    </w:p>
    <w:tbl>
      <w:tblPr>
        <w:tblLayout w:type="fixed"/>
        <w:tblInd w:w="1690" w:type="dxa"/>
        <w:tblCellMar>
          <w:top w:w="0" w:type="dxa"/>
          <w:left w:w="0" w:type="dxa"/>
          <w:bottom w:w="0" w:type="dxa"/>
          <w:right w:w="0" w:type="dxa"/>
        </w:tblCellMar>
      </w:tblPr>
      <w:tr>
        <w:trPr>
          <w:trHeight w:val="138"/>
        </w:trPr>
        <w:tc>
          <w:tcPr>
            <w:tcW w:w="4360" w:type="dxa"/>
            <w:vAlign w:val="bottom"/>
          </w:tcPr>
          <w:p>
            <w:pPr>
              <w:spacing w:after="0"/>
              <w:rPr>
                <w:sz w:val="12"/>
                <w:szCs w:val="12"/>
                <w:color w:val="auto"/>
              </w:rPr>
            </w:pPr>
          </w:p>
        </w:tc>
        <w:tc>
          <w:tcPr>
            <w:tcW w:w="3400" w:type="dxa"/>
            <w:vAlign w:val="bottom"/>
          </w:tcPr>
          <w:p>
            <w:pPr>
              <w:ind w:left="2940"/>
              <w:spacing w:after="0"/>
              <w:rPr>
                <w:sz w:val="20"/>
                <w:szCs w:val="20"/>
                <w:color w:val="auto"/>
              </w:rPr>
            </w:pPr>
            <w:r>
              <w:rPr>
                <w:rFonts w:ascii="Arial" w:cs="Arial" w:eastAsia="Arial" w:hAnsi="Arial"/>
                <w:sz w:val="12"/>
                <w:szCs w:val="12"/>
                <w:b w:val="1"/>
                <w:bCs w:val="1"/>
                <w:color w:val="477157"/>
                <w:w w:val="96"/>
              </w:rPr>
              <w:t>Number</w:t>
            </w:r>
          </w:p>
        </w:tc>
      </w:tr>
      <w:tr>
        <w:trPr>
          <w:trHeight w:val="145"/>
        </w:trPr>
        <w:tc>
          <w:tcPr>
            <w:tcW w:w="436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Named Executive Officer</w:t>
            </w:r>
          </w:p>
        </w:tc>
        <w:tc>
          <w:tcPr>
            <w:tcW w:w="3400" w:type="dxa"/>
            <w:vAlign w:val="bottom"/>
            <w:tcBorders>
              <w:bottom w:val="single" w:sz="8" w:color="477157"/>
            </w:tcBorders>
          </w:tcPr>
          <w:p>
            <w:pPr>
              <w:ind w:left="2940"/>
              <w:spacing w:after="0"/>
              <w:rPr>
                <w:sz w:val="20"/>
                <w:szCs w:val="20"/>
                <w:color w:val="auto"/>
              </w:rPr>
            </w:pPr>
            <w:r>
              <w:rPr>
                <w:rFonts w:ascii="Arial" w:cs="Arial" w:eastAsia="Arial" w:hAnsi="Arial"/>
                <w:sz w:val="12"/>
                <w:szCs w:val="12"/>
                <w:b w:val="1"/>
                <w:bCs w:val="1"/>
                <w:color w:val="477157"/>
                <w:w w:val="95"/>
              </w:rPr>
              <w:t>of PSUs</w:t>
            </w:r>
          </w:p>
        </w:tc>
      </w:tr>
      <w:tr>
        <w:trPr>
          <w:trHeight w:val="160"/>
        </w:trPr>
        <w:tc>
          <w:tcPr>
            <w:tcW w:w="43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Fish</w:t>
            </w:r>
          </w:p>
        </w:tc>
        <w:tc>
          <w:tcPr>
            <w:tcW w:w="3400" w:type="dxa"/>
            <w:vAlign w:val="bottom"/>
            <w:tcBorders>
              <w:bottom w:val="single" w:sz="8" w:color="477157"/>
            </w:tcBorders>
          </w:tcPr>
          <w:p>
            <w:pPr>
              <w:ind w:left="2940"/>
              <w:spacing w:after="0" w:line="161" w:lineRule="exact"/>
              <w:rPr>
                <w:sz w:val="20"/>
                <w:szCs w:val="20"/>
                <w:color w:val="auto"/>
              </w:rPr>
            </w:pPr>
            <w:r>
              <w:rPr>
                <w:rFonts w:ascii="Arial" w:cs="Arial" w:eastAsia="Arial" w:hAnsi="Arial"/>
                <w:sz w:val="15"/>
                <w:szCs w:val="15"/>
                <w:color w:val="auto"/>
                <w:w w:val="95"/>
              </w:rPr>
              <w:t>58,948</w:t>
            </w:r>
          </w:p>
        </w:tc>
      </w:tr>
      <w:tr>
        <w:trPr>
          <w:trHeight w:val="160"/>
        </w:trPr>
        <w:tc>
          <w:tcPr>
            <w:tcW w:w="43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Rankin</w:t>
            </w:r>
          </w:p>
        </w:tc>
        <w:tc>
          <w:tcPr>
            <w:tcW w:w="3400" w:type="dxa"/>
            <w:vAlign w:val="bottom"/>
            <w:tcBorders>
              <w:bottom w:val="single" w:sz="8" w:color="477157"/>
            </w:tcBorders>
          </w:tcPr>
          <w:p>
            <w:pPr>
              <w:ind w:left="2940"/>
              <w:spacing w:after="0" w:line="161" w:lineRule="exact"/>
              <w:rPr>
                <w:sz w:val="20"/>
                <w:szCs w:val="20"/>
                <w:color w:val="auto"/>
              </w:rPr>
            </w:pPr>
            <w:r>
              <w:rPr>
                <w:rFonts w:ascii="Arial" w:cs="Arial" w:eastAsia="Arial" w:hAnsi="Arial"/>
                <w:sz w:val="15"/>
                <w:szCs w:val="15"/>
                <w:color w:val="auto"/>
                <w:w w:val="95"/>
              </w:rPr>
              <w:t>16,842</w:t>
            </w:r>
          </w:p>
        </w:tc>
      </w:tr>
      <w:tr>
        <w:trPr>
          <w:trHeight w:val="160"/>
        </w:trPr>
        <w:tc>
          <w:tcPr>
            <w:tcW w:w="43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Morris</w:t>
            </w:r>
          </w:p>
        </w:tc>
        <w:tc>
          <w:tcPr>
            <w:tcW w:w="3400" w:type="dxa"/>
            <w:vAlign w:val="bottom"/>
            <w:tcBorders>
              <w:bottom w:val="single" w:sz="8" w:color="477157"/>
            </w:tcBorders>
          </w:tcPr>
          <w:p>
            <w:pPr>
              <w:ind w:left="2940"/>
              <w:spacing w:after="0" w:line="161" w:lineRule="exact"/>
              <w:rPr>
                <w:sz w:val="20"/>
                <w:szCs w:val="20"/>
                <w:color w:val="auto"/>
              </w:rPr>
            </w:pPr>
            <w:r>
              <w:rPr>
                <w:rFonts w:ascii="Arial" w:cs="Arial" w:eastAsia="Arial" w:hAnsi="Arial"/>
                <w:sz w:val="15"/>
                <w:szCs w:val="15"/>
                <w:color w:val="auto"/>
                <w:w w:val="95"/>
              </w:rPr>
              <w:t>18,526</w:t>
            </w:r>
          </w:p>
        </w:tc>
      </w:tr>
      <w:tr>
        <w:trPr>
          <w:trHeight w:val="160"/>
        </w:trPr>
        <w:tc>
          <w:tcPr>
            <w:tcW w:w="43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Hemmer</w:t>
            </w:r>
          </w:p>
        </w:tc>
        <w:tc>
          <w:tcPr>
            <w:tcW w:w="3400" w:type="dxa"/>
            <w:vAlign w:val="bottom"/>
            <w:tcBorders>
              <w:bottom w:val="single" w:sz="8" w:color="477157"/>
            </w:tcBorders>
          </w:tcPr>
          <w:p>
            <w:pPr>
              <w:ind w:left="2940"/>
              <w:spacing w:after="0" w:line="161" w:lineRule="exact"/>
              <w:rPr>
                <w:sz w:val="20"/>
                <w:szCs w:val="20"/>
                <w:color w:val="auto"/>
              </w:rPr>
            </w:pPr>
            <w:r>
              <w:rPr>
                <w:rFonts w:ascii="Arial" w:cs="Arial" w:eastAsia="Arial" w:hAnsi="Arial"/>
                <w:sz w:val="15"/>
                <w:szCs w:val="15"/>
                <w:color w:val="auto"/>
                <w:w w:val="95"/>
              </w:rPr>
              <w:t>13,894</w:t>
            </w:r>
          </w:p>
        </w:tc>
      </w:tr>
      <w:tr>
        <w:trPr>
          <w:trHeight w:val="160"/>
        </w:trPr>
        <w:tc>
          <w:tcPr>
            <w:tcW w:w="43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Batchelor</w:t>
            </w:r>
          </w:p>
        </w:tc>
        <w:tc>
          <w:tcPr>
            <w:tcW w:w="3400" w:type="dxa"/>
            <w:vAlign w:val="bottom"/>
            <w:tcBorders>
              <w:bottom w:val="single" w:sz="8" w:color="477157"/>
            </w:tcBorders>
          </w:tcPr>
          <w:p>
            <w:pPr>
              <w:ind w:left="2940"/>
              <w:spacing w:after="0" w:line="161" w:lineRule="exact"/>
              <w:rPr>
                <w:sz w:val="20"/>
                <w:szCs w:val="20"/>
                <w:color w:val="auto"/>
              </w:rPr>
            </w:pPr>
            <w:r>
              <w:rPr>
                <w:rFonts w:ascii="Arial" w:cs="Arial" w:eastAsia="Arial" w:hAnsi="Arial"/>
                <w:sz w:val="15"/>
                <w:szCs w:val="15"/>
                <w:color w:val="auto"/>
                <w:w w:val="95"/>
              </w:rPr>
              <w:t>13,894</w:t>
            </w:r>
          </w:p>
        </w:tc>
      </w:tr>
    </w:tbl>
    <w:p>
      <w:pPr>
        <w:spacing w:after="0" w:line="183" w:lineRule="exact"/>
        <w:rPr>
          <w:sz w:val="20"/>
          <w:szCs w:val="20"/>
          <w:color w:val="auto"/>
        </w:rPr>
      </w:pPr>
    </w:p>
    <w:p>
      <w:pPr>
        <w:jc w:val="both"/>
        <w:ind w:left="10"/>
        <w:spacing w:after="0" w:line="235" w:lineRule="auto"/>
        <w:rPr>
          <w:sz w:val="20"/>
          <w:szCs w:val="20"/>
          <w:color w:val="auto"/>
        </w:rPr>
      </w:pPr>
      <w:r>
        <w:rPr>
          <w:rFonts w:ascii="Arial" w:cs="Arial" w:eastAsia="Arial" w:hAnsi="Arial"/>
          <w:sz w:val="15"/>
          <w:szCs w:val="15"/>
          <w:color w:val="auto"/>
        </w:rPr>
        <w:t>Half of each named executive's PSUs included in the table above are subject to a cash flow generation performance measure; the cash flow generation performance measure requires focus on capital discipline and strengthens alignment with stockholders' free cash flow expectations. For purposes of these PSUs, we define cash flow as net cash provided by operating activities, less capital expenditures, with the following adjustments: (a) costs associated with labor disruptions and multiemployer plan withdrawal liabilities are excluded due to being required as a result of past labor commitments combined with changing economic conditions and business climate;</w:t>
      </w:r>
    </w:p>
    <w:p>
      <w:pPr>
        <w:spacing w:after="0" w:line="1" w:lineRule="exact"/>
        <w:rPr>
          <w:sz w:val="20"/>
          <w:szCs w:val="20"/>
          <w:color w:val="auto"/>
        </w:rPr>
      </w:pPr>
    </w:p>
    <w:p>
      <w:pPr>
        <w:ind w:left="10" w:hanging="10"/>
        <w:spacing w:after="0"/>
        <w:tabs>
          <w:tab w:leader="none" w:pos="237" w:val="left"/>
        </w:tabs>
        <w:numPr>
          <w:ilvl w:val="0"/>
          <w:numId w:val="36"/>
        </w:numPr>
        <w:rPr>
          <w:rFonts w:ascii="Arial" w:cs="Arial" w:eastAsia="Arial" w:hAnsi="Arial"/>
          <w:sz w:val="15"/>
          <w:szCs w:val="15"/>
          <w:color w:val="auto"/>
        </w:rPr>
      </w:pPr>
      <w:r>
        <w:rPr>
          <w:rFonts w:ascii="Arial" w:cs="Arial" w:eastAsia="Arial" w:hAnsi="Arial"/>
          <w:sz w:val="15"/>
          <w:szCs w:val="15"/>
          <w:color w:val="auto"/>
        </w:rPr>
        <w:t>strategic acquisition, restructuring, and transformation and reorganization costs are excluded; and (c) cash proceeds from the divestiture of businesses and other assets are included. The table below shows the</w:t>
      </w:r>
    </w:p>
    <w:p>
      <w:pPr>
        <w:spacing w:after="0" w:line="143" w:lineRule="exact"/>
        <w:rPr>
          <w:sz w:val="20"/>
          <w:szCs w:val="20"/>
          <w:color w:val="auto"/>
        </w:rPr>
      </w:pPr>
    </w:p>
    <w:p>
      <w:pPr>
        <w:ind w:left="10"/>
        <w:spacing w:after="0"/>
        <w:tabs>
          <w:tab w:leader="none" w:pos="349"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160260"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70"/>
          </w:cols>
          <w:pgMar w:left="310" w:top="142" w:right="319" w:bottom="1440" w:gutter="0" w:footer="0" w:header="0"/>
          <w:type w:val="continuous"/>
        </w:sectPr>
      </w:pPr>
    </w:p>
    <w:bookmarkStart w:id="39" w:name="page40"/>
    <w:bookmarkEnd w:id="3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EXECUTIVE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required achievement of the cash flow generation performance measure and the corresponding potential payouts under our PSUs granted in 2019.</w:t>
      </w:r>
    </w:p>
    <w:p>
      <w:pPr>
        <w:spacing w:after="0" w:line="187" w:lineRule="exact"/>
        <w:rPr>
          <w:sz w:val="20"/>
          <w:szCs w:val="20"/>
          <w:color w:val="auto"/>
        </w:rPr>
      </w:pPr>
    </w:p>
    <w:tbl>
      <w:tblPr>
        <w:tblLayout w:type="fixed"/>
        <w:tblInd w:w="1120" w:type="dxa"/>
        <w:tblCellMar>
          <w:top w:w="0" w:type="dxa"/>
          <w:left w:w="0" w:type="dxa"/>
          <w:bottom w:w="0" w:type="dxa"/>
          <w:right w:w="0" w:type="dxa"/>
        </w:tblCellMar>
      </w:tblPr>
      <w:tr>
        <w:trPr>
          <w:trHeight w:val="145"/>
        </w:trPr>
        <w:tc>
          <w:tcPr>
            <w:tcW w:w="3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b w:val="1"/>
                <w:bCs w:val="1"/>
                <w:color w:val="477157"/>
              </w:rPr>
              <w:t>Threshold</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2"/>
                <w:szCs w:val="12"/>
                <w:b w:val="1"/>
                <w:bCs w:val="1"/>
                <w:color w:val="477157"/>
              </w:rPr>
              <w:t>Target</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b w:val="1"/>
                <w:bCs w:val="1"/>
                <w:color w:val="477157"/>
              </w:rPr>
              <w:t>Maximum</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3200" w:type="dxa"/>
            <w:vAlign w:val="bottom"/>
            <w:tcBorders>
              <w:bottom w:val="single" w:sz="8" w:color="477157"/>
            </w:tcBorders>
          </w:tcPr>
          <w:p>
            <w:pPr>
              <w:spacing w:after="0"/>
              <w:rPr>
                <w:sz w:val="10"/>
                <w:szCs w:val="10"/>
                <w:color w:val="auto"/>
              </w:rPr>
            </w:pPr>
          </w:p>
        </w:tc>
        <w:tc>
          <w:tcPr>
            <w:tcW w:w="240" w:type="dxa"/>
            <w:vAlign w:val="bottom"/>
            <w:tcBorders>
              <w:bottom w:val="single" w:sz="8" w:color="477157"/>
            </w:tcBorders>
          </w:tcPr>
          <w:p>
            <w:pPr>
              <w:spacing w:after="0"/>
              <w:rPr>
                <w:sz w:val="10"/>
                <w:szCs w:val="10"/>
                <w:color w:val="auto"/>
              </w:rPr>
            </w:pPr>
          </w:p>
        </w:tc>
        <w:tc>
          <w:tcPr>
            <w:tcW w:w="1040" w:type="dxa"/>
            <w:vAlign w:val="bottom"/>
            <w:tcBorders>
              <w:bottom w:val="single" w:sz="8" w:color="477157"/>
            </w:tcBorders>
          </w:tcPr>
          <w:p>
            <w:pPr>
              <w:jc w:val="right"/>
              <w:ind w:right="36"/>
              <w:spacing w:after="0" w:line="126" w:lineRule="exact"/>
              <w:rPr>
                <w:sz w:val="20"/>
                <w:szCs w:val="20"/>
                <w:color w:val="auto"/>
              </w:rPr>
            </w:pPr>
            <w:r>
              <w:rPr>
                <w:rFonts w:ascii="Arial" w:cs="Arial" w:eastAsia="Arial" w:hAnsi="Arial"/>
                <w:sz w:val="12"/>
                <w:szCs w:val="12"/>
                <w:b w:val="1"/>
                <w:bCs w:val="1"/>
                <w:color w:val="477157"/>
              </w:rPr>
              <w:t>Performance</w:t>
            </w:r>
          </w:p>
        </w:tc>
        <w:tc>
          <w:tcPr>
            <w:tcW w:w="500" w:type="dxa"/>
            <w:vAlign w:val="bottom"/>
            <w:tcBorders>
              <w:bottom w:val="single" w:sz="8" w:color="477157"/>
            </w:tcBorders>
          </w:tcPr>
          <w:p>
            <w:pPr>
              <w:ind w:left="100"/>
              <w:spacing w:after="0" w:line="126" w:lineRule="exact"/>
              <w:rPr>
                <w:sz w:val="20"/>
                <w:szCs w:val="20"/>
                <w:color w:val="auto"/>
              </w:rPr>
            </w:pPr>
            <w:r>
              <w:rPr>
                <w:rFonts w:ascii="Arial" w:cs="Arial" w:eastAsia="Arial" w:hAnsi="Arial"/>
                <w:sz w:val="12"/>
                <w:szCs w:val="12"/>
                <w:b w:val="1"/>
                <w:bCs w:val="1"/>
                <w:color w:val="477157"/>
                <w:w w:val="94"/>
              </w:rPr>
              <w:t>Payout</w:t>
            </w:r>
          </w:p>
        </w:tc>
        <w:tc>
          <w:tcPr>
            <w:tcW w:w="140" w:type="dxa"/>
            <w:vAlign w:val="bottom"/>
            <w:tcBorders>
              <w:bottom w:val="single" w:sz="8" w:color="477157"/>
            </w:tcBorders>
          </w:tcPr>
          <w:p>
            <w:pPr>
              <w:spacing w:after="0"/>
              <w:rPr>
                <w:sz w:val="10"/>
                <w:szCs w:val="10"/>
                <w:color w:val="auto"/>
              </w:rPr>
            </w:pPr>
          </w:p>
        </w:tc>
        <w:tc>
          <w:tcPr>
            <w:tcW w:w="240" w:type="dxa"/>
            <w:vAlign w:val="bottom"/>
            <w:tcBorders>
              <w:bottom w:val="single" w:sz="8" w:color="477157"/>
            </w:tcBorders>
          </w:tcPr>
          <w:p>
            <w:pPr>
              <w:spacing w:after="0"/>
              <w:rPr>
                <w:sz w:val="10"/>
                <w:szCs w:val="10"/>
                <w:color w:val="auto"/>
              </w:rPr>
            </w:pPr>
          </w:p>
        </w:tc>
        <w:tc>
          <w:tcPr>
            <w:tcW w:w="1060" w:type="dxa"/>
            <w:vAlign w:val="bottom"/>
            <w:tcBorders>
              <w:bottom w:val="single" w:sz="8" w:color="477157"/>
            </w:tcBorders>
          </w:tcPr>
          <w:p>
            <w:pPr>
              <w:jc w:val="right"/>
              <w:ind w:right="56"/>
              <w:spacing w:after="0" w:line="126" w:lineRule="exact"/>
              <w:rPr>
                <w:sz w:val="20"/>
                <w:szCs w:val="20"/>
                <w:color w:val="auto"/>
              </w:rPr>
            </w:pPr>
            <w:r>
              <w:rPr>
                <w:rFonts w:ascii="Arial" w:cs="Arial" w:eastAsia="Arial" w:hAnsi="Arial"/>
                <w:sz w:val="12"/>
                <w:szCs w:val="12"/>
                <w:b w:val="1"/>
                <w:bCs w:val="1"/>
                <w:color w:val="477157"/>
              </w:rPr>
              <w:t>Performance</w:t>
            </w:r>
          </w:p>
        </w:tc>
        <w:tc>
          <w:tcPr>
            <w:tcW w:w="500" w:type="dxa"/>
            <w:vAlign w:val="bottom"/>
            <w:tcBorders>
              <w:bottom w:val="single" w:sz="8" w:color="477157"/>
            </w:tcBorders>
          </w:tcPr>
          <w:p>
            <w:pPr>
              <w:ind w:left="100"/>
              <w:spacing w:after="0" w:line="126" w:lineRule="exact"/>
              <w:rPr>
                <w:sz w:val="20"/>
                <w:szCs w:val="20"/>
                <w:color w:val="auto"/>
              </w:rPr>
            </w:pPr>
            <w:r>
              <w:rPr>
                <w:rFonts w:ascii="Arial" w:cs="Arial" w:eastAsia="Arial" w:hAnsi="Arial"/>
                <w:sz w:val="12"/>
                <w:szCs w:val="12"/>
                <w:b w:val="1"/>
                <w:bCs w:val="1"/>
                <w:color w:val="477157"/>
                <w:w w:val="94"/>
              </w:rPr>
              <w:t>Payout</w:t>
            </w:r>
          </w:p>
        </w:tc>
        <w:tc>
          <w:tcPr>
            <w:tcW w:w="140" w:type="dxa"/>
            <w:vAlign w:val="bottom"/>
            <w:tcBorders>
              <w:bottom w:val="single" w:sz="8" w:color="477157"/>
            </w:tcBorders>
          </w:tcPr>
          <w:p>
            <w:pPr>
              <w:spacing w:after="0"/>
              <w:rPr>
                <w:sz w:val="10"/>
                <w:szCs w:val="10"/>
                <w:color w:val="auto"/>
              </w:rPr>
            </w:pPr>
          </w:p>
        </w:tc>
        <w:tc>
          <w:tcPr>
            <w:tcW w:w="240" w:type="dxa"/>
            <w:vAlign w:val="bottom"/>
            <w:tcBorders>
              <w:bottom w:val="single" w:sz="8" w:color="477157"/>
            </w:tcBorders>
          </w:tcPr>
          <w:p>
            <w:pPr>
              <w:spacing w:after="0"/>
              <w:rPr>
                <w:sz w:val="10"/>
                <w:szCs w:val="10"/>
                <w:color w:val="auto"/>
              </w:rPr>
            </w:pPr>
          </w:p>
        </w:tc>
        <w:tc>
          <w:tcPr>
            <w:tcW w:w="1040" w:type="dxa"/>
            <w:vAlign w:val="bottom"/>
            <w:tcBorders>
              <w:bottom w:val="single" w:sz="8" w:color="477157"/>
            </w:tcBorders>
          </w:tcPr>
          <w:p>
            <w:pPr>
              <w:jc w:val="right"/>
              <w:ind w:right="36"/>
              <w:spacing w:after="0" w:line="126" w:lineRule="exact"/>
              <w:rPr>
                <w:sz w:val="20"/>
                <w:szCs w:val="20"/>
                <w:color w:val="auto"/>
              </w:rPr>
            </w:pPr>
            <w:r>
              <w:rPr>
                <w:rFonts w:ascii="Arial" w:cs="Arial" w:eastAsia="Arial" w:hAnsi="Arial"/>
                <w:sz w:val="12"/>
                <w:szCs w:val="12"/>
                <w:b w:val="1"/>
                <w:bCs w:val="1"/>
                <w:color w:val="477157"/>
              </w:rPr>
              <w:t>Performance</w:t>
            </w:r>
          </w:p>
        </w:tc>
        <w:tc>
          <w:tcPr>
            <w:tcW w:w="520" w:type="dxa"/>
            <w:vAlign w:val="bottom"/>
            <w:tcBorders>
              <w:bottom w:val="single" w:sz="8" w:color="477157"/>
            </w:tcBorders>
          </w:tcPr>
          <w:p>
            <w:pPr>
              <w:ind w:left="120"/>
              <w:spacing w:after="0" w:line="126" w:lineRule="exact"/>
              <w:rPr>
                <w:sz w:val="20"/>
                <w:szCs w:val="20"/>
                <w:color w:val="auto"/>
              </w:rPr>
            </w:pPr>
            <w:r>
              <w:rPr>
                <w:rFonts w:ascii="Arial" w:cs="Arial" w:eastAsia="Arial" w:hAnsi="Arial"/>
                <w:sz w:val="12"/>
                <w:szCs w:val="12"/>
                <w:b w:val="1"/>
                <w:bCs w:val="1"/>
                <w:color w:val="477157"/>
                <w:w w:val="94"/>
              </w:rPr>
              <w:t>Payout</w:t>
            </w:r>
          </w:p>
        </w:tc>
        <w:tc>
          <w:tcPr>
            <w:tcW w:w="20" w:type="dxa"/>
            <w:vAlign w:val="bottom"/>
            <w:tcBorders>
              <w:bottom w:val="single" w:sz="8" w:color="477157"/>
            </w:tcBorders>
          </w:tcPr>
          <w:p>
            <w:pPr>
              <w:spacing w:after="0"/>
              <w:rPr>
                <w:sz w:val="10"/>
                <w:szCs w:val="10"/>
                <w:color w:val="auto"/>
              </w:rPr>
            </w:pPr>
          </w:p>
        </w:tc>
        <w:tc>
          <w:tcPr>
            <w:tcW w:w="100" w:type="dxa"/>
            <w:vAlign w:val="bottom"/>
          </w:tcPr>
          <w:p>
            <w:pPr>
              <w:spacing w:after="0"/>
              <w:rPr>
                <w:sz w:val="10"/>
                <w:szCs w:val="10"/>
                <w:color w:val="auto"/>
              </w:rPr>
            </w:pPr>
          </w:p>
        </w:tc>
      </w:tr>
      <w:tr>
        <w:trPr>
          <w:trHeight w:val="160"/>
        </w:trPr>
        <w:tc>
          <w:tcPr>
            <w:tcW w:w="3200" w:type="dxa"/>
            <w:vAlign w:val="bottom"/>
          </w:tcPr>
          <w:p>
            <w:pPr>
              <w:spacing w:after="0" w:line="161" w:lineRule="exact"/>
              <w:rPr>
                <w:sz w:val="20"/>
                <w:szCs w:val="20"/>
                <w:color w:val="auto"/>
              </w:rPr>
            </w:pPr>
            <w:r>
              <w:rPr>
                <w:rFonts w:ascii="Arial" w:cs="Arial" w:eastAsia="Arial" w:hAnsi="Arial"/>
                <w:sz w:val="15"/>
                <w:szCs w:val="15"/>
                <w:b w:val="1"/>
                <w:bCs w:val="1"/>
                <w:color w:val="auto"/>
              </w:rPr>
              <w:t>Cash Flow</w:t>
            </w:r>
          </w:p>
        </w:tc>
        <w:tc>
          <w:tcPr>
            <w:tcW w:w="240" w:type="dxa"/>
            <w:vAlign w:val="bottom"/>
          </w:tcPr>
          <w:p>
            <w:pPr>
              <w:jc w:val="right"/>
              <w:ind w:right="87"/>
              <w:spacing w:after="0" w:line="161"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6"/>
              <w:spacing w:after="0" w:line="161" w:lineRule="exact"/>
              <w:rPr>
                <w:sz w:val="20"/>
                <w:szCs w:val="20"/>
                <w:color w:val="auto"/>
              </w:rPr>
            </w:pPr>
            <w:r>
              <w:rPr>
                <w:rFonts w:ascii="Arial" w:cs="Arial" w:eastAsia="Arial" w:hAnsi="Arial"/>
                <w:sz w:val="15"/>
                <w:szCs w:val="15"/>
                <w:color w:val="auto"/>
              </w:rPr>
              <w:t>5.875 billion</w:t>
            </w:r>
          </w:p>
        </w:tc>
        <w:tc>
          <w:tcPr>
            <w:tcW w:w="880" w:type="dxa"/>
            <w:vAlign w:val="bottom"/>
            <w:gridSpan w:val="3"/>
          </w:tcPr>
          <w:p>
            <w:pPr>
              <w:jc w:val="right"/>
              <w:ind w:right="160"/>
              <w:spacing w:after="0" w:line="161" w:lineRule="exact"/>
              <w:rPr>
                <w:sz w:val="20"/>
                <w:szCs w:val="20"/>
                <w:color w:val="auto"/>
              </w:rPr>
            </w:pPr>
            <w:r>
              <w:rPr>
                <w:rFonts w:ascii="Arial" w:cs="Arial" w:eastAsia="Arial" w:hAnsi="Arial"/>
                <w:sz w:val="15"/>
                <w:szCs w:val="15"/>
                <w:color w:val="auto"/>
              </w:rPr>
              <w:t>50%$</w:t>
            </w:r>
          </w:p>
        </w:tc>
        <w:tc>
          <w:tcPr>
            <w:tcW w:w="1060" w:type="dxa"/>
            <w:vAlign w:val="bottom"/>
          </w:tcPr>
          <w:p>
            <w:pPr>
              <w:jc w:val="right"/>
              <w:ind w:right="56"/>
              <w:spacing w:after="0" w:line="161" w:lineRule="exact"/>
              <w:rPr>
                <w:sz w:val="20"/>
                <w:szCs w:val="20"/>
                <w:color w:val="auto"/>
              </w:rPr>
            </w:pPr>
            <w:r>
              <w:rPr>
                <w:rFonts w:ascii="Arial" w:cs="Arial" w:eastAsia="Arial" w:hAnsi="Arial"/>
                <w:sz w:val="15"/>
                <w:szCs w:val="15"/>
                <w:color w:val="auto"/>
              </w:rPr>
              <w:t>6.375 billion</w:t>
            </w:r>
          </w:p>
        </w:tc>
        <w:tc>
          <w:tcPr>
            <w:tcW w:w="880" w:type="dxa"/>
            <w:vAlign w:val="bottom"/>
            <w:gridSpan w:val="3"/>
          </w:tcPr>
          <w:p>
            <w:pPr>
              <w:jc w:val="right"/>
              <w:ind w:right="160"/>
              <w:spacing w:after="0" w:line="161" w:lineRule="exact"/>
              <w:rPr>
                <w:sz w:val="20"/>
                <w:szCs w:val="20"/>
                <w:color w:val="auto"/>
              </w:rPr>
            </w:pPr>
            <w:r>
              <w:rPr>
                <w:rFonts w:ascii="Arial" w:cs="Arial" w:eastAsia="Arial" w:hAnsi="Arial"/>
                <w:sz w:val="15"/>
                <w:szCs w:val="15"/>
                <w:color w:val="auto"/>
              </w:rPr>
              <w:t>100%$</w:t>
            </w:r>
          </w:p>
        </w:tc>
        <w:tc>
          <w:tcPr>
            <w:tcW w:w="1040" w:type="dxa"/>
            <w:vAlign w:val="bottom"/>
          </w:tcPr>
          <w:p>
            <w:pPr>
              <w:jc w:val="right"/>
              <w:ind w:right="36"/>
              <w:spacing w:after="0" w:line="161" w:lineRule="exact"/>
              <w:rPr>
                <w:sz w:val="20"/>
                <w:szCs w:val="20"/>
                <w:color w:val="auto"/>
              </w:rPr>
            </w:pPr>
            <w:r>
              <w:rPr>
                <w:rFonts w:ascii="Arial" w:cs="Arial" w:eastAsia="Arial" w:hAnsi="Arial"/>
                <w:sz w:val="15"/>
                <w:szCs w:val="15"/>
                <w:color w:val="auto"/>
              </w:rPr>
              <w:t>6.875 billion</w:t>
            </w:r>
          </w:p>
        </w:tc>
        <w:tc>
          <w:tcPr>
            <w:tcW w:w="640" w:type="dxa"/>
            <w:vAlign w:val="bottom"/>
            <w:gridSpan w:val="3"/>
          </w:tcPr>
          <w:p>
            <w:pPr>
              <w:jc w:val="right"/>
              <w:spacing w:after="0" w:line="161" w:lineRule="exact"/>
              <w:rPr>
                <w:sz w:val="20"/>
                <w:szCs w:val="20"/>
                <w:color w:val="auto"/>
              </w:rPr>
            </w:pPr>
            <w:r>
              <w:rPr>
                <w:rFonts w:ascii="Arial" w:cs="Arial" w:eastAsia="Arial" w:hAnsi="Arial"/>
                <w:sz w:val="15"/>
                <w:szCs w:val="15"/>
                <w:color w:val="auto"/>
              </w:rPr>
              <w:t>200%</w:t>
            </w:r>
          </w:p>
        </w:tc>
      </w:tr>
      <w:tr>
        <w:trPr>
          <w:trHeight w:val="20"/>
        </w:trPr>
        <w:tc>
          <w:tcPr>
            <w:tcW w:w="3200" w:type="dxa"/>
            <w:vAlign w:val="bottom"/>
            <w:shd w:val="clear" w:color="auto" w:fill="477157"/>
          </w:tcPr>
          <w:p>
            <w:pPr>
              <w:spacing w:after="0" w:line="20" w:lineRule="exact"/>
              <w:rPr>
                <w:sz w:val="1"/>
                <w:szCs w:val="1"/>
                <w:color w:val="auto"/>
              </w:rPr>
            </w:pPr>
          </w:p>
        </w:tc>
        <w:tc>
          <w:tcPr>
            <w:tcW w:w="240" w:type="dxa"/>
            <w:vAlign w:val="bottom"/>
            <w:shd w:val="clear" w:color="auto" w:fill="477157"/>
          </w:tcPr>
          <w:p>
            <w:pPr>
              <w:spacing w:after="0" w:line="20" w:lineRule="exact"/>
              <w:rPr>
                <w:sz w:val="1"/>
                <w:szCs w:val="1"/>
                <w:color w:val="auto"/>
              </w:rPr>
            </w:pPr>
          </w:p>
        </w:tc>
        <w:tc>
          <w:tcPr>
            <w:tcW w:w="1040" w:type="dxa"/>
            <w:vAlign w:val="bottom"/>
            <w:shd w:val="clear" w:color="auto" w:fill="477157"/>
          </w:tcPr>
          <w:p>
            <w:pPr>
              <w:spacing w:after="0" w:line="20" w:lineRule="exact"/>
              <w:rPr>
                <w:sz w:val="1"/>
                <w:szCs w:val="1"/>
                <w:color w:val="auto"/>
              </w:rPr>
            </w:pPr>
          </w:p>
        </w:tc>
        <w:tc>
          <w:tcPr>
            <w:tcW w:w="500" w:type="dxa"/>
            <w:vAlign w:val="bottom"/>
            <w:shd w:val="clear" w:color="auto" w:fill="477157"/>
          </w:tcPr>
          <w:p>
            <w:pPr>
              <w:spacing w:after="0" w:line="20" w:lineRule="exact"/>
              <w:rPr>
                <w:sz w:val="1"/>
                <w:szCs w:val="1"/>
                <w:color w:val="auto"/>
              </w:rPr>
            </w:pPr>
          </w:p>
        </w:tc>
        <w:tc>
          <w:tcPr>
            <w:tcW w:w="140" w:type="dxa"/>
            <w:vAlign w:val="bottom"/>
            <w:shd w:val="clear" w:color="auto" w:fill="477157"/>
          </w:tcPr>
          <w:p>
            <w:pPr>
              <w:spacing w:after="0" w:line="20" w:lineRule="exact"/>
              <w:rPr>
                <w:sz w:val="1"/>
                <w:szCs w:val="1"/>
                <w:color w:val="auto"/>
              </w:rPr>
            </w:pPr>
          </w:p>
        </w:tc>
        <w:tc>
          <w:tcPr>
            <w:tcW w:w="240" w:type="dxa"/>
            <w:vAlign w:val="bottom"/>
            <w:shd w:val="clear" w:color="auto" w:fill="477157"/>
          </w:tcPr>
          <w:p>
            <w:pPr>
              <w:spacing w:after="0" w:line="20" w:lineRule="exact"/>
              <w:rPr>
                <w:sz w:val="1"/>
                <w:szCs w:val="1"/>
                <w:color w:val="auto"/>
              </w:rPr>
            </w:pPr>
          </w:p>
        </w:tc>
        <w:tc>
          <w:tcPr>
            <w:tcW w:w="1060" w:type="dxa"/>
            <w:vAlign w:val="bottom"/>
            <w:shd w:val="clear" w:color="auto" w:fill="477157"/>
          </w:tcPr>
          <w:p>
            <w:pPr>
              <w:spacing w:after="0" w:line="20" w:lineRule="exact"/>
              <w:rPr>
                <w:sz w:val="1"/>
                <w:szCs w:val="1"/>
                <w:color w:val="auto"/>
              </w:rPr>
            </w:pPr>
          </w:p>
        </w:tc>
        <w:tc>
          <w:tcPr>
            <w:tcW w:w="500" w:type="dxa"/>
            <w:vAlign w:val="bottom"/>
            <w:shd w:val="clear" w:color="auto" w:fill="477157"/>
          </w:tcPr>
          <w:p>
            <w:pPr>
              <w:spacing w:after="0" w:line="20" w:lineRule="exact"/>
              <w:rPr>
                <w:sz w:val="1"/>
                <w:szCs w:val="1"/>
                <w:color w:val="auto"/>
              </w:rPr>
            </w:pPr>
          </w:p>
        </w:tc>
        <w:tc>
          <w:tcPr>
            <w:tcW w:w="140" w:type="dxa"/>
            <w:vAlign w:val="bottom"/>
            <w:shd w:val="clear" w:color="auto" w:fill="477157"/>
          </w:tcPr>
          <w:p>
            <w:pPr>
              <w:spacing w:after="0" w:line="20" w:lineRule="exact"/>
              <w:rPr>
                <w:sz w:val="1"/>
                <w:szCs w:val="1"/>
                <w:color w:val="auto"/>
              </w:rPr>
            </w:pPr>
          </w:p>
        </w:tc>
        <w:tc>
          <w:tcPr>
            <w:tcW w:w="240" w:type="dxa"/>
            <w:vAlign w:val="bottom"/>
            <w:shd w:val="clear" w:color="auto" w:fill="477157"/>
          </w:tcPr>
          <w:p>
            <w:pPr>
              <w:spacing w:after="0" w:line="20" w:lineRule="exact"/>
              <w:rPr>
                <w:sz w:val="1"/>
                <w:szCs w:val="1"/>
                <w:color w:val="auto"/>
              </w:rPr>
            </w:pPr>
          </w:p>
        </w:tc>
        <w:tc>
          <w:tcPr>
            <w:tcW w:w="1040" w:type="dxa"/>
            <w:vAlign w:val="bottom"/>
            <w:shd w:val="clear" w:color="auto" w:fill="477157"/>
          </w:tcPr>
          <w:p>
            <w:pPr>
              <w:spacing w:after="0" w:line="20" w:lineRule="exact"/>
              <w:rPr>
                <w:sz w:val="1"/>
                <w:szCs w:val="1"/>
                <w:color w:val="auto"/>
              </w:rPr>
            </w:pPr>
          </w:p>
        </w:tc>
        <w:tc>
          <w:tcPr>
            <w:tcW w:w="520" w:type="dxa"/>
            <w:vAlign w:val="bottom"/>
            <w:shd w:val="clear" w:color="auto" w:fill="47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The remaining half of each named executive's PSUs are subject to total shareholder return relative to the S&amp;P 500. This measure directly correlates executive compensation with creation of stockholder value. Total shareholder return is calculated as follows: (Common Stock price at end of performance period—Common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PSUs granted in 2019.</w:t>
      </w:r>
    </w:p>
    <w:p>
      <w:pPr>
        <w:spacing w:after="0" w:line="162"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477157"/>
        </w:rPr>
        <w:t>Total Shareholder Return Relative to the S&amp;P 500</w:t>
      </w:r>
    </w:p>
    <w:p>
      <w:pPr>
        <w:spacing w:after="0" w:line="7" w:lineRule="exact"/>
        <w:rPr>
          <w:sz w:val="20"/>
          <w:szCs w:val="20"/>
          <w:color w:val="auto"/>
        </w:rPr>
      </w:pPr>
    </w:p>
    <w:tbl>
      <w:tblPr>
        <w:tblLayout w:type="fixed"/>
        <w:tblInd w:w="1680" w:type="dxa"/>
        <w:tblCellMar>
          <w:top w:w="0" w:type="dxa"/>
          <w:left w:w="0" w:type="dxa"/>
          <w:bottom w:w="0" w:type="dxa"/>
          <w:right w:w="0" w:type="dxa"/>
        </w:tblCellMar>
      </w:tblPr>
      <w:tr>
        <w:trPr>
          <w:trHeight w:val="126"/>
        </w:trPr>
        <w:tc>
          <w:tcPr>
            <w:tcW w:w="5900" w:type="dxa"/>
            <w:vAlign w:val="bottom"/>
            <w:tcBorders>
              <w:top w:val="single" w:sz="8" w:color="auto"/>
              <w:bottom w:val="single" w:sz="8" w:color="477157"/>
            </w:tcBorders>
          </w:tcPr>
          <w:p>
            <w:pPr>
              <w:jc w:val="center"/>
              <w:ind w:left="1174"/>
              <w:spacing w:after="0" w:line="126" w:lineRule="exact"/>
              <w:rPr>
                <w:sz w:val="20"/>
                <w:szCs w:val="20"/>
                <w:color w:val="auto"/>
              </w:rPr>
            </w:pPr>
            <w:r>
              <w:rPr>
                <w:rFonts w:ascii="Arial" w:cs="Arial" w:eastAsia="Arial" w:hAnsi="Arial"/>
                <w:sz w:val="12"/>
                <w:szCs w:val="12"/>
                <w:b w:val="1"/>
                <w:bCs w:val="1"/>
                <w:color w:val="477157"/>
              </w:rPr>
              <w:t>Performance</w:t>
            </w:r>
          </w:p>
        </w:tc>
        <w:tc>
          <w:tcPr>
            <w:tcW w:w="1880" w:type="dxa"/>
            <w:vAlign w:val="bottom"/>
            <w:tcBorders>
              <w:top w:val="single" w:sz="8" w:color="auto"/>
              <w:bottom w:val="single" w:sz="8" w:color="477157"/>
            </w:tcBorders>
            <w:gridSpan w:val="2"/>
          </w:tcPr>
          <w:p>
            <w:pPr>
              <w:ind w:left="1460"/>
              <w:spacing w:after="0" w:line="126" w:lineRule="exact"/>
              <w:rPr>
                <w:sz w:val="20"/>
                <w:szCs w:val="20"/>
                <w:color w:val="auto"/>
              </w:rPr>
            </w:pPr>
            <w:r>
              <w:rPr>
                <w:rFonts w:ascii="Arial" w:cs="Arial" w:eastAsia="Arial" w:hAnsi="Arial"/>
                <w:sz w:val="12"/>
                <w:szCs w:val="12"/>
                <w:b w:val="1"/>
                <w:bCs w:val="1"/>
                <w:color w:val="477157"/>
                <w:w w:val="99"/>
              </w:rPr>
              <w:t>Payout</w:t>
            </w:r>
          </w:p>
        </w:tc>
        <w:tc>
          <w:tcPr>
            <w:tcW w:w="100" w:type="dxa"/>
            <w:vAlign w:val="bottom"/>
          </w:tcPr>
          <w:p>
            <w:pPr>
              <w:spacing w:after="0"/>
              <w:rPr>
                <w:sz w:val="10"/>
                <w:szCs w:val="10"/>
                <w:color w:val="auto"/>
              </w:rPr>
            </w:pPr>
          </w:p>
        </w:tc>
      </w:tr>
      <w:tr>
        <w:trPr>
          <w:trHeight w:val="194"/>
        </w:trPr>
        <w:tc>
          <w:tcPr>
            <w:tcW w:w="5900" w:type="dxa"/>
            <w:vAlign w:val="bottom"/>
          </w:tcPr>
          <w:p>
            <w:pPr>
              <w:jc w:val="center"/>
              <w:ind w:left="1174"/>
              <w:spacing w:after="0" w:line="194" w:lineRule="exact"/>
              <w:rPr>
                <w:sz w:val="20"/>
                <w:szCs w:val="20"/>
                <w:color w:val="auto"/>
              </w:rPr>
            </w:pPr>
            <w:r>
              <w:rPr>
                <w:rFonts w:ascii="Arial" w:cs="Arial" w:eastAsia="Arial" w:hAnsi="Arial"/>
                <w:sz w:val="14"/>
                <w:szCs w:val="14"/>
                <w:color w:val="auto"/>
              </w:rPr>
              <w:t>75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 (Maximum)</w:t>
            </w:r>
          </w:p>
        </w:tc>
        <w:tc>
          <w:tcPr>
            <w:tcW w:w="1980" w:type="dxa"/>
            <w:vAlign w:val="bottom"/>
            <w:gridSpan w:val="3"/>
          </w:tcPr>
          <w:p>
            <w:pPr>
              <w:jc w:val="right"/>
              <w:spacing w:after="0"/>
              <w:rPr>
                <w:sz w:val="20"/>
                <w:szCs w:val="20"/>
                <w:color w:val="auto"/>
              </w:rPr>
            </w:pPr>
            <w:r>
              <w:rPr>
                <w:rFonts w:ascii="Arial" w:cs="Arial" w:eastAsia="Arial" w:hAnsi="Arial"/>
                <w:sz w:val="15"/>
                <w:szCs w:val="15"/>
                <w:color w:val="auto"/>
              </w:rPr>
              <w:t>200%</w:t>
            </w:r>
          </w:p>
        </w:tc>
      </w:tr>
      <w:tr>
        <w:trPr>
          <w:trHeight w:val="20"/>
        </w:trPr>
        <w:tc>
          <w:tcPr>
            <w:tcW w:w="5900" w:type="dxa"/>
            <w:vAlign w:val="bottom"/>
            <w:shd w:val="clear" w:color="auto" w:fill="477157"/>
          </w:tcPr>
          <w:p>
            <w:pPr>
              <w:spacing w:after="0" w:line="20" w:lineRule="exact"/>
              <w:rPr>
                <w:sz w:val="1"/>
                <w:szCs w:val="1"/>
                <w:color w:val="auto"/>
              </w:rPr>
            </w:pPr>
          </w:p>
        </w:tc>
        <w:tc>
          <w:tcPr>
            <w:tcW w:w="1860" w:type="dxa"/>
            <w:vAlign w:val="bottom"/>
            <w:shd w:val="clear" w:color="auto" w:fill="47715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4"/>
        </w:trPr>
        <w:tc>
          <w:tcPr>
            <w:tcW w:w="5900" w:type="dxa"/>
            <w:vAlign w:val="bottom"/>
          </w:tcPr>
          <w:p>
            <w:pPr>
              <w:jc w:val="center"/>
              <w:ind w:left="1174"/>
              <w:spacing w:after="0" w:line="194" w:lineRule="exact"/>
              <w:rPr>
                <w:sz w:val="20"/>
                <w:szCs w:val="20"/>
                <w:color w:val="auto"/>
              </w:rPr>
            </w:pPr>
            <w:r>
              <w:rPr>
                <w:rFonts w:ascii="Arial" w:cs="Arial" w:eastAsia="Arial" w:hAnsi="Arial"/>
                <w:sz w:val="14"/>
                <w:szCs w:val="14"/>
                <w:color w:val="auto"/>
              </w:rPr>
              <w:t>50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 (Target)</w:t>
            </w:r>
          </w:p>
        </w:tc>
        <w:tc>
          <w:tcPr>
            <w:tcW w:w="198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20"/>
        </w:trPr>
        <w:tc>
          <w:tcPr>
            <w:tcW w:w="5900" w:type="dxa"/>
            <w:vAlign w:val="bottom"/>
            <w:shd w:val="clear" w:color="auto" w:fill="477157"/>
          </w:tcPr>
          <w:p>
            <w:pPr>
              <w:spacing w:after="0" w:line="20" w:lineRule="exact"/>
              <w:rPr>
                <w:sz w:val="1"/>
                <w:szCs w:val="1"/>
                <w:color w:val="auto"/>
              </w:rPr>
            </w:pPr>
          </w:p>
        </w:tc>
        <w:tc>
          <w:tcPr>
            <w:tcW w:w="1860" w:type="dxa"/>
            <w:vAlign w:val="bottom"/>
            <w:shd w:val="clear" w:color="auto" w:fill="47715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4"/>
        </w:trPr>
        <w:tc>
          <w:tcPr>
            <w:tcW w:w="5900" w:type="dxa"/>
            <w:vAlign w:val="bottom"/>
          </w:tcPr>
          <w:p>
            <w:pPr>
              <w:jc w:val="center"/>
              <w:ind w:left="1174"/>
              <w:spacing w:after="0" w:line="194" w:lineRule="exact"/>
              <w:rPr>
                <w:sz w:val="20"/>
                <w:szCs w:val="20"/>
                <w:color w:val="auto"/>
              </w:rPr>
            </w:pPr>
            <w:r>
              <w:rPr>
                <w:rFonts w:ascii="Arial" w:cs="Arial" w:eastAsia="Arial" w:hAnsi="Arial"/>
                <w:sz w:val="14"/>
                <w:szCs w:val="14"/>
                <w:color w:val="auto"/>
              </w:rPr>
              <w:t>25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 (Threshold)</w:t>
            </w:r>
          </w:p>
        </w:tc>
        <w:tc>
          <w:tcPr>
            <w:tcW w:w="1980" w:type="dxa"/>
            <w:vAlign w:val="bottom"/>
            <w:gridSpan w:val="3"/>
          </w:tcPr>
          <w:p>
            <w:pPr>
              <w:jc w:val="right"/>
              <w:spacing w:after="0"/>
              <w:rPr>
                <w:sz w:val="20"/>
                <w:szCs w:val="20"/>
                <w:color w:val="auto"/>
              </w:rPr>
            </w:pPr>
            <w:r>
              <w:rPr>
                <w:rFonts w:ascii="Arial" w:cs="Arial" w:eastAsia="Arial" w:hAnsi="Arial"/>
                <w:sz w:val="15"/>
                <w:szCs w:val="15"/>
                <w:color w:val="auto"/>
              </w:rPr>
              <w:t>50%</w:t>
            </w:r>
          </w:p>
        </w:tc>
      </w:tr>
      <w:tr>
        <w:trPr>
          <w:trHeight w:val="20"/>
        </w:trPr>
        <w:tc>
          <w:tcPr>
            <w:tcW w:w="5900" w:type="dxa"/>
            <w:vAlign w:val="bottom"/>
            <w:shd w:val="clear" w:color="auto" w:fill="477157"/>
          </w:tcPr>
          <w:p>
            <w:pPr>
              <w:spacing w:after="0" w:line="20" w:lineRule="exact"/>
              <w:rPr>
                <w:sz w:val="1"/>
                <w:szCs w:val="1"/>
                <w:color w:val="auto"/>
              </w:rPr>
            </w:pPr>
          </w:p>
        </w:tc>
        <w:tc>
          <w:tcPr>
            <w:tcW w:w="1860" w:type="dxa"/>
            <w:vAlign w:val="bottom"/>
            <w:shd w:val="clear" w:color="auto" w:fill="47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2" w:right="31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If actual performance falls between performance levels for either of the PSU performance measures, then the number of PSUs earned will be interpolated between the two performance levels, rounded to the nearest 0.1%.</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different performance measure levels are determined based on an analysis of historical performance and current projections and trends. The MD&amp;C Committee uses this analysis and modeling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affecting the Company for 2019 and beyond, including general economic and market conditions and economic indicators for future periods, to ensure that the cash flow targets align with the Company's long-range strategic plan.</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5"/>
          <w:szCs w:val="15"/>
          <w:i w:val="1"/>
          <w:iCs w:val="1"/>
          <w:u w:val="single" w:color="auto"/>
          <w:color w:val="auto"/>
        </w:rPr>
        <w:t>Payout on PSUs for the Performance Period Ended December 31, 2019.</w:t>
      </w:r>
      <w:r>
        <w:rPr>
          <w:rFonts w:ascii="Arial" w:cs="Arial" w:eastAsia="Arial" w:hAnsi="Arial"/>
          <w:sz w:val="15"/>
          <w:szCs w:val="15"/>
          <w:i w:val="1"/>
          <w:iCs w:val="1"/>
          <w:color w:val="auto"/>
        </w:rPr>
        <w:t xml:space="preserve"> </w:t>
      </w:r>
      <w:r>
        <w:rPr>
          <w:rFonts w:ascii="Arial" w:cs="Arial" w:eastAsia="Arial" w:hAnsi="Arial"/>
          <w:sz w:val="15"/>
          <w:szCs w:val="15"/>
          <w:color w:val="auto"/>
        </w:rPr>
        <w:t>Half of</w:t>
      </w:r>
      <w:r>
        <w:rPr>
          <w:rFonts w:ascii="Arial" w:cs="Arial" w:eastAsia="Arial" w:hAnsi="Arial"/>
          <w:sz w:val="15"/>
          <w:szCs w:val="15"/>
          <w:i w:val="1"/>
          <w:iCs w:val="1"/>
          <w:color w:val="auto"/>
        </w:rPr>
        <w:t xml:space="preserve"> </w:t>
      </w:r>
      <w:r>
        <w:rPr>
          <w:rFonts w:ascii="Arial" w:cs="Arial" w:eastAsia="Arial" w:hAnsi="Arial"/>
          <w:sz w:val="15"/>
          <w:szCs w:val="15"/>
          <w:color w:val="auto"/>
        </w:rPr>
        <w:t>the PSUs granted in 2017 with the performance period ended December 31, 2019 were subject to the cash flow generation performance measure, and the remaining half of the PSUs granted in 2017 were subject to total shareholder return relative to the S&amp;P 500. For the three-year performance period ended December 31, 2019, the Company generated net cash flow from operating activities, less capital expenditures, of $5.959 billion, exceeding the maximum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of $5.336 billion; this performance level yielded a 200% payout in shares of Common Stock that were issued in February 2020. With respect to the PSUs with a three-year performance period ended December 31, 2019 that were subject to total shareholder return relative to the S&amp;P 500, the performance of the Company's Common Stock on this measure translated into a percentile rank relative to the S&amp;P 500 of 73.66%, resulting in a 194.7% payout in shares of Common Stock that were issued in February 2020. In line with the MD&amp;C Committee's policy on calculation adjustments discussed above, no adjustments were made to the performance calculations for these PSUs.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u w:val="single" w:color="auto"/>
          <w:color w:val="auto"/>
        </w:rPr>
        <w:t>Stock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The MD&amp;C Committee believes use of stock options is</w:t>
      </w:r>
      <w:r>
        <w:rPr>
          <w:rFonts w:ascii="Arial" w:cs="Arial" w:eastAsia="Arial" w:hAnsi="Arial"/>
          <w:sz w:val="14"/>
          <w:szCs w:val="14"/>
          <w:i w:val="1"/>
          <w:iCs w:val="1"/>
          <w:color w:val="auto"/>
        </w:rPr>
        <w:t xml:space="preserve"> </w:t>
      </w:r>
      <w:r>
        <w:rPr>
          <w:rFonts w:ascii="Arial" w:cs="Arial" w:eastAsia="Arial" w:hAnsi="Arial"/>
          <w:sz w:val="14"/>
          <w:szCs w:val="14"/>
          <w:color w:val="auto"/>
        </w:rPr>
        <w:t>appropriate to support the growth element of the Company's strategy. The grant of options made to the named executive officers in the first quarter of 2019 in connection with the annual grant of long-term equity awards was based on the targeted dollar amounts established for total long-term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667"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tbl>
      <w:tblPr>
        <w:tblLayout w:type="fixed"/>
        <w:tblInd w:w="168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3480" w:type="dxa"/>
            <w:vAlign w:val="bottom"/>
          </w:tcPr>
          <w:p>
            <w:pPr>
              <w:jc w:val="right"/>
              <w:spacing w:after="0"/>
              <w:rPr>
                <w:sz w:val="20"/>
                <w:szCs w:val="20"/>
                <w:color w:val="auto"/>
              </w:rPr>
            </w:pPr>
            <w:r>
              <w:rPr>
                <w:rFonts w:ascii="Arial" w:cs="Arial" w:eastAsia="Arial" w:hAnsi="Arial"/>
                <w:sz w:val="12"/>
                <w:szCs w:val="12"/>
                <w:b w:val="1"/>
                <w:bCs w:val="1"/>
                <w:color w:val="477157"/>
              </w:rPr>
              <w:t>Number</w:t>
            </w:r>
          </w:p>
        </w:tc>
      </w:tr>
      <w:tr>
        <w:trPr>
          <w:trHeight w:val="145"/>
        </w:trPr>
        <w:tc>
          <w:tcPr>
            <w:tcW w:w="428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Named Executive Officer</w:t>
            </w:r>
          </w:p>
        </w:tc>
        <w:tc>
          <w:tcPr>
            <w:tcW w:w="3480" w:type="dxa"/>
            <w:vAlign w:val="bottom"/>
            <w:tcBorders>
              <w:bottom w:val="single" w:sz="8" w:color="477157"/>
            </w:tcBorders>
          </w:tcPr>
          <w:p>
            <w:pPr>
              <w:jc w:val="right"/>
              <w:spacing w:after="0"/>
              <w:rPr>
                <w:sz w:val="20"/>
                <w:szCs w:val="20"/>
                <w:color w:val="auto"/>
              </w:rPr>
            </w:pPr>
            <w:r>
              <w:rPr>
                <w:rFonts w:ascii="Arial" w:cs="Arial" w:eastAsia="Arial" w:hAnsi="Arial"/>
                <w:sz w:val="12"/>
                <w:szCs w:val="12"/>
                <w:b w:val="1"/>
                <w:bCs w:val="1"/>
                <w:color w:val="477157"/>
              </w:rPr>
              <w:t>of Options</w:t>
            </w:r>
          </w:p>
        </w:tc>
      </w:tr>
      <w:tr>
        <w:trPr>
          <w:trHeight w:val="160"/>
        </w:trPr>
        <w:tc>
          <w:tcPr>
            <w:tcW w:w="42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Fish</w:t>
            </w:r>
          </w:p>
        </w:tc>
        <w:tc>
          <w:tcPr>
            <w:tcW w:w="34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114,566</w:t>
            </w:r>
          </w:p>
        </w:tc>
      </w:tr>
      <w:tr>
        <w:trPr>
          <w:trHeight w:val="160"/>
        </w:trPr>
        <w:tc>
          <w:tcPr>
            <w:tcW w:w="42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Rankin</w:t>
            </w:r>
          </w:p>
        </w:tc>
        <w:tc>
          <w:tcPr>
            <w:tcW w:w="34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32,733</w:t>
            </w:r>
          </w:p>
        </w:tc>
      </w:tr>
      <w:tr>
        <w:trPr>
          <w:trHeight w:val="160"/>
        </w:trPr>
        <w:tc>
          <w:tcPr>
            <w:tcW w:w="42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Morris</w:t>
            </w:r>
          </w:p>
        </w:tc>
        <w:tc>
          <w:tcPr>
            <w:tcW w:w="34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36,007</w:t>
            </w:r>
          </w:p>
        </w:tc>
      </w:tr>
      <w:tr>
        <w:trPr>
          <w:trHeight w:val="160"/>
        </w:trPr>
        <w:tc>
          <w:tcPr>
            <w:tcW w:w="42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Hemmer</w:t>
            </w:r>
          </w:p>
        </w:tc>
        <w:tc>
          <w:tcPr>
            <w:tcW w:w="34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27,005</w:t>
            </w:r>
          </w:p>
        </w:tc>
      </w:tr>
      <w:tr>
        <w:trPr>
          <w:trHeight w:val="160"/>
        </w:trPr>
        <w:tc>
          <w:tcPr>
            <w:tcW w:w="42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Batchelor</w:t>
            </w:r>
          </w:p>
        </w:tc>
        <w:tc>
          <w:tcPr>
            <w:tcW w:w="34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27,005</w:t>
            </w:r>
          </w:p>
        </w:tc>
      </w:tr>
    </w:tbl>
    <w:p>
      <w:pPr>
        <w:spacing w:after="0" w:line="164"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715518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stock options will vest in 25% increments on the first two anniversaries of the date of grant and the remaining 50% will vest on the third anniversary. The exercise price of the options granted in 2019 is $98.898, which is the average of the high and low market price of our Common Stock on the date of grant, and the options have a term of ten years. We account for our employee stock options under the fair value method of accounting using a Black-Scholes methodology to measure stock option expense at the date of grant. The fair value of the stock options at the date of grant is amortized to expense over the vesting period less expected forfeitures, except for stock options granted to retirement-eligible employees, for which expense is fully recognized at the time of grant.</w:t>
      </w:r>
    </w:p>
    <w:p>
      <w:pPr>
        <w:spacing w:after="0" w:line="153" w:lineRule="exact"/>
        <w:rPr>
          <w:sz w:val="20"/>
          <w:szCs w:val="20"/>
          <w:color w:val="auto"/>
        </w:rPr>
      </w:pPr>
    </w:p>
    <w:p>
      <w:pPr>
        <w:jc w:val="both"/>
        <w:spacing w:after="0" w:line="241" w:lineRule="auto"/>
        <w:rPr>
          <w:sz w:val="20"/>
          <w:szCs w:val="20"/>
          <w:color w:val="auto"/>
        </w:rPr>
      </w:pPr>
      <w:r>
        <w:rPr>
          <w:rFonts w:ascii="Arial" w:cs="Arial" w:eastAsia="Arial" w:hAnsi="Arial"/>
          <w:sz w:val="15"/>
          <w:szCs w:val="15"/>
          <w:i w:val="1"/>
          <w:iCs w:val="1"/>
          <w:u w:val="single" w:color="auto"/>
          <w:color w:val="auto"/>
        </w:rPr>
        <w:t>Restricted Stock Units.</w:t>
      </w:r>
      <w:r>
        <w:rPr>
          <w:rFonts w:ascii="Arial" w:cs="Arial" w:eastAsia="Arial" w:hAnsi="Arial"/>
          <w:sz w:val="15"/>
          <w:szCs w:val="15"/>
          <w:i w:val="1"/>
          <w:iCs w:val="1"/>
          <w:color w:val="auto"/>
        </w:rPr>
        <w:t xml:space="preserve"> </w:t>
      </w:r>
      <w:r>
        <w:rPr>
          <w:rFonts w:ascii="Arial" w:cs="Arial" w:eastAsia="Arial" w:hAnsi="Arial"/>
          <w:sz w:val="15"/>
          <w:szCs w:val="15"/>
          <w:color w:val="auto"/>
        </w:rPr>
        <w:t>The MD&amp;C Committee anticipates that grants of RSUs</w:t>
      </w:r>
      <w:r>
        <w:rPr>
          <w:rFonts w:ascii="Arial" w:cs="Arial" w:eastAsia="Arial" w:hAnsi="Arial"/>
          <w:sz w:val="15"/>
          <w:szCs w:val="15"/>
          <w:i w:val="1"/>
          <w:iCs w:val="1"/>
          <w:color w:val="auto"/>
        </w:rPr>
        <w:t xml:space="preserve"> </w:t>
      </w:r>
      <w:r>
        <w:rPr>
          <w:rFonts w:ascii="Arial" w:cs="Arial" w:eastAsia="Arial" w:hAnsi="Arial"/>
          <w:sz w:val="15"/>
          <w:szCs w:val="15"/>
          <w:color w:val="auto"/>
        </w:rPr>
        <w:t>to named executives will continue to be made on a limited basis in cases such as a significant promotion and increased responsibilities and to attract new hires, and that RSUs will not be a routine component of named executive compensation. No RSUs were granted to named executives in 2019.</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MD&amp;C Committee approved an award of 15,625 RSUs to Mr. Fish upon his promotion to President and Chief Executive Officer in November 2016 that vested ratably over three years. The final one-third of this promotional grant of RSUs vested in November 2019. Additionally, Ms. Rankin, Ms. Hemmer and Mr. Batchelor previously received RSUs as part of their equity incentive compensation granted prior to being promoted to the senior leadership team, and such RSUs vest in full on the third anniversary of the date of grant. Ms. Rankin's last remaining grant of RSUs vested in February 2019. As of December 31, 2019, Ms. Hemmer and Mr. Batchelor had 1,331 and 1,107 unvested RSUs, respectively. Dividend equivalents on RSUs accrue and are paid in cash upon vesting. RSUs may not be voted or transferred until vested.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477157"/>
        </w:rPr>
        <w:t>Post-Employment and Change in Control Compensation; Clawback Policies</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5"/>
          <w:szCs w:val="15"/>
          <w:i w:val="1"/>
          <w:iCs w:val="1"/>
          <w:u w:val="single" w:color="auto"/>
          <w:color w:val="auto"/>
        </w:rPr>
        <w:t>Severance Protection Plan.</w:t>
      </w:r>
      <w:r>
        <w:rPr>
          <w:rFonts w:ascii="Arial" w:cs="Arial" w:eastAsia="Arial" w:hAnsi="Arial"/>
          <w:sz w:val="15"/>
          <w:szCs w:val="15"/>
          <w:i w:val="1"/>
          <w:iCs w:val="1"/>
          <w:color w:val="auto"/>
        </w:rPr>
        <w:t xml:space="preserve"> </w:t>
      </w:r>
      <w:r>
        <w:rPr>
          <w:rFonts w:ascii="Arial" w:cs="Arial" w:eastAsia="Arial" w:hAnsi="Arial"/>
          <w:sz w:val="15"/>
          <w:szCs w:val="15"/>
          <w:color w:val="auto"/>
        </w:rPr>
        <w:t>In December 2017, we adopted an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Severance Protection Plan (the "Severance Protection Plan") and each of Messrs. Fish and Morris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are intended to transition the Company's severance protections away from contract-based protections and onto a standardized and flexible plan-based approach. Going forward, the Company does not anticipate entering into new employment agreements with our executive officers, and neither Ms. Hemmer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auto"/>
        </w:rPr>
        <w:t>nor Mr. Batchelor are party to an employment agreement with the Company.</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5"/>
          <w:szCs w:val="15"/>
          <w:i w:val="1"/>
          <w:iCs w:val="1"/>
          <w:u w:val="single" w:color="auto"/>
          <w:color w:val="auto"/>
        </w:rPr>
        <w:t>Post-Employment Covenants and Clawback Policies.</w:t>
      </w:r>
      <w:r>
        <w:rPr>
          <w:rFonts w:ascii="Arial" w:cs="Arial" w:eastAsia="Arial" w:hAnsi="Arial"/>
          <w:sz w:val="15"/>
          <w:szCs w:val="15"/>
          <w:i w:val="1"/>
          <w:iCs w:val="1"/>
          <w:color w:val="auto"/>
        </w:rPr>
        <w:t xml:space="preserve"> </w:t>
      </w:r>
      <w:r>
        <w:rPr>
          <w:rFonts w:ascii="Arial" w:cs="Arial" w:eastAsia="Arial" w:hAnsi="Arial"/>
          <w:sz w:val="15"/>
          <w:szCs w:val="15"/>
          <w:color w:val="auto"/>
        </w:rPr>
        <w:t>The 2017 Employment</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Agreements contain noncompetition and nonsolicitation restrictions 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equity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Other Compensation Policies and Practices</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5"/>
          <w:szCs w:val="15"/>
          <w:i w:val="1"/>
          <w:iCs w:val="1"/>
          <w:u w:val="single" w:color="auto"/>
          <w:color w:val="auto"/>
        </w:rPr>
        <w:t>Compensation Limitation Policies.</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has adopted a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Limitation Policy that generally provides that the Company may not enter into new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new compensation</w:t>
      </w:r>
    </w:p>
    <w:p>
      <w:pPr>
        <w:spacing w:after="0" w:line="200"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35"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38</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41" w:name="page42"/>
    <w:bookmarkEnd w:id="4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EXECUTIVE COMPENSATION</w:t>
      </w:r>
    </w:p>
    <w:p>
      <w:pPr>
        <w:sectPr>
          <w:pgSz w:w="11900" w:h="16838" w:orient="portrait"/>
          <w:cols w:equalWidth="0" w:num="1">
            <w:col w:w="11260"/>
          </w:cols>
          <w:pgMar w:left="320" w:top="142" w:right="319" w:bottom="1440" w:gutter="0" w:footer="0" w:header="0"/>
        </w:sectPr>
      </w:pP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5"/>
          <w:szCs w:val="15"/>
          <w:i w:val="1"/>
          <w:iCs w:val="1"/>
          <w:u w:val="single" w:color="auto"/>
          <w:color w:val="auto"/>
        </w:rPr>
        <w:t>Stock Ownership Guidelines and Holding Requirements.</w:t>
      </w:r>
      <w:r>
        <w:rPr>
          <w:rFonts w:ascii="Arial" w:cs="Arial" w:eastAsia="Arial" w:hAnsi="Arial"/>
          <w:sz w:val="15"/>
          <w:szCs w:val="15"/>
          <w:i w:val="1"/>
          <w:iCs w:val="1"/>
          <w:color w:val="auto"/>
        </w:rPr>
        <w:t xml:space="preserve"> </w:t>
      </w:r>
      <w:r>
        <w:rPr>
          <w:rFonts w:ascii="Arial" w:cs="Arial" w:eastAsia="Arial" w:hAnsi="Arial"/>
          <w:sz w:val="15"/>
          <w:szCs w:val="15"/>
          <w:color w:val="auto"/>
        </w:rPr>
        <w:t>All of our named</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are subject to stock ownership guidelines. We instituted 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executives to reach their ownership guidelines, the MD&amp;C Committee monitors ownership levels to confirm that executives are making sustained progress toward achievement of their ownership guidelines.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Additionally, our stock ownership guidelines contain holding requirements. Executives with a title of Senior Vice President or higher, which includes all of our named executives,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must hold 100% of all net shares acquired through the Company's long-term incentive plans for at least one year, and those individuals must continue to hold 100% of all such net shares until the individual's ownership guideline is achieved. Once achieved, the requisite stock ownership level must continue to be retained throughout the executive's employment with the Company. Our MD&amp;C Committee believes these holding periods discourage executives from taking actions in an effort to gain from short-term increases in the market value of our stock.</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MD&amp;C Committee regularly reviews the ownership guidelines to ensure that the appropriate share ownership levels are in place. Guidelines are expressed as a fixed number of shares and were revised in November 2018 to account for the Company's more recent sustained Common Stock market value. The ownership requirement of Mr. Fish, our President and Chief Executive Officer, was over six times base salary, using his base salary as of December 31, 2019 and an assumed $80 per share stock price. Using the closing price of our Common Stock on March 16, 2020, the ownership requirement of our President and Chief Executive Officer is approximately 7.6 times his base salary as of December 31, 2019. Shares owned outright, vested RSUs and PSUs that have been deferred, stock equivalents based on holdings in the Company's 401(k) Retirement Savings Plan and phantom stock held in the Company's 409A Deferral Plan count toward meeting the ownership guidelines. Stock options, PSUs, RSUs and restricted stock, if any, do not count toward meeting the ownership guidelines until they are vested or earned. The following table outlines the stock ownership guidelines and attainment for our named executive officers.</w:t>
      </w:r>
    </w:p>
    <w:p>
      <w:pPr>
        <w:spacing w:after="0" w:line="1010"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tbl>
      <w:tblPr>
        <w:tblLayout w:type="fixed"/>
        <w:tblInd w:w="1680"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3240" w:type="dxa"/>
            <w:vAlign w:val="bottom"/>
          </w:tcPr>
          <w:p>
            <w:pPr>
              <w:jc w:val="right"/>
              <w:ind w:right="32"/>
              <w:spacing w:after="0"/>
              <w:rPr>
                <w:sz w:val="20"/>
                <w:szCs w:val="20"/>
                <w:color w:val="auto"/>
              </w:rPr>
            </w:pPr>
            <w:r>
              <w:rPr>
                <w:rFonts w:ascii="Arial" w:cs="Arial" w:eastAsia="Arial" w:hAnsi="Arial"/>
                <w:sz w:val="12"/>
                <w:szCs w:val="12"/>
                <w:b w:val="1"/>
                <w:bCs w:val="1"/>
                <w:color w:val="477157"/>
              </w:rPr>
              <w:t>Ownership</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480" w:type="dxa"/>
            <w:vAlign w:val="bottom"/>
          </w:tcPr>
          <w:p>
            <w:pPr>
              <w:spacing w:after="0"/>
              <w:rPr>
                <w:sz w:val="11"/>
                <w:szCs w:val="11"/>
                <w:color w:val="auto"/>
              </w:rPr>
            </w:pPr>
          </w:p>
        </w:tc>
        <w:tc>
          <w:tcPr>
            <w:tcW w:w="3240" w:type="dxa"/>
            <w:vAlign w:val="bottom"/>
          </w:tcPr>
          <w:p>
            <w:pPr>
              <w:jc w:val="right"/>
              <w:ind w:right="32"/>
              <w:spacing w:after="0" w:line="136" w:lineRule="exact"/>
              <w:rPr>
                <w:sz w:val="20"/>
                <w:szCs w:val="20"/>
                <w:color w:val="auto"/>
              </w:rPr>
            </w:pPr>
            <w:r>
              <w:rPr>
                <w:rFonts w:ascii="Arial" w:cs="Arial" w:eastAsia="Arial" w:hAnsi="Arial"/>
                <w:sz w:val="12"/>
                <w:szCs w:val="12"/>
                <w:b w:val="1"/>
                <w:bCs w:val="1"/>
                <w:color w:val="477157"/>
              </w:rPr>
              <w:t>Guideline (number</w:t>
            </w:r>
          </w:p>
        </w:tc>
        <w:tc>
          <w:tcPr>
            <w:tcW w:w="1160" w:type="dxa"/>
            <w:vAlign w:val="bottom"/>
            <w:gridSpan w:val="3"/>
          </w:tcPr>
          <w:p>
            <w:pPr>
              <w:jc w:val="right"/>
              <w:ind w:right="120"/>
              <w:spacing w:after="0" w:line="136" w:lineRule="exact"/>
              <w:rPr>
                <w:sz w:val="20"/>
                <w:szCs w:val="20"/>
                <w:color w:val="auto"/>
              </w:rPr>
            </w:pPr>
            <w:r>
              <w:rPr>
                <w:rFonts w:ascii="Arial" w:cs="Arial" w:eastAsia="Arial" w:hAnsi="Arial"/>
                <w:sz w:val="12"/>
                <w:szCs w:val="12"/>
                <w:b w:val="1"/>
                <w:bCs w:val="1"/>
                <w:color w:val="477157"/>
              </w:rPr>
              <w:t>Attainment as of</w:t>
            </w:r>
          </w:p>
        </w:tc>
      </w:tr>
      <w:tr>
        <w:trPr>
          <w:trHeight w:val="145"/>
        </w:trPr>
        <w:tc>
          <w:tcPr>
            <w:tcW w:w="348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Named Executive Officer</w:t>
            </w:r>
          </w:p>
        </w:tc>
        <w:tc>
          <w:tcPr>
            <w:tcW w:w="3240" w:type="dxa"/>
            <w:vAlign w:val="bottom"/>
            <w:tcBorders>
              <w:bottom w:val="single" w:sz="8" w:color="477157"/>
            </w:tcBorders>
          </w:tcPr>
          <w:p>
            <w:pPr>
              <w:jc w:val="right"/>
              <w:ind w:right="32"/>
              <w:spacing w:after="0"/>
              <w:rPr>
                <w:sz w:val="20"/>
                <w:szCs w:val="20"/>
                <w:color w:val="auto"/>
              </w:rPr>
            </w:pPr>
            <w:r>
              <w:rPr>
                <w:rFonts w:ascii="Arial" w:cs="Arial" w:eastAsia="Arial" w:hAnsi="Arial"/>
                <w:sz w:val="12"/>
                <w:szCs w:val="12"/>
                <w:b w:val="1"/>
                <w:bCs w:val="1"/>
                <w:color w:val="477157"/>
              </w:rPr>
              <w:t>of shares)</w:t>
            </w:r>
          </w:p>
        </w:tc>
        <w:tc>
          <w:tcPr>
            <w:tcW w:w="106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2"/>
                <w:szCs w:val="12"/>
                <w:b w:val="1"/>
                <w:bCs w:val="1"/>
                <w:color w:val="477157"/>
              </w:rPr>
              <w:t>March 16, 2020</w:t>
            </w:r>
          </w:p>
        </w:tc>
        <w:tc>
          <w:tcPr>
            <w:tcW w:w="100" w:type="dxa"/>
            <w:vAlign w:val="bottom"/>
          </w:tcPr>
          <w:p>
            <w:pPr>
              <w:spacing w:after="0"/>
              <w:rPr>
                <w:sz w:val="12"/>
                <w:szCs w:val="12"/>
                <w:color w:val="auto"/>
              </w:rPr>
            </w:pPr>
          </w:p>
        </w:tc>
      </w:tr>
      <w:tr>
        <w:trPr>
          <w:trHeight w:val="160"/>
        </w:trPr>
        <w:tc>
          <w:tcPr>
            <w:tcW w:w="3480" w:type="dxa"/>
            <w:vAlign w:val="bottom"/>
          </w:tcPr>
          <w:p>
            <w:pPr>
              <w:spacing w:after="0" w:line="161" w:lineRule="exact"/>
              <w:rPr>
                <w:sz w:val="20"/>
                <w:szCs w:val="20"/>
                <w:color w:val="auto"/>
              </w:rPr>
            </w:pPr>
            <w:r>
              <w:rPr>
                <w:rFonts w:ascii="Arial" w:cs="Arial" w:eastAsia="Arial" w:hAnsi="Arial"/>
                <w:sz w:val="15"/>
                <w:szCs w:val="15"/>
                <w:b w:val="1"/>
                <w:bCs w:val="1"/>
                <w:color w:val="auto"/>
              </w:rPr>
              <w:t>Mr. Fish</w:t>
            </w:r>
          </w:p>
        </w:tc>
        <w:tc>
          <w:tcPr>
            <w:tcW w:w="3240" w:type="dxa"/>
            <w:vAlign w:val="bottom"/>
          </w:tcPr>
          <w:p>
            <w:pPr>
              <w:jc w:val="right"/>
              <w:ind w:right="32"/>
              <w:spacing w:after="0" w:line="161" w:lineRule="exact"/>
              <w:rPr>
                <w:sz w:val="20"/>
                <w:szCs w:val="20"/>
                <w:color w:val="auto"/>
              </w:rPr>
            </w:pPr>
            <w:r>
              <w:rPr>
                <w:rFonts w:ascii="Arial" w:cs="Arial" w:eastAsia="Arial" w:hAnsi="Arial"/>
                <w:sz w:val="15"/>
                <w:szCs w:val="15"/>
                <w:color w:val="auto"/>
              </w:rPr>
              <w:t>95,000</w:t>
            </w:r>
          </w:p>
        </w:tc>
        <w:tc>
          <w:tcPr>
            <w:tcW w:w="1160" w:type="dxa"/>
            <w:vAlign w:val="bottom"/>
            <w:gridSpan w:val="3"/>
          </w:tcPr>
          <w:p>
            <w:pPr>
              <w:jc w:val="right"/>
              <w:spacing w:after="0" w:line="161" w:lineRule="exact"/>
              <w:rPr>
                <w:sz w:val="20"/>
                <w:szCs w:val="20"/>
                <w:color w:val="auto"/>
              </w:rPr>
            </w:pPr>
            <w:r>
              <w:rPr>
                <w:rFonts w:ascii="Arial" w:cs="Arial" w:eastAsia="Arial" w:hAnsi="Arial"/>
                <w:sz w:val="15"/>
                <w:szCs w:val="15"/>
                <w:color w:val="auto"/>
              </w:rPr>
              <w:t>278%</w:t>
            </w:r>
          </w:p>
        </w:tc>
      </w:tr>
      <w:tr>
        <w:trPr>
          <w:trHeight w:val="20"/>
        </w:trPr>
        <w:tc>
          <w:tcPr>
            <w:tcW w:w="3480" w:type="dxa"/>
            <w:vAlign w:val="bottom"/>
            <w:shd w:val="clear" w:color="auto" w:fill="477157"/>
          </w:tcPr>
          <w:p>
            <w:pPr>
              <w:spacing w:after="0" w:line="20" w:lineRule="exact"/>
              <w:rPr>
                <w:sz w:val="1"/>
                <w:szCs w:val="1"/>
                <w:color w:val="auto"/>
              </w:rPr>
            </w:pPr>
          </w:p>
        </w:tc>
        <w:tc>
          <w:tcPr>
            <w:tcW w:w="3240" w:type="dxa"/>
            <w:vAlign w:val="bottom"/>
            <w:shd w:val="clear" w:color="auto" w:fill="477157"/>
          </w:tcPr>
          <w:p>
            <w:pPr>
              <w:spacing w:after="0" w:line="20" w:lineRule="exact"/>
              <w:rPr>
                <w:sz w:val="1"/>
                <w:szCs w:val="1"/>
                <w:color w:val="auto"/>
              </w:rPr>
            </w:pPr>
          </w:p>
        </w:tc>
        <w:tc>
          <w:tcPr>
            <w:tcW w:w="1040" w:type="dxa"/>
            <w:vAlign w:val="bottom"/>
            <w:shd w:val="clear" w:color="auto" w:fill="47715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60"/>
        </w:trPr>
        <w:tc>
          <w:tcPr>
            <w:tcW w:w="3480" w:type="dxa"/>
            <w:vAlign w:val="bottom"/>
          </w:tcPr>
          <w:p>
            <w:pPr>
              <w:spacing w:after="0" w:line="161" w:lineRule="exact"/>
              <w:rPr>
                <w:sz w:val="20"/>
                <w:szCs w:val="20"/>
                <w:color w:val="auto"/>
              </w:rPr>
            </w:pPr>
            <w:r>
              <w:rPr>
                <w:rFonts w:ascii="Arial" w:cs="Arial" w:eastAsia="Arial" w:hAnsi="Arial"/>
                <w:sz w:val="15"/>
                <w:szCs w:val="15"/>
                <w:b w:val="1"/>
                <w:bCs w:val="1"/>
                <w:color w:val="auto"/>
              </w:rPr>
              <w:t>Ms. Rankin</w:t>
            </w:r>
          </w:p>
        </w:tc>
        <w:tc>
          <w:tcPr>
            <w:tcW w:w="3240" w:type="dxa"/>
            <w:vAlign w:val="bottom"/>
          </w:tcPr>
          <w:p>
            <w:pPr>
              <w:jc w:val="right"/>
              <w:ind w:right="32"/>
              <w:spacing w:after="0" w:line="161" w:lineRule="exact"/>
              <w:rPr>
                <w:sz w:val="20"/>
                <w:szCs w:val="20"/>
                <w:color w:val="auto"/>
              </w:rPr>
            </w:pPr>
            <w:r>
              <w:rPr>
                <w:rFonts w:ascii="Arial" w:cs="Arial" w:eastAsia="Arial" w:hAnsi="Arial"/>
                <w:sz w:val="15"/>
                <w:szCs w:val="15"/>
                <w:color w:val="auto"/>
              </w:rPr>
              <w:t>25,000</w:t>
            </w:r>
          </w:p>
        </w:tc>
        <w:tc>
          <w:tcPr>
            <w:tcW w:w="1160" w:type="dxa"/>
            <w:vAlign w:val="bottom"/>
            <w:gridSpan w:val="3"/>
          </w:tcPr>
          <w:p>
            <w:pPr>
              <w:jc w:val="right"/>
              <w:spacing w:after="0" w:line="161" w:lineRule="exact"/>
              <w:rPr>
                <w:sz w:val="20"/>
                <w:szCs w:val="20"/>
                <w:color w:val="auto"/>
              </w:rPr>
            </w:pPr>
            <w:r>
              <w:rPr>
                <w:rFonts w:ascii="Arial" w:cs="Arial" w:eastAsia="Arial" w:hAnsi="Arial"/>
                <w:sz w:val="15"/>
                <w:szCs w:val="15"/>
                <w:color w:val="auto"/>
              </w:rPr>
              <w:t>102%</w:t>
            </w:r>
          </w:p>
        </w:tc>
      </w:tr>
      <w:tr>
        <w:trPr>
          <w:trHeight w:val="20"/>
        </w:trPr>
        <w:tc>
          <w:tcPr>
            <w:tcW w:w="3480" w:type="dxa"/>
            <w:vAlign w:val="bottom"/>
            <w:shd w:val="clear" w:color="auto" w:fill="477157"/>
          </w:tcPr>
          <w:p>
            <w:pPr>
              <w:spacing w:after="0" w:line="20" w:lineRule="exact"/>
              <w:rPr>
                <w:sz w:val="1"/>
                <w:szCs w:val="1"/>
                <w:color w:val="auto"/>
              </w:rPr>
            </w:pPr>
          </w:p>
        </w:tc>
        <w:tc>
          <w:tcPr>
            <w:tcW w:w="3240" w:type="dxa"/>
            <w:vAlign w:val="bottom"/>
            <w:shd w:val="clear" w:color="auto" w:fill="477157"/>
          </w:tcPr>
          <w:p>
            <w:pPr>
              <w:spacing w:after="0" w:line="20" w:lineRule="exact"/>
              <w:rPr>
                <w:sz w:val="1"/>
                <w:szCs w:val="1"/>
                <w:color w:val="auto"/>
              </w:rPr>
            </w:pPr>
          </w:p>
        </w:tc>
        <w:tc>
          <w:tcPr>
            <w:tcW w:w="1040" w:type="dxa"/>
            <w:vAlign w:val="bottom"/>
            <w:shd w:val="clear" w:color="auto" w:fill="47715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60"/>
        </w:trPr>
        <w:tc>
          <w:tcPr>
            <w:tcW w:w="3480" w:type="dxa"/>
            <w:vAlign w:val="bottom"/>
          </w:tcPr>
          <w:p>
            <w:pPr>
              <w:spacing w:after="0" w:line="161" w:lineRule="exact"/>
              <w:rPr>
                <w:sz w:val="20"/>
                <w:szCs w:val="20"/>
                <w:color w:val="auto"/>
              </w:rPr>
            </w:pPr>
            <w:r>
              <w:rPr>
                <w:rFonts w:ascii="Arial" w:cs="Arial" w:eastAsia="Arial" w:hAnsi="Arial"/>
                <w:sz w:val="15"/>
                <w:szCs w:val="15"/>
                <w:b w:val="1"/>
                <w:bCs w:val="1"/>
                <w:color w:val="auto"/>
              </w:rPr>
              <w:t>Mr. Morris</w:t>
            </w:r>
          </w:p>
        </w:tc>
        <w:tc>
          <w:tcPr>
            <w:tcW w:w="3240" w:type="dxa"/>
            <w:vAlign w:val="bottom"/>
          </w:tcPr>
          <w:p>
            <w:pPr>
              <w:jc w:val="right"/>
              <w:ind w:right="32"/>
              <w:spacing w:after="0" w:line="161" w:lineRule="exact"/>
              <w:rPr>
                <w:sz w:val="20"/>
                <w:szCs w:val="20"/>
                <w:color w:val="auto"/>
              </w:rPr>
            </w:pPr>
            <w:r>
              <w:rPr>
                <w:rFonts w:ascii="Arial" w:cs="Arial" w:eastAsia="Arial" w:hAnsi="Arial"/>
                <w:sz w:val="15"/>
                <w:szCs w:val="15"/>
                <w:color w:val="auto"/>
              </w:rPr>
              <w:t>27,500</w:t>
            </w:r>
          </w:p>
        </w:tc>
        <w:tc>
          <w:tcPr>
            <w:tcW w:w="1160" w:type="dxa"/>
            <w:vAlign w:val="bottom"/>
            <w:gridSpan w:val="3"/>
          </w:tcPr>
          <w:p>
            <w:pPr>
              <w:jc w:val="right"/>
              <w:spacing w:after="0" w:line="161" w:lineRule="exact"/>
              <w:rPr>
                <w:sz w:val="20"/>
                <w:szCs w:val="20"/>
                <w:color w:val="auto"/>
              </w:rPr>
            </w:pPr>
            <w:r>
              <w:rPr>
                <w:rFonts w:ascii="Arial" w:cs="Arial" w:eastAsia="Arial" w:hAnsi="Arial"/>
                <w:sz w:val="15"/>
                <w:szCs w:val="15"/>
                <w:color w:val="auto"/>
              </w:rPr>
              <w:t>325%</w:t>
            </w:r>
          </w:p>
        </w:tc>
      </w:tr>
      <w:tr>
        <w:trPr>
          <w:trHeight w:val="20"/>
        </w:trPr>
        <w:tc>
          <w:tcPr>
            <w:tcW w:w="3480" w:type="dxa"/>
            <w:vAlign w:val="bottom"/>
            <w:shd w:val="clear" w:color="auto" w:fill="477157"/>
          </w:tcPr>
          <w:p>
            <w:pPr>
              <w:spacing w:after="0" w:line="20" w:lineRule="exact"/>
              <w:rPr>
                <w:sz w:val="1"/>
                <w:szCs w:val="1"/>
                <w:color w:val="auto"/>
              </w:rPr>
            </w:pPr>
          </w:p>
        </w:tc>
        <w:tc>
          <w:tcPr>
            <w:tcW w:w="3240" w:type="dxa"/>
            <w:vAlign w:val="bottom"/>
            <w:shd w:val="clear" w:color="auto" w:fill="477157"/>
          </w:tcPr>
          <w:p>
            <w:pPr>
              <w:spacing w:after="0" w:line="20" w:lineRule="exact"/>
              <w:rPr>
                <w:sz w:val="1"/>
                <w:szCs w:val="1"/>
                <w:color w:val="auto"/>
              </w:rPr>
            </w:pPr>
          </w:p>
        </w:tc>
        <w:tc>
          <w:tcPr>
            <w:tcW w:w="1040" w:type="dxa"/>
            <w:vAlign w:val="bottom"/>
            <w:shd w:val="clear" w:color="auto" w:fill="47715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60"/>
        </w:trPr>
        <w:tc>
          <w:tcPr>
            <w:tcW w:w="3480" w:type="dxa"/>
            <w:vAlign w:val="bottom"/>
          </w:tcPr>
          <w:p>
            <w:pPr>
              <w:spacing w:after="0" w:line="161" w:lineRule="exact"/>
              <w:rPr>
                <w:sz w:val="20"/>
                <w:szCs w:val="20"/>
                <w:color w:val="auto"/>
              </w:rPr>
            </w:pPr>
            <w:r>
              <w:rPr>
                <w:rFonts w:ascii="Arial" w:cs="Arial" w:eastAsia="Arial" w:hAnsi="Arial"/>
                <w:sz w:val="15"/>
                <w:szCs w:val="15"/>
                <w:b w:val="1"/>
                <w:bCs w:val="1"/>
                <w:color w:val="auto"/>
              </w:rPr>
              <w:t>Ms. Hemmer</w:t>
            </w:r>
          </w:p>
        </w:tc>
        <w:tc>
          <w:tcPr>
            <w:tcW w:w="3240" w:type="dxa"/>
            <w:vAlign w:val="bottom"/>
          </w:tcPr>
          <w:p>
            <w:pPr>
              <w:jc w:val="right"/>
              <w:ind w:right="32"/>
              <w:spacing w:after="0" w:line="161" w:lineRule="exact"/>
              <w:rPr>
                <w:sz w:val="20"/>
                <w:szCs w:val="20"/>
                <w:color w:val="auto"/>
              </w:rPr>
            </w:pPr>
            <w:r>
              <w:rPr>
                <w:rFonts w:ascii="Arial" w:cs="Arial" w:eastAsia="Arial" w:hAnsi="Arial"/>
                <w:sz w:val="15"/>
                <w:szCs w:val="15"/>
                <w:color w:val="auto"/>
              </w:rPr>
              <w:t>14,000</w:t>
            </w:r>
          </w:p>
        </w:tc>
        <w:tc>
          <w:tcPr>
            <w:tcW w:w="1160" w:type="dxa"/>
            <w:vAlign w:val="bottom"/>
            <w:gridSpan w:val="3"/>
          </w:tcPr>
          <w:p>
            <w:pPr>
              <w:jc w:val="right"/>
              <w:spacing w:after="0" w:line="161" w:lineRule="exact"/>
              <w:rPr>
                <w:sz w:val="20"/>
                <w:szCs w:val="20"/>
                <w:color w:val="auto"/>
              </w:rPr>
            </w:pPr>
            <w:r>
              <w:rPr>
                <w:rFonts w:ascii="Arial" w:cs="Arial" w:eastAsia="Arial" w:hAnsi="Arial"/>
                <w:sz w:val="15"/>
                <w:szCs w:val="15"/>
                <w:color w:val="auto"/>
              </w:rPr>
              <w:t>153%</w:t>
            </w:r>
          </w:p>
        </w:tc>
      </w:tr>
      <w:tr>
        <w:trPr>
          <w:trHeight w:val="20"/>
        </w:trPr>
        <w:tc>
          <w:tcPr>
            <w:tcW w:w="3480" w:type="dxa"/>
            <w:vAlign w:val="bottom"/>
            <w:shd w:val="clear" w:color="auto" w:fill="477157"/>
          </w:tcPr>
          <w:p>
            <w:pPr>
              <w:spacing w:after="0" w:line="20" w:lineRule="exact"/>
              <w:rPr>
                <w:sz w:val="1"/>
                <w:szCs w:val="1"/>
                <w:color w:val="auto"/>
              </w:rPr>
            </w:pPr>
          </w:p>
        </w:tc>
        <w:tc>
          <w:tcPr>
            <w:tcW w:w="3240" w:type="dxa"/>
            <w:vAlign w:val="bottom"/>
            <w:shd w:val="clear" w:color="auto" w:fill="477157"/>
          </w:tcPr>
          <w:p>
            <w:pPr>
              <w:spacing w:after="0" w:line="20" w:lineRule="exact"/>
              <w:rPr>
                <w:sz w:val="1"/>
                <w:szCs w:val="1"/>
                <w:color w:val="auto"/>
              </w:rPr>
            </w:pPr>
          </w:p>
        </w:tc>
        <w:tc>
          <w:tcPr>
            <w:tcW w:w="1040" w:type="dxa"/>
            <w:vAlign w:val="bottom"/>
            <w:shd w:val="clear" w:color="auto" w:fill="47715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60"/>
        </w:trPr>
        <w:tc>
          <w:tcPr>
            <w:tcW w:w="3480" w:type="dxa"/>
            <w:vAlign w:val="bottom"/>
          </w:tcPr>
          <w:p>
            <w:pPr>
              <w:spacing w:after="0" w:line="161" w:lineRule="exact"/>
              <w:rPr>
                <w:sz w:val="20"/>
                <w:szCs w:val="20"/>
                <w:color w:val="auto"/>
              </w:rPr>
            </w:pPr>
            <w:r>
              <w:rPr>
                <w:rFonts w:ascii="Arial" w:cs="Arial" w:eastAsia="Arial" w:hAnsi="Arial"/>
                <w:sz w:val="15"/>
                <w:szCs w:val="15"/>
                <w:b w:val="1"/>
                <w:bCs w:val="1"/>
                <w:color w:val="auto"/>
              </w:rPr>
              <w:t>Mr. Batchelor</w:t>
            </w:r>
          </w:p>
        </w:tc>
        <w:tc>
          <w:tcPr>
            <w:tcW w:w="3240" w:type="dxa"/>
            <w:vAlign w:val="bottom"/>
          </w:tcPr>
          <w:p>
            <w:pPr>
              <w:jc w:val="right"/>
              <w:ind w:right="32"/>
              <w:spacing w:after="0" w:line="161" w:lineRule="exact"/>
              <w:rPr>
                <w:sz w:val="20"/>
                <w:szCs w:val="20"/>
                <w:color w:val="auto"/>
              </w:rPr>
            </w:pPr>
            <w:r>
              <w:rPr>
                <w:rFonts w:ascii="Arial" w:cs="Arial" w:eastAsia="Arial" w:hAnsi="Arial"/>
                <w:sz w:val="15"/>
                <w:szCs w:val="15"/>
                <w:color w:val="auto"/>
              </w:rPr>
              <w:t>14,000</w:t>
            </w:r>
          </w:p>
        </w:tc>
        <w:tc>
          <w:tcPr>
            <w:tcW w:w="1160" w:type="dxa"/>
            <w:vAlign w:val="bottom"/>
            <w:gridSpan w:val="3"/>
          </w:tcPr>
          <w:p>
            <w:pPr>
              <w:jc w:val="right"/>
              <w:spacing w:after="0" w:line="161" w:lineRule="exact"/>
              <w:rPr>
                <w:sz w:val="20"/>
                <w:szCs w:val="20"/>
                <w:color w:val="auto"/>
              </w:rPr>
            </w:pPr>
            <w:r>
              <w:rPr>
                <w:rFonts w:ascii="Arial" w:cs="Arial" w:eastAsia="Arial" w:hAnsi="Arial"/>
                <w:sz w:val="15"/>
                <w:szCs w:val="15"/>
                <w:color w:val="auto"/>
              </w:rPr>
              <w:t>187%</w:t>
            </w:r>
          </w:p>
        </w:tc>
      </w:tr>
      <w:tr>
        <w:trPr>
          <w:trHeight w:val="20"/>
        </w:trPr>
        <w:tc>
          <w:tcPr>
            <w:tcW w:w="3480" w:type="dxa"/>
            <w:vAlign w:val="bottom"/>
            <w:shd w:val="clear" w:color="auto" w:fill="477157"/>
          </w:tcPr>
          <w:p>
            <w:pPr>
              <w:spacing w:after="0" w:line="20" w:lineRule="exact"/>
              <w:rPr>
                <w:sz w:val="1"/>
                <w:szCs w:val="1"/>
                <w:color w:val="auto"/>
              </w:rPr>
            </w:pPr>
          </w:p>
        </w:tc>
        <w:tc>
          <w:tcPr>
            <w:tcW w:w="3240" w:type="dxa"/>
            <w:vAlign w:val="bottom"/>
            <w:shd w:val="clear" w:color="auto" w:fill="477157"/>
          </w:tcPr>
          <w:p>
            <w:pPr>
              <w:spacing w:after="0" w:line="20" w:lineRule="exact"/>
              <w:rPr>
                <w:sz w:val="1"/>
                <w:szCs w:val="1"/>
                <w:color w:val="auto"/>
              </w:rPr>
            </w:pPr>
          </w:p>
        </w:tc>
        <w:tc>
          <w:tcPr>
            <w:tcW w:w="1040" w:type="dxa"/>
            <w:vAlign w:val="bottom"/>
            <w:shd w:val="clear" w:color="auto" w:fill="47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2" w:right="31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As discussed under "Director and Officer Stock Ownership," the MD&amp;C Committee also establishes ownership guidelines for the independent directors and performs regular reviews to ensure all independent directors are in compliance or are showing sustained progress toward achievement of their ownership guideline.</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5"/>
          <w:szCs w:val="15"/>
          <w:i w:val="1"/>
          <w:iCs w:val="1"/>
          <w:u w:val="single" w:color="auto"/>
          <w:color w:val="auto"/>
        </w:rPr>
        <w:t>Insider Trading; Prohibition of Hedging and Pledging Company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Company's Insider Trading Policy prohibits 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w:t>
      </w:r>
    </w:p>
    <w:p>
      <w:pPr>
        <w:spacing w:after="0" w:line="1" w:lineRule="exact"/>
        <w:rPr>
          <w:sz w:val="20"/>
          <w:szCs w:val="20"/>
          <w:color w:val="auto"/>
        </w:rPr>
      </w:pPr>
    </w:p>
    <w:p>
      <w:pPr>
        <w:jc w:val="both"/>
        <w:ind w:firstLine="2"/>
        <w:spacing w:after="0" w:line="236" w:lineRule="auto"/>
        <w:tabs>
          <w:tab w:leader="none" w:pos="235" w:val="left"/>
        </w:tabs>
        <w:numPr>
          <w:ilvl w:val="0"/>
          <w:numId w:val="37"/>
        </w:numPr>
        <w:rPr>
          <w:rFonts w:ascii="Arial" w:cs="Arial" w:eastAsia="Arial" w:hAnsi="Arial"/>
          <w:sz w:val="15"/>
          <w:szCs w:val="15"/>
          <w:color w:val="auto"/>
        </w:rPr>
      </w:pPr>
      <w:r>
        <w:rPr>
          <w:rFonts w:ascii="Arial" w:cs="Arial" w:eastAsia="Arial" w:hAnsi="Arial"/>
          <w:sz w:val="15"/>
          <w:szCs w:val="15"/>
          <w:color w:val="auto"/>
        </w:rPr>
        <w:t>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and executive officers may not pledge Company securities or hold Company securities in a margin account.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133350</wp:posOffset>
            </wp:positionV>
            <wp:extent cx="7160260" cy="196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-99060</wp:posOffset>
            </wp:positionV>
            <wp:extent cx="429260" cy="1143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2">
            <w:col w:w="5280" w:space="680"/>
            <w:col w:w="5300"/>
          </w:cols>
          <w:pgMar w:left="320" w:top="142" w:right="319" w:bottom="1440" w:gutter="0" w:footer="0" w:header="0"/>
          <w:type w:val="continuous"/>
        </w:sectPr>
      </w:pPr>
    </w:p>
    <w:bookmarkStart w:id="42" w:name="page43"/>
    <w:bookmarkEnd w:id="4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477157"/>
        </w:rPr>
        <w:t>Executive Compensation Tables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15"/>
          <w:szCs w:val="15"/>
          <w:i w:val="1"/>
          <w:iCs w:val="1"/>
          <w:color w:val="auto"/>
        </w:rPr>
        <w:t>Compensation Discussion and Analysis</w:t>
      </w:r>
      <w:r>
        <w:rPr>
          <w:rFonts w:ascii="Arial" w:cs="Arial" w:eastAsia="Arial" w:hAnsi="Arial"/>
          <w:sz w:val="15"/>
          <w:szCs w:val="15"/>
          <w:color w:val="auto"/>
        </w:rPr>
        <w:t xml:space="preserve"> contains a discussion that should be read in conjunction with these tables to gain a complete understanding of our executive compensation philosophy, programs and decisions.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477157"/>
        </w:rPr>
        <w:t>SUMMARY COMPENSATION TABLE</w:t>
      </w:r>
    </w:p>
    <w:p>
      <w:pPr>
        <w:spacing w:after="0" w:line="177"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jc w:val="right"/>
              <w:ind w:right="10"/>
              <w:spacing w:after="0"/>
              <w:rPr>
                <w:sz w:val="20"/>
                <w:szCs w:val="20"/>
                <w:color w:val="auto"/>
              </w:rPr>
            </w:pPr>
            <w:r>
              <w:rPr>
                <w:rFonts w:ascii="Arial" w:cs="Arial" w:eastAsia="Arial" w:hAnsi="Arial"/>
                <w:sz w:val="12"/>
                <w:szCs w:val="12"/>
                <w:b w:val="1"/>
                <w:bCs w:val="1"/>
                <w:color w:val="477157"/>
              </w:rPr>
              <w:t>Non-Equity</w:t>
            </w: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35"/>
        </w:trPr>
        <w:tc>
          <w:tcPr>
            <w:tcW w:w="2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Stock</w:t>
            </w:r>
          </w:p>
        </w:tc>
        <w:tc>
          <w:tcPr>
            <w:tcW w:w="880" w:type="dxa"/>
            <w:vAlign w:val="bottom"/>
          </w:tcPr>
          <w:p>
            <w:pPr>
              <w:jc w:val="right"/>
              <w:ind w:right="50"/>
              <w:spacing w:after="0" w:line="136" w:lineRule="exact"/>
              <w:rPr>
                <w:sz w:val="20"/>
                <w:szCs w:val="20"/>
                <w:color w:val="auto"/>
              </w:rPr>
            </w:pPr>
            <w:r>
              <w:rPr>
                <w:rFonts w:ascii="Arial" w:cs="Arial" w:eastAsia="Arial" w:hAnsi="Arial"/>
                <w:sz w:val="12"/>
                <w:szCs w:val="12"/>
                <w:b w:val="1"/>
                <w:bCs w:val="1"/>
                <w:color w:val="477157"/>
              </w:rPr>
              <w:t>Option</w:t>
            </w:r>
          </w:p>
        </w:tc>
        <w:tc>
          <w:tcPr>
            <w:tcW w:w="1020" w:type="dxa"/>
            <w:vAlign w:val="bottom"/>
          </w:tcPr>
          <w:p>
            <w:pPr>
              <w:jc w:val="right"/>
              <w:ind w:right="10"/>
              <w:spacing w:after="0" w:line="136" w:lineRule="exact"/>
              <w:rPr>
                <w:sz w:val="20"/>
                <w:szCs w:val="20"/>
                <w:color w:val="auto"/>
              </w:rPr>
            </w:pPr>
            <w:r>
              <w:rPr>
                <w:rFonts w:ascii="Arial" w:cs="Arial" w:eastAsia="Arial" w:hAnsi="Arial"/>
                <w:sz w:val="12"/>
                <w:szCs w:val="12"/>
                <w:b w:val="1"/>
                <w:bCs w:val="1"/>
                <w:color w:val="477157"/>
              </w:rPr>
              <w:t>Incentive Plan</w:t>
            </w:r>
          </w:p>
        </w:tc>
        <w:tc>
          <w:tcPr>
            <w:tcW w:w="102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All Other</w:t>
            </w:r>
          </w:p>
        </w:tc>
        <w:tc>
          <w:tcPr>
            <w:tcW w:w="840" w:type="dxa"/>
            <w:vAlign w:val="bottom"/>
          </w:tcPr>
          <w:p>
            <w:pPr>
              <w:spacing w:after="0"/>
              <w:rPr>
                <w:sz w:val="11"/>
                <w:szCs w:val="11"/>
                <w:color w:val="auto"/>
              </w:rPr>
            </w:pPr>
          </w:p>
        </w:tc>
      </w:tr>
      <w:tr>
        <w:trPr>
          <w:trHeight w:val="143"/>
        </w:trPr>
        <w:tc>
          <w:tcPr>
            <w:tcW w:w="2760" w:type="dxa"/>
            <w:vAlign w:val="bottom"/>
          </w:tcPr>
          <w:p>
            <w:pPr>
              <w:spacing w:after="0"/>
              <w:rPr>
                <w:sz w:val="12"/>
                <w:szCs w:val="12"/>
                <w:color w:val="auto"/>
              </w:rPr>
            </w:pPr>
          </w:p>
        </w:tc>
        <w:tc>
          <w:tcPr>
            <w:tcW w:w="1000" w:type="dxa"/>
            <w:vAlign w:val="bottom"/>
          </w:tcPr>
          <w:p>
            <w:pPr>
              <w:jc w:val="right"/>
              <w:ind w:right="131"/>
              <w:spacing w:after="0"/>
              <w:rPr>
                <w:sz w:val="20"/>
                <w:szCs w:val="20"/>
                <w:color w:val="auto"/>
              </w:rPr>
            </w:pPr>
            <w:r>
              <w:rPr>
                <w:rFonts w:ascii="Arial" w:cs="Arial" w:eastAsia="Arial" w:hAnsi="Arial"/>
                <w:sz w:val="12"/>
                <w:szCs w:val="12"/>
                <w:b w:val="1"/>
                <w:bCs w:val="1"/>
                <w:color w:val="477157"/>
              </w:rPr>
              <w:t>Salary</w:t>
            </w:r>
          </w:p>
        </w:tc>
        <w:tc>
          <w:tcPr>
            <w:tcW w:w="600" w:type="dxa"/>
            <w:vAlign w:val="bottom"/>
          </w:tcPr>
          <w:p>
            <w:pPr>
              <w:jc w:val="right"/>
              <w:ind w:right="49"/>
              <w:spacing w:after="0"/>
              <w:rPr>
                <w:sz w:val="20"/>
                <w:szCs w:val="20"/>
                <w:color w:val="auto"/>
              </w:rPr>
            </w:pPr>
            <w:r>
              <w:rPr>
                <w:rFonts w:ascii="Arial" w:cs="Arial" w:eastAsia="Arial" w:hAnsi="Arial"/>
                <w:sz w:val="12"/>
                <w:szCs w:val="12"/>
                <w:b w:val="1"/>
                <w:bCs w:val="1"/>
                <w:color w:val="477157"/>
              </w:rPr>
              <w:t>Bonus</w:t>
            </w:r>
          </w:p>
        </w:tc>
        <w:tc>
          <w:tcPr>
            <w:tcW w:w="860" w:type="dxa"/>
            <w:vAlign w:val="bottom"/>
          </w:tcPr>
          <w:p>
            <w:pPr>
              <w:jc w:val="right"/>
              <w:ind w:right="30"/>
              <w:spacing w:after="0"/>
              <w:rPr>
                <w:sz w:val="20"/>
                <w:szCs w:val="20"/>
                <w:color w:val="auto"/>
              </w:rPr>
            </w:pPr>
            <w:r>
              <w:rPr>
                <w:rFonts w:ascii="Arial" w:cs="Arial" w:eastAsia="Arial" w:hAnsi="Arial"/>
                <w:sz w:val="12"/>
                <w:szCs w:val="12"/>
                <w:b w:val="1"/>
                <w:bCs w:val="1"/>
                <w:color w:val="477157"/>
              </w:rPr>
              <w:t>Awards</w:t>
            </w:r>
          </w:p>
        </w:tc>
        <w:tc>
          <w:tcPr>
            <w:tcW w:w="880" w:type="dxa"/>
            <w:vAlign w:val="bottom"/>
          </w:tcPr>
          <w:p>
            <w:pPr>
              <w:jc w:val="right"/>
              <w:ind w:right="50"/>
              <w:spacing w:after="0"/>
              <w:rPr>
                <w:sz w:val="20"/>
                <w:szCs w:val="20"/>
                <w:color w:val="auto"/>
              </w:rPr>
            </w:pPr>
            <w:r>
              <w:rPr>
                <w:rFonts w:ascii="Arial" w:cs="Arial" w:eastAsia="Arial" w:hAnsi="Arial"/>
                <w:sz w:val="12"/>
                <w:szCs w:val="12"/>
                <w:b w:val="1"/>
                <w:bCs w:val="1"/>
                <w:color w:val="477157"/>
              </w:rPr>
              <w:t>Awards</w:t>
            </w:r>
          </w:p>
        </w:tc>
        <w:tc>
          <w:tcPr>
            <w:tcW w:w="1020" w:type="dxa"/>
            <w:vAlign w:val="bottom"/>
          </w:tcPr>
          <w:p>
            <w:pPr>
              <w:jc w:val="right"/>
              <w:ind w:right="10"/>
              <w:spacing w:after="0"/>
              <w:rPr>
                <w:sz w:val="20"/>
                <w:szCs w:val="20"/>
                <w:color w:val="auto"/>
              </w:rPr>
            </w:pPr>
            <w:r>
              <w:rPr>
                <w:rFonts w:ascii="Arial" w:cs="Arial" w:eastAsia="Arial" w:hAnsi="Arial"/>
                <w:sz w:val="12"/>
                <w:szCs w:val="12"/>
                <w:b w:val="1"/>
                <w:bCs w:val="1"/>
                <w:color w:val="477157"/>
              </w:rPr>
              <w:t>Compensation</w:t>
            </w:r>
          </w:p>
        </w:tc>
        <w:tc>
          <w:tcPr>
            <w:tcW w:w="1020" w:type="dxa"/>
            <w:vAlign w:val="bottom"/>
          </w:tcPr>
          <w:p>
            <w:pPr>
              <w:jc w:val="right"/>
              <w:ind w:right="30"/>
              <w:spacing w:after="0"/>
              <w:rPr>
                <w:sz w:val="20"/>
                <w:szCs w:val="20"/>
                <w:color w:val="auto"/>
              </w:rPr>
            </w:pPr>
            <w:r>
              <w:rPr>
                <w:rFonts w:ascii="Arial" w:cs="Arial" w:eastAsia="Arial" w:hAnsi="Arial"/>
                <w:sz w:val="12"/>
                <w:szCs w:val="12"/>
                <w:b w:val="1"/>
                <w:bCs w:val="1"/>
                <w:color w:val="477157"/>
              </w:rPr>
              <w:t>Compensation</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477157"/>
              </w:rPr>
              <w:t>Total</w:t>
            </w:r>
          </w:p>
        </w:tc>
      </w:tr>
      <w:tr>
        <w:trPr>
          <w:trHeight w:val="160"/>
        </w:trPr>
        <w:tc>
          <w:tcPr>
            <w:tcW w:w="276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Year</w:t>
            </w:r>
          </w:p>
        </w:tc>
        <w:tc>
          <w:tcPr>
            <w:tcW w:w="1000" w:type="dxa"/>
            <w:vAlign w:val="bottom"/>
            <w:tcBorders>
              <w:bottom w:val="single" w:sz="8" w:color="477157"/>
            </w:tcBorders>
          </w:tcPr>
          <w:p>
            <w:pPr>
              <w:jc w:val="right"/>
              <w:ind w:right="131"/>
              <w:spacing w:after="0"/>
              <w:rPr>
                <w:sz w:val="20"/>
                <w:szCs w:val="20"/>
                <w:color w:val="auto"/>
              </w:rPr>
            </w:pPr>
            <w:r>
              <w:rPr>
                <w:rFonts w:ascii="Arial" w:cs="Arial" w:eastAsia="Arial" w:hAnsi="Arial"/>
                <w:sz w:val="12"/>
                <w:szCs w:val="12"/>
                <w:b w:val="1"/>
                <w:bCs w:val="1"/>
                <w:color w:val="477157"/>
              </w:rPr>
              <w:t>($)</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(1)</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(2)</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(3)</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(4)</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(5)</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2"/>
                <w:szCs w:val="12"/>
                <w:b w:val="1"/>
                <w:bCs w:val="1"/>
                <w:color w:val="477157"/>
              </w:rPr>
              <w:t>($)</w:t>
            </w:r>
          </w:p>
        </w:tc>
      </w:tr>
      <w:tr>
        <w:trPr>
          <w:trHeight w:val="145"/>
        </w:trPr>
        <w:tc>
          <w:tcPr>
            <w:tcW w:w="2760" w:type="dxa"/>
            <w:vAlign w:val="bottom"/>
          </w:tcPr>
          <w:p>
            <w:pPr>
              <w:spacing w:after="0" w:line="145" w:lineRule="exact"/>
              <w:rPr>
                <w:sz w:val="20"/>
                <w:szCs w:val="20"/>
                <w:color w:val="auto"/>
              </w:rPr>
            </w:pPr>
            <w:r>
              <w:rPr>
                <w:rFonts w:ascii="Arial" w:cs="Arial" w:eastAsia="Arial" w:hAnsi="Arial"/>
                <w:sz w:val="15"/>
                <w:szCs w:val="15"/>
                <w:b w:val="1"/>
                <w:bCs w:val="1"/>
                <w:color w:val="auto"/>
              </w:rPr>
              <w:t>James C. Fish, Jr.</w:t>
            </w: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4"/>
        </w:trPr>
        <w:tc>
          <w:tcPr>
            <w:tcW w:w="2760" w:type="dxa"/>
            <w:vAlign w:val="bottom"/>
            <w:tcBorders>
              <w:bottom w:val="single" w:sz="8" w:color="477157"/>
            </w:tcBorders>
          </w:tcPr>
          <w:p>
            <w:pPr>
              <w:spacing w:after="0"/>
              <w:rPr>
                <w:sz w:val="20"/>
                <w:szCs w:val="20"/>
                <w:color w:val="auto"/>
              </w:rPr>
            </w:pPr>
            <w:r>
              <w:rPr>
                <w:rFonts w:ascii="Arial" w:cs="Arial" w:eastAsia="Arial" w:hAnsi="Arial"/>
                <w:sz w:val="15"/>
                <w:szCs w:val="15"/>
                <w:b w:val="1"/>
                <w:bCs w:val="1"/>
                <w:color w:val="auto"/>
              </w:rPr>
              <w:t>President and Chief Executive Officer</w:t>
            </w:r>
          </w:p>
        </w:tc>
        <w:tc>
          <w:tcPr>
            <w:tcW w:w="1000" w:type="dxa"/>
            <w:vAlign w:val="bottom"/>
            <w:tcBorders>
              <w:bottom w:val="single" w:sz="8" w:color="477157"/>
            </w:tcBorders>
          </w:tcPr>
          <w:p>
            <w:pPr>
              <w:spacing w:after="0"/>
              <w:rPr>
                <w:sz w:val="16"/>
                <w:szCs w:val="16"/>
                <w:color w:val="auto"/>
              </w:rPr>
            </w:pPr>
          </w:p>
        </w:tc>
        <w:tc>
          <w:tcPr>
            <w:tcW w:w="600" w:type="dxa"/>
            <w:vAlign w:val="bottom"/>
            <w:tcBorders>
              <w:bottom w:val="single" w:sz="8" w:color="477157"/>
            </w:tcBorders>
          </w:tcPr>
          <w:p>
            <w:pPr>
              <w:spacing w:after="0"/>
              <w:rPr>
                <w:sz w:val="16"/>
                <w:szCs w:val="16"/>
                <w:color w:val="auto"/>
              </w:rPr>
            </w:pPr>
          </w:p>
        </w:tc>
        <w:tc>
          <w:tcPr>
            <w:tcW w:w="860" w:type="dxa"/>
            <w:vAlign w:val="bottom"/>
            <w:tcBorders>
              <w:bottom w:val="single" w:sz="8" w:color="477157"/>
            </w:tcBorders>
          </w:tcPr>
          <w:p>
            <w:pPr>
              <w:spacing w:after="0"/>
              <w:rPr>
                <w:sz w:val="16"/>
                <w:szCs w:val="16"/>
                <w:color w:val="auto"/>
              </w:rPr>
            </w:pPr>
          </w:p>
        </w:tc>
        <w:tc>
          <w:tcPr>
            <w:tcW w:w="880" w:type="dxa"/>
            <w:vAlign w:val="bottom"/>
            <w:tcBorders>
              <w:bottom w:val="single" w:sz="8" w:color="477157"/>
            </w:tcBorders>
          </w:tcPr>
          <w:p>
            <w:pPr>
              <w:spacing w:after="0"/>
              <w:rPr>
                <w:sz w:val="16"/>
                <w:szCs w:val="16"/>
                <w:color w:val="auto"/>
              </w:rPr>
            </w:pPr>
          </w:p>
        </w:tc>
        <w:tc>
          <w:tcPr>
            <w:tcW w:w="1020" w:type="dxa"/>
            <w:vAlign w:val="bottom"/>
            <w:tcBorders>
              <w:bottom w:val="single" w:sz="8" w:color="477157"/>
            </w:tcBorders>
          </w:tcPr>
          <w:p>
            <w:pPr>
              <w:spacing w:after="0"/>
              <w:rPr>
                <w:sz w:val="16"/>
                <w:szCs w:val="16"/>
                <w:color w:val="auto"/>
              </w:rPr>
            </w:pPr>
          </w:p>
        </w:tc>
        <w:tc>
          <w:tcPr>
            <w:tcW w:w="1020" w:type="dxa"/>
            <w:vAlign w:val="bottom"/>
            <w:tcBorders>
              <w:bottom w:val="single" w:sz="8" w:color="477157"/>
            </w:tcBorders>
          </w:tcPr>
          <w:p>
            <w:pPr>
              <w:spacing w:after="0"/>
              <w:rPr>
                <w:sz w:val="16"/>
                <w:szCs w:val="16"/>
                <w:color w:val="auto"/>
              </w:rPr>
            </w:pPr>
          </w:p>
        </w:tc>
        <w:tc>
          <w:tcPr>
            <w:tcW w:w="840" w:type="dxa"/>
            <w:vAlign w:val="bottom"/>
            <w:tcBorders>
              <w:bottom w:val="single" w:sz="8" w:color="477157"/>
            </w:tcBorders>
          </w:tcPr>
          <w:p>
            <w:pPr>
              <w:spacing w:after="0"/>
              <w:rPr>
                <w:sz w:val="16"/>
                <w:szCs w:val="16"/>
                <w:color w:val="auto"/>
              </w:rPr>
            </w:pPr>
          </w:p>
        </w:tc>
      </w:tr>
      <w:tr>
        <w:trPr>
          <w:trHeight w:val="160"/>
        </w:trPr>
        <w:tc>
          <w:tcPr>
            <w:tcW w:w="27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2019</w:t>
            </w:r>
          </w:p>
        </w:tc>
        <w:tc>
          <w:tcPr>
            <w:tcW w:w="1000" w:type="dxa"/>
            <w:vAlign w:val="bottom"/>
            <w:tcBorders>
              <w:bottom w:val="single" w:sz="8" w:color="477157"/>
            </w:tcBorders>
          </w:tcPr>
          <w:p>
            <w:pPr>
              <w:jc w:val="right"/>
              <w:spacing w:after="0" w:line="160" w:lineRule="exact"/>
              <w:rPr>
                <w:sz w:val="20"/>
                <w:szCs w:val="20"/>
                <w:color w:val="auto"/>
              </w:rPr>
            </w:pPr>
            <w:r>
              <w:rPr>
                <w:rFonts w:ascii="Arial" w:cs="Arial" w:eastAsia="Arial" w:hAnsi="Arial"/>
                <w:sz w:val="12"/>
                <w:szCs w:val="12"/>
                <w:color w:val="auto"/>
              </w:rPr>
              <w:t>1,232,788</w:t>
            </w:r>
            <w:r>
              <w:rPr>
                <w:rFonts w:ascii="Arial" w:cs="Arial" w:eastAsia="Arial" w:hAnsi="Arial"/>
                <w:sz w:val="18"/>
                <w:szCs w:val="18"/>
                <w:color w:val="auto"/>
                <w:vertAlign w:val="superscript"/>
              </w:rPr>
              <w:t>(7)</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6,853,530</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5"/>
                <w:szCs w:val="15"/>
                <w:color w:val="auto"/>
              </w:rPr>
              <w:t>1,399,997</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5"/>
                <w:szCs w:val="15"/>
                <w:color w:val="auto"/>
              </w:rPr>
              <w:t>1,704,132</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107,654</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11,298,101</w:t>
            </w:r>
          </w:p>
        </w:tc>
      </w:tr>
      <w:tr>
        <w:trPr>
          <w:trHeight w:val="160"/>
        </w:trPr>
        <w:tc>
          <w:tcPr>
            <w:tcW w:w="27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2018</w:t>
            </w:r>
          </w:p>
        </w:tc>
        <w:tc>
          <w:tcPr>
            <w:tcW w:w="1000" w:type="dxa"/>
            <w:vAlign w:val="bottom"/>
            <w:tcBorders>
              <w:bottom w:val="single" w:sz="8" w:color="477157"/>
            </w:tcBorders>
          </w:tcPr>
          <w:p>
            <w:pPr>
              <w:jc w:val="right"/>
              <w:spacing w:after="0" w:line="160" w:lineRule="exact"/>
              <w:rPr>
                <w:sz w:val="20"/>
                <w:szCs w:val="20"/>
                <w:color w:val="auto"/>
              </w:rPr>
            </w:pPr>
            <w:r>
              <w:rPr>
                <w:rFonts w:ascii="Arial" w:cs="Arial" w:eastAsia="Arial" w:hAnsi="Arial"/>
                <w:sz w:val="12"/>
                <w:szCs w:val="12"/>
                <w:color w:val="auto"/>
              </w:rPr>
              <w:t>1,157,692</w:t>
            </w:r>
            <w:r>
              <w:rPr>
                <w:rFonts w:ascii="Arial" w:cs="Arial" w:eastAsia="Arial" w:hAnsi="Arial"/>
                <w:sz w:val="18"/>
                <w:szCs w:val="18"/>
                <w:color w:val="auto"/>
                <w:vertAlign w:val="superscript"/>
              </w:rPr>
              <w:t>(7)</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5,431,408</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5"/>
                <w:szCs w:val="15"/>
                <w:color w:val="auto"/>
              </w:rPr>
              <w:t>1,199,997</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5"/>
                <w:szCs w:val="15"/>
                <w:color w:val="auto"/>
              </w:rPr>
              <w:t>1,169,293</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166,891</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9,125,281</w:t>
            </w:r>
          </w:p>
        </w:tc>
      </w:tr>
      <w:tr>
        <w:trPr>
          <w:trHeight w:val="160"/>
        </w:trPr>
        <w:tc>
          <w:tcPr>
            <w:tcW w:w="27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2017</w:t>
            </w:r>
          </w:p>
        </w:tc>
        <w:tc>
          <w:tcPr>
            <w:tcW w:w="10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color w:val="auto"/>
              </w:rPr>
              <w:t>1,076,923</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4,762,674</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5"/>
                <w:szCs w:val="15"/>
                <w:color w:val="auto"/>
              </w:rPr>
              <w:t>1,000,002</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5"/>
                <w:szCs w:val="15"/>
                <w:color w:val="auto"/>
              </w:rPr>
              <w:t>2,062,111</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92,395</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8,994,105</w:t>
            </w:r>
          </w:p>
        </w:tc>
      </w:tr>
      <w:tr>
        <w:trPr>
          <w:trHeight w:val="145"/>
        </w:trPr>
        <w:tc>
          <w:tcPr>
            <w:tcW w:w="2760" w:type="dxa"/>
            <w:vAlign w:val="bottom"/>
          </w:tcPr>
          <w:p>
            <w:pPr>
              <w:spacing w:after="0" w:line="145" w:lineRule="exact"/>
              <w:rPr>
                <w:sz w:val="20"/>
                <w:szCs w:val="20"/>
                <w:color w:val="auto"/>
              </w:rPr>
            </w:pPr>
            <w:r>
              <w:rPr>
                <w:rFonts w:ascii="Arial" w:cs="Arial" w:eastAsia="Arial" w:hAnsi="Arial"/>
                <w:sz w:val="15"/>
                <w:szCs w:val="15"/>
                <w:b w:val="1"/>
                <w:bCs w:val="1"/>
                <w:color w:val="auto"/>
              </w:rPr>
              <w:t>Devina A. Rankin</w:t>
            </w: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9"/>
        </w:trPr>
        <w:tc>
          <w:tcPr>
            <w:tcW w:w="2760" w:type="dxa"/>
            <w:vAlign w:val="bottom"/>
          </w:tcPr>
          <w:p>
            <w:pPr>
              <w:spacing w:after="0" w:line="169" w:lineRule="exact"/>
              <w:rPr>
                <w:sz w:val="20"/>
                <w:szCs w:val="20"/>
                <w:color w:val="auto"/>
              </w:rPr>
            </w:pPr>
            <w:r>
              <w:rPr>
                <w:rFonts w:ascii="Arial" w:cs="Arial" w:eastAsia="Arial" w:hAnsi="Arial"/>
                <w:sz w:val="15"/>
                <w:szCs w:val="15"/>
                <w:b w:val="1"/>
                <w:bCs w:val="1"/>
                <w:color w:val="auto"/>
              </w:rPr>
              <w:t>Senior Vice President and Chief</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4"/>
        </w:trPr>
        <w:tc>
          <w:tcPr>
            <w:tcW w:w="2760" w:type="dxa"/>
            <w:vAlign w:val="bottom"/>
            <w:tcBorders>
              <w:bottom w:val="single" w:sz="8" w:color="477157"/>
            </w:tcBorders>
          </w:tcPr>
          <w:p>
            <w:pPr>
              <w:spacing w:after="0"/>
              <w:rPr>
                <w:sz w:val="20"/>
                <w:szCs w:val="20"/>
                <w:color w:val="auto"/>
              </w:rPr>
            </w:pPr>
            <w:r>
              <w:rPr>
                <w:rFonts w:ascii="Arial" w:cs="Arial" w:eastAsia="Arial" w:hAnsi="Arial"/>
                <w:sz w:val="15"/>
                <w:szCs w:val="15"/>
                <w:b w:val="1"/>
                <w:bCs w:val="1"/>
                <w:color w:val="auto"/>
              </w:rPr>
              <w:t>Financial Officer</w:t>
            </w:r>
          </w:p>
        </w:tc>
        <w:tc>
          <w:tcPr>
            <w:tcW w:w="1000" w:type="dxa"/>
            <w:vAlign w:val="bottom"/>
            <w:tcBorders>
              <w:bottom w:val="single" w:sz="8" w:color="477157"/>
            </w:tcBorders>
          </w:tcPr>
          <w:p>
            <w:pPr>
              <w:spacing w:after="0"/>
              <w:rPr>
                <w:sz w:val="16"/>
                <w:szCs w:val="16"/>
                <w:color w:val="auto"/>
              </w:rPr>
            </w:pPr>
          </w:p>
        </w:tc>
        <w:tc>
          <w:tcPr>
            <w:tcW w:w="600" w:type="dxa"/>
            <w:vAlign w:val="bottom"/>
            <w:tcBorders>
              <w:bottom w:val="single" w:sz="8" w:color="477157"/>
            </w:tcBorders>
          </w:tcPr>
          <w:p>
            <w:pPr>
              <w:spacing w:after="0"/>
              <w:rPr>
                <w:sz w:val="16"/>
                <w:szCs w:val="16"/>
                <w:color w:val="auto"/>
              </w:rPr>
            </w:pPr>
          </w:p>
        </w:tc>
        <w:tc>
          <w:tcPr>
            <w:tcW w:w="860" w:type="dxa"/>
            <w:vAlign w:val="bottom"/>
            <w:tcBorders>
              <w:bottom w:val="single" w:sz="8" w:color="477157"/>
            </w:tcBorders>
          </w:tcPr>
          <w:p>
            <w:pPr>
              <w:spacing w:after="0"/>
              <w:rPr>
                <w:sz w:val="16"/>
                <w:szCs w:val="16"/>
                <w:color w:val="auto"/>
              </w:rPr>
            </w:pPr>
          </w:p>
        </w:tc>
        <w:tc>
          <w:tcPr>
            <w:tcW w:w="880" w:type="dxa"/>
            <w:vAlign w:val="bottom"/>
            <w:tcBorders>
              <w:bottom w:val="single" w:sz="8" w:color="477157"/>
            </w:tcBorders>
          </w:tcPr>
          <w:p>
            <w:pPr>
              <w:spacing w:after="0"/>
              <w:rPr>
                <w:sz w:val="16"/>
                <w:szCs w:val="16"/>
                <w:color w:val="auto"/>
              </w:rPr>
            </w:pPr>
          </w:p>
        </w:tc>
        <w:tc>
          <w:tcPr>
            <w:tcW w:w="1020" w:type="dxa"/>
            <w:vAlign w:val="bottom"/>
            <w:tcBorders>
              <w:bottom w:val="single" w:sz="8" w:color="477157"/>
            </w:tcBorders>
          </w:tcPr>
          <w:p>
            <w:pPr>
              <w:spacing w:after="0"/>
              <w:rPr>
                <w:sz w:val="16"/>
                <w:szCs w:val="16"/>
                <w:color w:val="auto"/>
              </w:rPr>
            </w:pPr>
          </w:p>
        </w:tc>
        <w:tc>
          <w:tcPr>
            <w:tcW w:w="1020" w:type="dxa"/>
            <w:vAlign w:val="bottom"/>
            <w:tcBorders>
              <w:bottom w:val="single" w:sz="8" w:color="477157"/>
            </w:tcBorders>
          </w:tcPr>
          <w:p>
            <w:pPr>
              <w:spacing w:after="0"/>
              <w:rPr>
                <w:sz w:val="16"/>
                <w:szCs w:val="16"/>
                <w:color w:val="auto"/>
              </w:rPr>
            </w:pPr>
          </w:p>
        </w:tc>
        <w:tc>
          <w:tcPr>
            <w:tcW w:w="840" w:type="dxa"/>
            <w:vAlign w:val="bottom"/>
            <w:tcBorders>
              <w:bottom w:val="single" w:sz="8" w:color="477157"/>
            </w:tcBorders>
          </w:tcPr>
          <w:p>
            <w:pPr>
              <w:spacing w:after="0"/>
              <w:rPr>
                <w:sz w:val="16"/>
                <w:szCs w:val="16"/>
                <w:color w:val="auto"/>
              </w:rPr>
            </w:pPr>
          </w:p>
        </w:tc>
      </w:tr>
      <w:tr>
        <w:trPr>
          <w:trHeight w:val="160"/>
        </w:trPr>
        <w:tc>
          <w:tcPr>
            <w:tcW w:w="27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2019</w:t>
            </w:r>
          </w:p>
        </w:tc>
        <w:tc>
          <w:tcPr>
            <w:tcW w:w="10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color w:val="auto"/>
              </w:rPr>
              <w:t>618,208</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1,958,118</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5"/>
                <w:szCs w:val="15"/>
                <w:color w:val="auto"/>
              </w:rPr>
              <w:t>399,997</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5"/>
                <w:szCs w:val="15"/>
                <w:color w:val="auto"/>
              </w:rPr>
              <w:t>578,516</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68,575</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3,623,414</w:t>
            </w:r>
          </w:p>
        </w:tc>
      </w:tr>
      <w:tr>
        <w:trPr>
          <w:trHeight w:val="160"/>
        </w:trPr>
        <w:tc>
          <w:tcPr>
            <w:tcW w:w="27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2018</w:t>
            </w:r>
          </w:p>
        </w:tc>
        <w:tc>
          <w:tcPr>
            <w:tcW w:w="10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color w:val="auto"/>
              </w:rPr>
              <w:t>539,923</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1,538,892</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5"/>
                <w:szCs w:val="15"/>
                <w:color w:val="auto"/>
              </w:rPr>
              <w:t>340,006</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5"/>
                <w:szCs w:val="15"/>
                <w:color w:val="auto"/>
              </w:rPr>
              <w:t>379,541</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53,956</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2,852,318</w:t>
            </w:r>
          </w:p>
        </w:tc>
      </w:tr>
      <w:tr>
        <w:trPr>
          <w:trHeight w:val="160"/>
        </w:trPr>
        <w:tc>
          <w:tcPr>
            <w:tcW w:w="27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2017</w:t>
            </w:r>
          </w:p>
        </w:tc>
        <w:tc>
          <w:tcPr>
            <w:tcW w:w="10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color w:val="auto"/>
              </w:rPr>
              <w:t>470,077</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5"/>
                <w:szCs w:val="15"/>
                <w:color w:val="auto"/>
              </w:rPr>
              <w:t>50,000</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952,569</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5"/>
                <w:szCs w:val="15"/>
                <w:color w:val="auto"/>
              </w:rPr>
              <w:t>200,002</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5"/>
                <w:szCs w:val="15"/>
                <w:color w:val="auto"/>
              </w:rPr>
              <w:t>572,398</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34,062</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2,279,108</w:t>
            </w:r>
          </w:p>
        </w:tc>
      </w:tr>
      <w:tr>
        <w:trPr>
          <w:trHeight w:val="145"/>
        </w:trPr>
        <w:tc>
          <w:tcPr>
            <w:tcW w:w="2760" w:type="dxa"/>
            <w:vAlign w:val="bottom"/>
          </w:tcPr>
          <w:p>
            <w:pPr>
              <w:spacing w:after="0" w:line="145" w:lineRule="exact"/>
              <w:rPr>
                <w:sz w:val="20"/>
                <w:szCs w:val="20"/>
                <w:color w:val="auto"/>
              </w:rPr>
            </w:pPr>
            <w:r>
              <w:rPr>
                <w:rFonts w:ascii="Arial" w:cs="Arial" w:eastAsia="Arial" w:hAnsi="Arial"/>
                <w:sz w:val="15"/>
                <w:szCs w:val="15"/>
                <w:b w:val="1"/>
                <w:bCs w:val="1"/>
                <w:color w:val="auto"/>
              </w:rPr>
              <w:t>John J. Morris, Jr.</w:t>
            </w: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9"/>
        </w:trPr>
        <w:tc>
          <w:tcPr>
            <w:tcW w:w="2760" w:type="dxa"/>
            <w:vAlign w:val="bottom"/>
          </w:tcPr>
          <w:p>
            <w:pPr>
              <w:spacing w:after="0" w:line="169" w:lineRule="exact"/>
              <w:rPr>
                <w:sz w:val="20"/>
                <w:szCs w:val="20"/>
                <w:color w:val="auto"/>
              </w:rPr>
            </w:pPr>
            <w:r>
              <w:rPr>
                <w:rFonts w:ascii="Arial" w:cs="Arial" w:eastAsia="Arial" w:hAnsi="Arial"/>
                <w:sz w:val="15"/>
                <w:szCs w:val="15"/>
                <w:b w:val="1"/>
                <w:bCs w:val="1"/>
                <w:color w:val="auto"/>
              </w:rPr>
              <w:t>Executive Vice President and Chief</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4"/>
        </w:trPr>
        <w:tc>
          <w:tcPr>
            <w:tcW w:w="2760" w:type="dxa"/>
            <w:vAlign w:val="bottom"/>
            <w:tcBorders>
              <w:bottom w:val="single" w:sz="8" w:color="477157"/>
            </w:tcBorders>
          </w:tcPr>
          <w:p>
            <w:pPr>
              <w:spacing w:after="0"/>
              <w:rPr>
                <w:sz w:val="20"/>
                <w:szCs w:val="20"/>
                <w:color w:val="auto"/>
              </w:rPr>
            </w:pPr>
            <w:r>
              <w:rPr>
                <w:rFonts w:ascii="Arial" w:cs="Arial" w:eastAsia="Arial" w:hAnsi="Arial"/>
                <w:sz w:val="15"/>
                <w:szCs w:val="15"/>
                <w:b w:val="1"/>
                <w:bCs w:val="1"/>
                <w:color w:val="auto"/>
              </w:rPr>
              <w:t>Operating Officer</w:t>
            </w:r>
          </w:p>
        </w:tc>
        <w:tc>
          <w:tcPr>
            <w:tcW w:w="1000" w:type="dxa"/>
            <w:vAlign w:val="bottom"/>
            <w:tcBorders>
              <w:bottom w:val="single" w:sz="8" w:color="477157"/>
            </w:tcBorders>
          </w:tcPr>
          <w:p>
            <w:pPr>
              <w:spacing w:after="0"/>
              <w:rPr>
                <w:sz w:val="16"/>
                <w:szCs w:val="16"/>
                <w:color w:val="auto"/>
              </w:rPr>
            </w:pPr>
          </w:p>
        </w:tc>
        <w:tc>
          <w:tcPr>
            <w:tcW w:w="600" w:type="dxa"/>
            <w:vAlign w:val="bottom"/>
            <w:tcBorders>
              <w:bottom w:val="single" w:sz="8" w:color="477157"/>
            </w:tcBorders>
          </w:tcPr>
          <w:p>
            <w:pPr>
              <w:spacing w:after="0"/>
              <w:rPr>
                <w:sz w:val="16"/>
                <w:szCs w:val="16"/>
                <w:color w:val="auto"/>
              </w:rPr>
            </w:pPr>
          </w:p>
        </w:tc>
        <w:tc>
          <w:tcPr>
            <w:tcW w:w="860" w:type="dxa"/>
            <w:vAlign w:val="bottom"/>
            <w:tcBorders>
              <w:bottom w:val="single" w:sz="8" w:color="477157"/>
            </w:tcBorders>
          </w:tcPr>
          <w:p>
            <w:pPr>
              <w:spacing w:after="0"/>
              <w:rPr>
                <w:sz w:val="16"/>
                <w:szCs w:val="16"/>
                <w:color w:val="auto"/>
              </w:rPr>
            </w:pPr>
          </w:p>
        </w:tc>
        <w:tc>
          <w:tcPr>
            <w:tcW w:w="880" w:type="dxa"/>
            <w:vAlign w:val="bottom"/>
            <w:tcBorders>
              <w:bottom w:val="single" w:sz="8" w:color="477157"/>
            </w:tcBorders>
          </w:tcPr>
          <w:p>
            <w:pPr>
              <w:spacing w:after="0"/>
              <w:rPr>
                <w:sz w:val="16"/>
                <w:szCs w:val="16"/>
                <w:color w:val="auto"/>
              </w:rPr>
            </w:pPr>
          </w:p>
        </w:tc>
        <w:tc>
          <w:tcPr>
            <w:tcW w:w="1020" w:type="dxa"/>
            <w:vAlign w:val="bottom"/>
            <w:tcBorders>
              <w:bottom w:val="single" w:sz="8" w:color="477157"/>
            </w:tcBorders>
          </w:tcPr>
          <w:p>
            <w:pPr>
              <w:spacing w:after="0"/>
              <w:rPr>
                <w:sz w:val="16"/>
                <w:szCs w:val="16"/>
                <w:color w:val="auto"/>
              </w:rPr>
            </w:pPr>
          </w:p>
        </w:tc>
        <w:tc>
          <w:tcPr>
            <w:tcW w:w="1020" w:type="dxa"/>
            <w:vAlign w:val="bottom"/>
            <w:tcBorders>
              <w:bottom w:val="single" w:sz="8" w:color="477157"/>
            </w:tcBorders>
          </w:tcPr>
          <w:p>
            <w:pPr>
              <w:spacing w:after="0"/>
              <w:rPr>
                <w:sz w:val="16"/>
                <w:szCs w:val="16"/>
                <w:color w:val="auto"/>
              </w:rPr>
            </w:pPr>
          </w:p>
        </w:tc>
        <w:tc>
          <w:tcPr>
            <w:tcW w:w="840" w:type="dxa"/>
            <w:vAlign w:val="bottom"/>
            <w:tcBorders>
              <w:bottom w:val="single" w:sz="8" w:color="477157"/>
            </w:tcBorders>
          </w:tcPr>
          <w:p>
            <w:pPr>
              <w:spacing w:after="0"/>
              <w:rPr>
                <w:sz w:val="16"/>
                <w:szCs w:val="16"/>
                <w:color w:val="auto"/>
              </w:rPr>
            </w:pPr>
          </w:p>
        </w:tc>
      </w:tr>
      <w:tr>
        <w:trPr>
          <w:trHeight w:val="160"/>
        </w:trPr>
        <w:tc>
          <w:tcPr>
            <w:tcW w:w="27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2019</w:t>
            </w:r>
          </w:p>
        </w:tc>
        <w:tc>
          <w:tcPr>
            <w:tcW w:w="10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color w:val="auto"/>
              </w:rPr>
              <w:t>699,807</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2,153,907</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5"/>
                <w:szCs w:val="15"/>
                <w:color w:val="auto"/>
              </w:rPr>
              <w:t>440,006</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5"/>
                <w:szCs w:val="15"/>
                <w:color w:val="auto"/>
              </w:rPr>
              <w:t>661,476</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86,046</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4,041,242</w:t>
            </w:r>
          </w:p>
        </w:tc>
      </w:tr>
      <w:tr>
        <w:trPr>
          <w:trHeight w:val="160"/>
        </w:trPr>
        <w:tc>
          <w:tcPr>
            <w:tcW w:w="27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2018</w:t>
            </w:r>
          </w:p>
        </w:tc>
        <w:tc>
          <w:tcPr>
            <w:tcW w:w="10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color w:val="auto"/>
              </w:rPr>
              <w:t>646,192</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1,629,462</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5"/>
                <w:szCs w:val="15"/>
                <w:color w:val="auto"/>
              </w:rPr>
              <w:t>359,997</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5"/>
                <w:szCs w:val="15"/>
                <w:color w:val="auto"/>
              </w:rPr>
              <w:t>435,053</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116,032</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3,186,736</w:t>
            </w:r>
          </w:p>
        </w:tc>
      </w:tr>
      <w:tr>
        <w:trPr>
          <w:trHeight w:val="160"/>
        </w:trPr>
        <w:tc>
          <w:tcPr>
            <w:tcW w:w="27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2017</w:t>
            </w:r>
          </w:p>
        </w:tc>
        <w:tc>
          <w:tcPr>
            <w:tcW w:w="10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color w:val="auto"/>
              </w:rPr>
              <w:t>625,577</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1,428,853</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5"/>
                <w:szCs w:val="15"/>
                <w:color w:val="auto"/>
              </w:rPr>
              <w:t>299,999</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5"/>
                <w:szCs w:val="15"/>
                <w:color w:val="auto"/>
              </w:rPr>
              <w:t>798,560</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65,941</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3,218,930</w:t>
            </w:r>
          </w:p>
        </w:tc>
      </w:tr>
      <w:tr>
        <w:trPr>
          <w:trHeight w:val="179"/>
        </w:trPr>
        <w:tc>
          <w:tcPr>
            <w:tcW w:w="2760" w:type="dxa"/>
            <w:vAlign w:val="bottom"/>
          </w:tcPr>
          <w:p>
            <w:pPr>
              <w:spacing w:after="0" w:line="179" w:lineRule="exact"/>
              <w:rPr>
                <w:sz w:val="20"/>
                <w:szCs w:val="20"/>
                <w:color w:val="auto"/>
              </w:rPr>
            </w:pPr>
            <w:r>
              <w:rPr>
                <w:rFonts w:ascii="Arial" w:cs="Arial" w:eastAsia="Arial" w:hAnsi="Arial"/>
                <w:sz w:val="13"/>
                <w:szCs w:val="13"/>
                <w:b w:val="1"/>
                <w:bCs w:val="1"/>
                <w:color w:val="auto"/>
              </w:rPr>
              <w:t>Tara J. Hemmer</w:t>
            </w:r>
            <w:r>
              <w:rPr>
                <w:rFonts w:ascii="Arial" w:cs="Arial" w:eastAsia="Arial" w:hAnsi="Arial"/>
                <w:sz w:val="20"/>
                <w:szCs w:val="20"/>
                <w:color w:val="auto"/>
                <w:vertAlign w:val="superscript"/>
              </w:rPr>
              <w:t>(6)</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2760" w:type="dxa"/>
            <w:vAlign w:val="bottom"/>
            <w:tcBorders>
              <w:bottom w:val="single" w:sz="8" w:color="477157"/>
            </w:tcBorders>
          </w:tcPr>
          <w:p>
            <w:pPr>
              <w:spacing w:after="0"/>
              <w:rPr>
                <w:sz w:val="20"/>
                <w:szCs w:val="20"/>
                <w:color w:val="auto"/>
              </w:rPr>
            </w:pPr>
            <w:r>
              <w:rPr>
                <w:rFonts w:ascii="Arial" w:cs="Arial" w:eastAsia="Arial" w:hAnsi="Arial"/>
                <w:sz w:val="15"/>
                <w:szCs w:val="15"/>
                <w:b w:val="1"/>
                <w:bCs w:val="1"/>
                <w:color w:val="auto"/>
              </w:rPr>
              <w:t>Senior Vice President — Operations</w:t>
            </w:r>
          </w:p>
        </w:tc>
        <w:tc>
          <w:tcPr>
            <w:tcW w:w="1000" w:type="dxa"/>
            <w:vAlign w:val="bottom"/>
            <w:tcBorders>
              <w:bottom w:val="single" w:sz="8" w:color="477157"/>
            </w:tcBorders>
          </w:tcPr>
          <w:p>
            <w:pPr>
              <w:spacing w:after="0"/>
              <w:rPr>
                <w:sz w:val="16"/>
                <w:szCs w:val="16"/>
                <w:color w:val="auto"/>
              </w:rPr>
            </w:pPr>
          </w:p>
        </w:tc>
        <w:tc>
          <w:tcPr>
            <w:tcW w:w="600" w:type="dxa"/>
            <w:vAlign w:val="bottom"/>
            <w:tcBorders>
              <w:bottom w:val="single" w:sz="8" w:color="477157"/>
            </w:tcBorders>
          </w:tcPr>
          <w:p>
            <w:pPr>
              <w:spacing w:after="0"/>
              <w:rPr>
                <w:sz w:val="16"/>
                <w:szCs w:val="16"/>
                <w:color w:val="auto"/>
              </w:rPr>
            </w:pPr>
          </w:p>
        </w:tc>
        <w:tc>
          <w:tcPr>
            <w:tcW w:w="860" w:type="dxa"/>
            <w:vAlign w:val="bottom"/>
            <w:tcBorders>
              <w:bottom w:val="single" w:sz="8" w:color="477157"/>
            </w:tcBorders>
          </w:tcPr>
          <w:p>
            <w:pPr>
              <w:spacing w:after="0"/>
              <w:rPr>
                <w:sz w:val="16"/>
                <w:szCs w:val="16"/>
                <w:color w:val="auto"/>
              </w:rPr>
            </w:pPr>
          </w:p>
        </w:tc>
        <w:tc>
          <w:tcPr>
            <w:tcW w:w="880" w:type="dxa"/>
            <w:vAlign w:val="bottom"/>
            <w:tcBorders>
              <w:bottom w:val="single" w:sz="8" w:color="477157"/>
            </w:tcBorders>
          </w:tcPr>
          <w:p>
            <w:pPr>
              <w:spacing w:after="0"/>
              <w:rPr>
                <w:sz w:val="16"/>
                <w:szCs w:val="16"/>
                <w:color w:val="auto"/>
              </w:rPr>
            </w:pPr>
          </w:p>
        </w:tc>
        <w:tc>
          <w:tcPr>
            <w:tcW w:w="1020" w:type="dxa"/>
            <w:vAlign w:val="bottom"/>
            <w:tcBorders>
              <w:bottom w:val="single" w:sz="8" w:color="477157"/>
            </w:tcBorders>
          </w:tcPr>
          <w:p>
            <w:pPr>
              <w:spacing w:after="0"/>
              <w:rPr>
                <w:sz w:val="16"/>
                <w:szCs w:val="16"/>
                <w:color w:val="auto"/>
              </w:rPr>
            </w:pPr>
          </w:p>
        </w:tc>
        <w:tc>
          <w:tcPr>
            <w:tcW w:w="1020" w:type="dxa"/>
            <w:vAlign w:val="bottom"/>
            <w:tcBorders>
              <w:bottom w:val="single" w:sz="8" w:color="477157"/>
            </w:tcBorders>
          </w:tcPr>
          <w:p>
            <w:pPr>
              <w:spacing w:after="0"/>
              <w:rPr>
                <w:sz w:val="16"/>
                <w:szCs w:val="16"/>
                <w:color w:val="auto"/>
              </w:rPr>
            </w:pPr>
          </w:p>
        </w:tc>
        <w:tc>
          <w:tcPr>
            <w:tcW w:w="840" w:type="dxa"/>
            <w:vAlign w:val="bottom"/>
            <w:tcBorders>
              <w:bottom w:val="single" w:sz="8" w:color="477157"/>
            </w:tcBorders>
          </w:tcPr>
          <w:p>
            <w:pPr>
              <w:spacing w:after="0"/>
              <w:rPr>
                <w:sz w:val="16"/>
                <w:szCs w:val="16"/>
                <w:color w:val="auto"/>
              </w:rPr>
            </w:pPr>
          </w:p>
        </w:tc>
      </w:tr>
      <w:tr>
        <w:trPr>
          <w:trHeight w:val="160"/>
        </w:trPr>
        <w:tc>
          <w:tcPr>
            <w:tcW w:w="27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2019</w:t>
            </w:r>
          </w:p>
        </w:tc>
        <w:tc>
          <w:tcPr>
            <w:tcW w:w="10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color w:val="auto"/>
              </w:rPr>
              <w:t>535,670</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1,615,372</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5"/>
                <w:szCs w:val="15"/>
                <w:color w:val="auto"/>
              </w:rPr>
              <w:t>330,001</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5"/>
                <w:szCs w:val="15"/>
                <w:color w:val="auto"/>
              </w:rPr>
              <w:t>479,828</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38,502</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2,999,373</w:t>
            </w:r>
          </w:p>
        </w:tc>
      </w:tr>
      <w:tr>
        <w:trPr>
          <w:trHeight w:val="179"/>
        </w:trPr>
        <w:tc>
          <w:tcPr>
            <w:tcW w:w="2760" w:type="dxa"/>
            <w:vAlign w:val="bottom"/>
          </w:tcPr>
          <w:p>
            <w:pPr>
              <w:spacing w:after="0" w:line="179" w:lineRule="exact"/>
              <w:rPr>
                <w:sz w:val="20"/>
                <w:szCs w:val="20"/>
                <w:color w:val="auto"/>
              </w:rPr>
            </w:pPr>
            <w:r>
              <w:rPr>
                <w:rFonts w:ascii="Arial" w:cs="Arial" w:eastAsia="Arial" w:hAnsi="Arial"/>
                <w:sz w:val="13"/>
                <w:szCs w:val="13"/>
                <w:b w:val="1"/>
                <w:bCs w:val="1"/>
                <w:color w:val="auto"/>
              </w:rPr>
              <w:t>Steven R. Batchelor</w:t>
            </w:r>
            <w:r>
              <w:rPr>
                <w:rFonts w:ascii="Arial" w:cs="Arial" w:eastAsia="Arial" w:hAnsi="Arial"/>
                <w:sz w:val="20"/>
                <w:szCs w:val="20"/>
                <w:color w:val="auto"/>
                <w:vertAlign w:val="superscript"/>
              </w:rPr>
              <w:t>(6)</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2760" w:type="dxa"/>
            <w:vAlign w:val="bottom"/>
            <w:tcBorders>
              <w:bottom w:val="single" w:sz="8" w:color="477157"/>
            </w:tcBorders>
          </w:tcPr>
          <w:p>
            <w:pPr>
              <w:spacing w:after="0"/>
              <w:rPr>
                <w:sz w:val="20"/>
                <w:szCs w:val="20"/>
                <w:color w:val="auto"/>
              </w:rPr>
            </w:pPr>
            <w:r>
              <w:rPr>
                <w:rFonts w:ascii="Arial" w:cs="Arial" w:eastAsia="Arial" w:hAnsi="Arial"/>
                <w:sz w:val="15"/>
                <w:szCs w:val="15"/>
                <w:b w:val="1"/>
                <w:bCs w:val="1"/>
                <w:color w:val="auto"/>
              </w:rPr>
              <w:t>Senior Vice President — Operations</w:t>
            </w:r>
          </w:p>
        </w:tc>
        <w:tc>
          <w:tcPr>
            <w:tcW w:w="1000" w:type="dxa"/>
            <w:vAlign w:val="bottom"/>
            <w:tcBorders>
              <w:bottom w:val="single" w:sz="8" w:color="477157"/>
            </w:tcBorders>
          </w:tcPr>
          <w:p>
            <w:pPr>
              <w:spacing w:after="0"/>
              <w:rPr>
                <w:sz w:val="16"/>
                <w:szCs w:val="16"/>
                <w:color w:val="auto"/>
              </w:rPr>
            </w:pPr>
          </w:p>
        </w:tc>
        <w:tc>
          <w:tcPr>
            <w:tcW w:w="600" w:type="dxa"/>
            <w:vAlign w:val="bottom"/>
            <w:tcBorders>
              <w:bottom w:val="single" w:sz="8" w:color="477157"/>
            </w:tcBorders>
          </w:tcPr>
          <w:p>
            <w:pPr>
              <w:spacing w:after="0"/>
              <w:rPr>
                <w:sz w:val="16"/>
                <w:szCs w:val="16"/>
                <w:color w:val="auto"/>
              </w:rPr>
            </w:pPr>
          </w:p>
        </w:tc>
        <w:tc>
          <w:tcPr>
            <w:tcW w:w="860" w:type="dxa"/>
            <w:vAlign w:val="bottom"/>
            <w:tcBorders>
              <w:bottom w:val="single" w:sz="8" w:color="477157"/>
            </w:tcBorders>
          </w:tcPr>
          <w:p>
            <w:pPr>
              <w:spacing w:after="0"/>
              <w:rPr>
                <w:sz w:val="16"/>
                <w:szCs w:val="16"/>
                <w:color w:val="auto"/>
              </w:rPr>
            </w:pPr>
          </w:p>
        </w:tc>
        <w:tc>
          <w:tcPr>
            <w:tcW w:w="880" w:type="dxa"/>
            <w:vAlign w:val="bottom"/>
            <w:tcBorders>
              <w:bottom w:val="single" w:sz="8" w:color="477157"/>
            </w:tcBorders>
          </w:tcPr>
          <w:p>
            <w:pPr>
              <w:spacing w:after="0"/>
              <w:rPr>
                <w:sz w:val="16"/>
                <w:szCs w:val="16"/>
                <w:color w:val="auto"/>
              </w:rPr>
            </w:pPr>
          </w:p>
        </w:tc>
        <w:tc>
          <w:tcPr>
            <w:tcW w:w="1020" w:type="dxa"/>
            <w:vAlign w:val="bottom"/>
            <w:tcBorders>
              <w:bottom w:val="single" w:sz="8" w:color="477157"/>
            </w:tcBorders>
          </w:tcPr>
          <w:p>
            <w:pPr>
              <w:spacing w:after="0"/>
              <w:rPr>
                <w:sz w:val="16"/>
                <w:szCs w:val="16"/>
                <w:color w:val="auto"/>
              </w:rPr>
            </w:pPr>
          </w:p>
        </w:tc>
        <w:tc>
          <w:tcPr>
            <w:tcW w:w="1020" w:type="dxa"/>
            <w:vAlign w:val="bottom"/>
            <w:tcBorders>
              <w:bottom w:val="single" w:sz="8" w:color="477157"/>
            </w:tcBorders>
          </w:tcPr>
          <w:p>
            <w:pPr>
              <w:spacing w:after="0"/>
              <w:rPr>
                <w:sz w:val="16"/>
                <w:szCs w:val="16"/>
                <w:color w:val="auto"/>
              </w:rPr>
            </w:pPr>
          </w:p>
        </w:tc>
        <w:tc>
          <w:tcPr>
            <w:tcW w:w="840" w:type="dxa"/>
            <w:vAlign w:val="bottom"/>
            <w:tcBorders>
              <w:bottom w:val="single" w:sz="8" w:color="477157"/>
            </w:tcBorders>
          </w:tcPr>
          <w:p>
            <w:pPr>
              <w:spacing w:after="0"/>
              <w:rPr>
                <w:sz w:val="16"/>
                <w:szCs w:val="16"/>
                <w:color w:val="auto"/>
              </w:rPr>
            </w:pPr>
          </w:p>
        </w:tc>
      </w:tr>
      <w:tr>
        <w:trPr>
          <w:trHeight w:val="160"/>
        </w:trPr>
        <w:tc>
          <w:tcPr>
            <w:tcW w:w="27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2019</w:t>
            </w:r>
          </w:p>
        </w:tc>
        <w:tc>
          <w:tcPr>
            <w:tcW w:w="10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color w:val="auto"/>
              </w:rPr>
              <w:t>535,397</w:t>
            </w:r>
          </w:p>
        </w:tc>
        <w:tc>
          <w:tcPr>
            <w:tcW w:w="600" w:type="dxa"/>
            <w:vAlign w:val="bottom"/>
            <w:tcBorders>
              <w:bottom w:val="single" w:sz="8" w:color="477157"/>
            </w:tcBorders>
          </w:tcPr>
          <w:p>
            <w:pPr>
              <w:jc w:val="right"/>
              <w:ind w:right="49"/>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1,615,372</w:t>
            </w:r>
          </w:p>
        </w:tc>
        <w:tc>
          <w:tcPr>
            <w:tcW w:w="880" w:type="dxa"/>
            <w:vAlign w:val="bottom"/>
            <w:tcBorders>
              <w:bottom w:val="single" w:sz="8" w:color="477157"/>
            </w:tcBorders>
          </w:tcPr>
          <w:p>
            <w:pPr>
              <w:jc w:val="right"/>
              <w:ind w:right="50"/>
              <w:spacing w:after="0" w:line="161" w:lineRule="exact"/>
              <w:rPr>
                <w:sz w:val="20"/>
                <w:szCs w:val="20"/>
                <w:color w:val="auto"/>
              </w:rPr>
            </w:pPr>
            <w:r>
              <w:rPr>
                <w:rFonts w:ascii="Arial" w:cs="Arial" w:eastAsia="Arial" w:hAnsi="Arial"/>
                <w:sz w:val="15"/>
                <w:szCs w:val="15"/>
                <w:color w:val="auto"/>
              </w:rPr>
              <w:t>330,001</w:t>
            </w:r>
          </w:p>
        </w:tc>
        <w:tc>
          <w:tcPr>
            <w:tcW w:w="1020" w:type="dxa"/>
            <w:vAlign w:val="bottom"/>
            <w:tcBorders>
              <w:bottom w:val="single" w:sz="8" w:color="477157"/>
            </w:tcBorders>
          </w:tcPr>
          <w:p>
            <w:pPr>
              <w:jc w:val="right"/>
              <w:ind w:right="10"/>
              <w:spacing w:after="0" w:line="161" w:lineRule="exact"/>
              <w:rPr>
                <w:sz w:val="20"/>
                <w:szCs w:val="20"/>
                <w:color w:val="auto"/>
              </w:rPr>
            </w:pPr>
            <w:r>
              <w:rPr>
                <w:rFonts w:ascii="Arial" w:cs="Arial" w:eastAsia="Arial" w:hAnsi="Arial"/>
                <w:sz w:val="15"/>
                <w:szCs w:val="15"/>
                <w:color w:val="auto"/>
              </w:rPr>
              <w:t>479,828</w:t>
            </w:r>
          </w:p>
        </w:tc>
        <w:tc>
          <w:tcPr>
            <w:tcW w:w="1020" w:type="dxa"/>
            <w:vAlign w:val="bottom"/>
            <w:tcBorders>
              <w:bottom w:val="single" w:sz="8" w:color="477157"/>
            </w:tcBorders>
          </w:tcPr>
          <w:p>
            <w:pPr>
              <w:jc w:val="right"/>
              <w:ind w:right="30"/>
              <w:spacing w:after="0" w:line="161" w:lineRule="exact"/>
              <w:rPr>
                <w:sz w:val="20"/>
                <w:szCs w:val="20"/>
                <w:color w:val="auto"/>
              </w:rPr>
            </w:pPr>
            <w:r>
              <w:rPr>
                <w:rFonts w:ascii="Arial" w:cs="Arial" w:eastAsia="Arial" w:hAnsi="Arial"/>
                <w:sz w:val="15"/>
                <w:szCs w:val="15"/>
                <w:color w:val="auto"/>
              </w:rPr>
              <w:t>29,157</w:t>
            </w:r>
          </w:p>
        </w:tc>
        <w:tc>
          <w:tcPr>
            <w:tcW w:w="8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2,989,755</w:t>
            </w:r>
          </w:p>
        </w:tc>
      </w:tr>
    </w:tbl>
    <w:p>
      <w:pPr>
        <w:spacing w:after="0" w:line="183" w:lineRule="exact"/>
        <w:rPr>
          <w:sz w:val="20"/>
          <w:szCs w:val="20"/>
          <w:color w:val="auto"/>
        </w:rPr>
      </w:pPr>
    </w:p>
    <w:p>
      <w:pPr>
        <w:ind w:left="1560" w:hanging="443"/>
        <w:spacing w:after="0"/>
        <w:tabs>
          <w:tab w:leader="none" w:pos="15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Ms. Rankin received a $50,000 cash bonus in January 2017 in recognition of her additional responsibilities while serving as Acting Chief Financial Officer. Ms. Rankin's promotion was made permanent in February 2017.</w:t>
      </w:r>
    </w:p>
    <w:p>
      <w:pPr>
        <w:spacing w:after="0" w:line="173" w:lineRule="exact"/>
        <w:rPr>
          <w:rFonts w:ascii="Arial" w:cs="Arial" w:eastAsia="Arial" w:hAnsi="Arial"/>
          <w:sz w:val="15"/>
          <w:szCs w:val="15"/>
          <w:color w:val="auto"/>
        </w:rPr>
      </w:pPr>
    </w:p>
    <w:p>
      <w:pPr>
        <w:jc w:val="both"/>
        <w:ind w:left="1560" w:hanging="443"/>
        <w:spacing w:after="0" w:line="236" w:lineRule="auto"/>
        <w:tabs>
          <w:tab w:leader="none" w:pos="15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Amounts in this column represent the grant date fair value of PSUs granted to all named executives annually. The grant date fair values were calculated in accordance with ASC Topic 718, as further described in Note 15 in the Notes to the Consolidated Financial Statements in our 2019 Annual Report on Form 10-K. The grant date fair value of a PSU granted in 2019 subject to total shareholder return relative to the S&amp;P 500, based on a Monte Carlo valuation, is $133.63, and because total shareholder return is a market condition, projected achievement is embedded in the grant date fair value. The grant date fair value of a PSU granted in 2019 subject to the cash flow generation performance measure is $98.898, which is the average of the high and low market price of our Common Stock on the date of the grant, in accordance with our 2014 Stock Incentive Plan. The table below shows (a) the aggregate grant date fair value of PSUs subject to the cash flow generation performance measure assuming target level of performance is achieved (this is the amount included in the Stock Awards</w:t>
      </w:r>
    </w:p>
    <w:p>
      <w:pPr>
        <w:spacing w:after="0" w:line="145"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40</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EXECUTIVE COMPENSATION</w:t>
      </w:r>
    </w:p>
    <w:p>
      <w:pPr>
        <w:spacing w:after="0" w:line="206" w:lineRule="exact"/>
        <w:rPr>
          <w:sz w:val="20"/>
          <w:szCs w:val="20"/>
          <w:color w:val="auto"/>
        </w:rPr>
      </w:pPr>
    </w:p>
    <w:p>
      <w:pPr>
        <w:jc w:val="both"/>
        <w:ind w:left="1560" w:right="20"/>
        <w:spacing w:after="0"/>
        <w:rPr>
          <w:sz w:val="20"/>
          <w:szCs w:val="20"/>
          <w:color w:val="auto"/>
        </w:rPr>
      </w:pPr>
      <w:r>
        <w:rPr>
          <w:rFonts w:ascii="Arial" w:cs="Arial" w:eastAsia="Arial" w:hAnsi="Arial"/>
          <w:sz w:val="15"/>
          <w:szCs w:val="15"/>
          <w:color w:val="auto"/>
        </w:rPr>
        <w:t>column in the Summary Compensation Table) and (b) the aggregate grant date fair value of the same PSUs assuming the Company will reach the highest level of achievement for this performance measure and maximum payouts will be earned.</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40" w:type="dxa"/>
            <w:vAlign w:val="bottom"/>
          </w:tcPr>
          <w:p>
            <w:pPr>
              <w:jc w:val="right"/>
              <w:ind w:right="11"/>
              <w:spacing w:after="0"/>
              <w:rPr>
                <w:sz w:val="20"/>
                <w:szCs w:val="20"/>
                <w:color w:val="auto"/>
              </w:rPr>
            </w:pPr>
            <w:r>
              <w:rPr>
                <w:rFonts w:ascii="Arial" w:cs="Arial" w:eastAsia="Arial" w:hAnsi="Arial"/>
                <w:sz w:val="12"/>
                <w:szCs w:val="12"/>
                <w:b w:val="1"/>
                <w:bCs w:val="1"/>
                <w:color w:val="477157"/>
              </w:rPr>
              <w:t>Aggregate Grant Date</w:t>
            </w:r>
          </w:p>
        </w:tc>
        <w:tc>
          <w:tcPr>
            <w:tcW w:w="1360" w:type="dxa"/>
            <w:vAlign w:val="bottom"/>
          </w:tcPr>
          <w:p>
            <w:pPr>
              <w:jc w:val="right"/>
              <w:spacing w:after="0"/>
              <w:rPr>
                <w:sz w:val="20"/>
                <w:szCs w:val="20"/>
                <w:color w:val="auto"/>
              </w:rPr>
            </w:pPr>
            <w:r>
              <w:rPr>
                <w:rFonts w:ascii="Arial" w:cs="Arial" w:eastAsia="Arial" w:hAnsi="Arial"/>
                <w:sz w:val="12"/>
                <w:szCs w:val="12"/>
                <w:b w:val="1"/>
                <w:bCs w:val="1"/>
                <w:color w:val="477157"/>
              </w:rPr>
              <w:t>Aggregate Grant Date</w:t>
            </w:r>
          </w:p>
        </w:tc>
      </w:tr>
      <w:tr>
        <w:trPr>
          <w:trHeight w:val="135"/>
        </w:trPr>
        <w:tc>
          <w:tcPr>
            <w:tcW w:w="33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440" w:type="dxa"/>
            <w:vAlign w:val="bottom"/>
          </w:tcPr>
          <w:p>
            <w:pPr>
              <w:jc w:val="right"/>
              <w:ind w:right="11"/>
              <w:spacing w:after="0" w:line="136" w:lineRule="exact"/>
              <w:rPr>
                <w:sz w:val="20"/>
                <w:szCs w:val="20"/>
                <w:color w:val="auto"/>
              </w:rPr>
            </w:pPr>
            <w:r>
              <w:rPr>
                <w:rFonts w:ascii="Arial" w:cs="Arial" w:eastAsia="Arial" w:hAnsi="Arial"/>
                <w:sz w:val="12"/>
                <w:szCs w:val="12"/>
                <w:b w:val="1"/>
                <w:bCs w:val="1"/>
                <w:color w:val="477157"/>
              </w:rPr>
              <w:t>Fair Value of Cash</w:t>
            </w:r>
          </w:p>
        </w:tc>
        <w:tc>
          <w:tcPr>
            <w:tcW w:w="136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Fair Value of Cash</w:t>
            </w:r>
          </w:p>
        </w:tc>
      </w:tr>
      <w:tr>
        <w:trPr>
          <w:trHeight w:val="135"/>
        </w:trPr>
        <w:tc>
          <w:tcPr>
            <w:tcW w:w="33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440" w:type="dxa"/>
            <w:vAlign w:val="bottom"/>
          </w:tcPr>
          <w:p>
            <w:pPr>
              <w:jc w:val="right"/>
              <w:ind w:right="11"/>
              <w:spacing w:after="0" w:line="136" w:lineRule="exact"/>
              <w:rPr>
                <w:sz w:val="20"/>
                <w:szCs w:val="20"/>
                <w:color w:val="auto"/>
              </w:rPr>
            </w:pPr>
            <w:r>
              <w:rPr>
                <w:rFonts w:ascii="Arial" w:cs="Arial" w:eastAsia="Arial" w:hAnsi="Arial"/>
                <w:sz w:val="12"/>
                <w:szCs w:val="12"/>
                <w:b w:val="1"/>
                <w:bCs w:val="1"/>
                <w:color w:val="477157"/>
              </w:rPr>
              <w:t>Flow Generation PSUs</w:t>
            </w:r>
          </w:p>
        </w:tc>
        <w:tc>
          <w:tcPr>
            <w:tcW w:w="136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Flow Generation PSUs</w:t>
            </w:r>
          </w:p>
        </w:tc>
      </w:tr>
      <w:tr>
        <w:trPr>
          <w:trHeight w:val="135"/>
        </w:trPr>
        <w:tc>
          <w:tcPr>
            <w:tcW w:w="33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440" w:type="dxa"/>
            <w:vAlign w:val="bottom"/>
          </w:tcPr>
          <w:p>
            <w:pPr>
              <w:jc w:val="right"/>
              <w:ind w:right="11"/>
              <w:spacing w:after="0" w:line="136" w:lineRule="exact"/>
              <w:rPr>
                <w:sz w:val="20"/>
                <w:szCs w:val="20"/>
                <w:color w:val="auto"/>
              </w:rPr>
            </w:pPr>
            <w:r>
              <w:rPr>
                <w:rFonts w:ascii="Arial" w:cs="Arial" w:eastAsia="Arial" w:hAnsi="Arial"/>
                <w:sz w:val="12"/>
                <w:szCs w:val="12"/>
                <w:b w:val="1"/>
                <w:bCs w:val="1"/>
                <w:color w:val="477157"/>
              </w:rPr>
              <w:t>Assuming Target</w:t>
            </w:r>
          </w:p>
        </w:tc>
        <w:tc>
          <w:tcPr>
            <w:tcW w:w="136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Assuming Highest</w:t>
            </w:r>
          </w:p>
        </w:tc>
      </w:tr>
      <w:tr>
        <w:trPr>
          <w:trHeight w:val="135"/>
        </w:trPr>
        <w:tc>
          <w:tcPr>
            <w:tcW w:w="33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440" w:type="dxa"/>
            <w:vAlign w:val="bottom"/>
          </w:tcPr>
          <w:p>
            <w:pPr>
              <w:jc w:val="right"/>
              <w:ind w:right="11"/>
              <w:spacing w:after="0" w:line="136" w:lineRule="exact"/>
              <w:rPr>
                <w:sz w:val="20"/>
                <w:szCs w:val="20"/>
                <w:color w:val="auto"/>
              </w:rPr>
            </w:pPr>
            <w:r>
              <w:rPr>
                <w:rFonts w:ascii="Arial" w:cs="Arial" w:eastAsia="Arial" w:hAnsi="Arial"/>
                <w:sz w:val="12"/>
                <w:szCs w:val="12"/>
                <w:b w:val="1"/>
                <w:bCs w:val="1"/>
                <w:color w:val="477157"/>
              </w:rPr>
              <w:t>Level of Performance</w:t>
            </w:r>
          </w:p>
        </w:tc>
        <w:tc>
          <w:tcPr>
            <w:tcW w:w="136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Level of Performance</w:t>
            </w:r>
          </w:p>
        </w:tc>
      </w:tr>
      <w:tr>
        <w:trPr>
          <w:trHeight w:val="145"/>
        </w:trPr>
        <w:tc>
          <w:tcPr>
            <w:tcW w:w="3300" w:type="dxa"/>
            <w:vAlign w:val="bottom"/>
            <w:tcBorders>
              <w:bottom w:val="single" w:sz="8" w:color="477157"/>
            </w:tcBorders>
          </w:tcPr>
          <w:p>
            <w:pPr>
              <w:spacing w:after="0"/>
              <w:rPr>
                <w:sz w:val="12"/>
                <w:szCs w:val="12"/>
                <w:color w:val="auto"/>
              </w:rPr>
            </w:pPr>
          </w:p>
        </w:tc>
        <w:tc>
          <w:tcPr>
            <w:tcW w:w="2780" w:type="dxa"/>
            <w:vAlign w:val="bottom"/>
            <w:tcBorders>
              <w:bottom w:val="single" w:sz="8" w:color="477157"/>
            </w:tcBorders>
          </w:tcPr>
          <w:p>
            <w:pPr>
              <w:jc w:val="right"/>
              <w:spacing w:after="0"/>
              <w:rPr>
                <w:sz w:val="20"/>
                <w:szCs w:val="20"/>
                <w:color w:val="auto"/>
              </w:rPr>
            </w:pPr>
            <w:r>
              <w:rPr>
                <w:rFonts w:ascii="Arial" w:cs="Arial" w:eastAsia="Arial" w:hAnsi="Arial"/>
                <w:sz w:val="12"/>
                <w:szCs w:val="12"/>
                <w:b w:val="1"/>
                <w:bCs w:val="1"/>
                <w:color w:val="477157"/>
              </w:rPr>
              <w:t>Year</w:t>
            </w:r>
          </w:p>
        </w:tc>
        <w:tc>
          <w:tcPr>
            <w:tcW w:w="1440" w:type="dxa"/>
            <w:vAlign w:val="bottom"/>
            <w:tcBorders>
              <w:bottom w:val="single" w:sz="8" w:color="477157"/>
            </w:tcBorders>
          </w:tcPr>
          <w:p>
            <w:pPr>
              <w:jc w:val="right"/>
              <w:ind w:right="11"/>
              <w:spacing w:after="0"/>
              <w:rPr>
                <w:sz w:val="20"/>
                <w:szCs w:val="20"/>
                <w:color w:val="auto"/>
              </w:rPr>
            </w:pPr>
            <w:r>
              <w:rPr>
                <w:rFonts w:ascii="Arial" w:cs="Arial" w:eastAsia="Arial" w:hAnsi="Arial"/>
                <w:sz w:val="12"/>
                <w:szCs w:val="12"/>
                <w:b w:val="1"/>
                <w:bCs w:val="1"/>
                <w:color w:val="477157"/>
              </w:rPr>
              <w:t>Achieved ($)</w:t>
            </w:r>
          </w:p>
        </w:tc>
        <w:tc>
          <w:tcPr>
            <w:tcW w:w="1360" w:type="dxa"/>
            <w:vAlign w:val="bottom"/>
            <w:tcBorders>
              <w:bottom w:val="single" w:sz="8" w:color="477157"/>
            </w:tcBorders>
          </w:tcPr>
          <w:p>
            <w:pPr>
              <w:jc w:val="right"/>
              <w:spacing w:after="0"/>
              <w:rPr>
                <w:sz w:val="20"/>
                <w:szCs w:val="20"/>
                <w:color w:val="auto"/>
              </w:rPr>
            </w:pPr>
            <w:r>
              <w:rPr>
                <w:rFonts w:ascii="Arial" w:cs="Arial" w:eastAsia="Arial" w:hAnsi="Arial"/>
                <w:sz w:val="12"/>
                <w:szCs w:val="12"/>
                <w:b w:val="1"/>
                <w:bCs w:val="1"/>
                <w:color w:val="477157"/>
              </w:rPr>
              <w:t>Achieved ($)</w:t>
            </w:r>
          </w:p>
        </w:tc>
      </w:tr>
      <w:tr>
        <w:trPr>
          <w:trHeight w:val="160"/>
        </w:trPr>
        <w:tc>
          <w:tcPr>
            <w:tcW w:w="33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Fish</w:t>
            </w:r>
          </w:p>
        </w:tc>
        <w:tc>
          <w:tcPr>
            <w:tcW w:w="27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2019</w:t>
            </w:r>
          </w:p>
        </w:tc>
        <w:tc>
          <w:tcPr>
            <w:tcW w:w="1440" w:type="dxa"/>
            <w:vAlign w:val="bottom"/>
            <w:tcBorders>
              <w:bottom w:val="single" w:sz="8" w:color="477157"/>
            </w:tcBorders>
          </w:tcPr>
          <w:p>
            <w:pPr>
              <w:jc w:val="right"/>
              <w:ind w:right="11"/>
              <w:spacing w:after="0" w:line="161" w:lineRule="exact"/>
              <w:rPr>
                <w:sz w:val="20"/>
                <w:szCs w:val="20"/>
                <w:color w:val="auto"/>
              </w:rPr>
            </w:pPr>
            <w:r>
              <w:rPr>
                <w:rFonts w:ascii="Arial" w:cs="Arial" w:eastAsia="Arial" w:hAnsi="Arial"/>
                <w:sz w:val="15"/>
                <w:szCs w:val="15"/>
                <w:color w:val="auto"/>
              </w:rPr>
              <w:t>2,914,920</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5,829,840</w:t>
            </w:r>
          </w:p>
        </w:tc>
      </w:tr>
      <w:tr>
        <w:trPr>
          <w:trHeight w:val="172"/>
        </w:trPr>
        <w:tc>
          <w:tcPr>
            <w:tcW w:w="3300" w:type="dxa"/>
            <w:vAlign w:val="bottom"/>
            <w:tcBorders>
              <w:bottom w:val="single" w:sz="8" w:color="477157"/>
            </w:tcBorders>
          </w:tcPr>
          <w:p>
            <w:pPr>
              <w:spacing w:after="0"/>
              <w:rPr>
                <w:sz w:val="14"/>
                <w:szCs w:val="14"/>
                <w:color w:val="auto"/>
              </w:rPr>
            </w:pPr>
          </w:p>
        </w:tc>
        <w:tc>
          <w:tcPr>
            <w:tcW w:w="278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2018</w:t>
            </w:r>
          </w:p>
        </w:tc>
        <w:tc>
          <w:tcPr>
            <w:tcW w:w="1440" w:type="dxa"/>
            <w:vAlign w:val="bottom"/>
            <w:tcBorders>
              <w:bottom w:val="single" w:sz="8" w:color="477157"/>
            </w:tcBorders>
          </w:tcPr>
          <w:p>
            <w:pPr>
              <w:jc w:val="right"/>
              <w:ind w:right="11"/>
              <w:spacing w:after="0"/>
              <w:rPr>
                <w:sz w:val="20"/>
                <w:szCs w:val="20"/>
                <w:color w:val="auto"/>
              </w:rPr>
            </w:pPr>
            <w:r>
              <w:rPr>
                <w:rFonts w:ascii="Arial" w:cs="Arial" w:eastAsia="Arial" w:hAnsi="Arial"/>
                <w:sz w:val="15"/>
                <w:szCs w:val="15"/>
                <w:color w:val="auto"/>
              </w:rPr>
              <w:t>2,354,189</w:t>
            </w:r>
          </w:p>
        </w:tc>
        <w:tc>
          <w:tcPr>
            <w:tcW w:w="136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4,708,378</w:t>
            </w:r>
          </w:p>
        </w:tc>
      </w:tr>
      <w:tr>
        <w:trPr>
          <w:trHeight w:val="172"/>
        </w:trPr>
        <w:tc>
          <w:tcPr>
            <w:tcW w:w="3300" w:type="dxa"/>
            <w:vAlign w:val="bottom"/>
            <w:tcBorders>
              <w:bottom w:val="single" w:sz="8" w:color="477157"/>
            </w:tcBorders>
          </w:tcPr>
          <w:p>
            <w:pPr>
              <w:spacing w:after="0"/>
              <w:rPr>
                <w:sz w:val="14"/>
                <w:szCs w:val="14"/>
                <w:color w:val="auto"/>
              </w:rPr>
            </w:pPr>
          </w:p>
        </w:tc>
        <w:tc>
          <w:tcPr>
            <w:tcW w:w="278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2017</w:t>
            </w:r>
          </w:p>
        </w:tc>
        <w:tc>
          <w:tcPr>
            <w:tcW w:w="1440" w:type="dxa"/>
            <w:vAlign w:val="bottom"/>
            <w:tcBorders>
              <w:bottom w:val="single" w:sz="8" w:color="477157"/>
            </w:tcBorders>
          </w:tcPr>
          <w:p>
            <w:pPr>
              <w:jc w:val="right"/>
              <w:ind w:right="11"/>
              <w:spacing w:after="0"/>
              <w:rPr>
                <w:sz w:val="20"/>
                <w:szCs w:val="20"/>
                <w:color w:val="auto"/>
              </w:rPr>
            </w:pPr>
            <w:r>
              <w:rPr>
                <w:rFonts w:ascii="Arial" w:cs="Arial" w:eastAsia="Arial" w:hAnsi="Arial"/>
                <w:sz w:val="15"/>
                <w:szCs w:val="15"/>
                <w:color w:val="auto"/>
              </w:rPr>
              <w:t>2,065,774</w:t>
            </w:r>
          </w:p>
        </w:tc>
        <w:tc>
          <w:tcPr>
            <w:tcW w:w="136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4,131,548</w:t>
            </w:r>
          </w:p>
        </w:tc>
      </w:tr>
      <w:tr>
        <w:trPr>
          <w:trHeight w:val="160"/>
        </w:trPr>
        <w:tc>
          <w:tcPr>
            <w:tcW w:w="33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Rankin</w:t>
            </w:r>
          </w:p>
        </w:tc>
        <w:tc>
          <w:tcPr>
            <w:tcW w:w="27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2019</w:t>
            </w:r>
          </w:p>
        </w:tc>
        <w:tc>
          <w:tcPr>
            <w:tcW w:w="1440" w:type="dxa"/>
            <w:vAlign w:val="bottom"/>
            <w:tcBorders>
              <w:bottom w:val="single" w:sz="8" w:color="477157"/>
            </w:tcBorders>
          </w:tcPr>
          <w:p>
            <w:pPr>
              <w:jc w:val="right"/>
              <w:ind w:right="11"/>
              <w:spacing w:after="0" w:line="161" w:lineRule="exact"/>
              <w:rPr>
                <w:sz w:val="20"/>
                <w:szCs w:val="20"/>
                <w:color w:val="auto"/>
              </w:rPr>
            </w:pPr>
            <w:r>
              <w:rPr>
                <w:rFonts w:ascii="Arial" w:cs="Arial" w:eastAsia="Arial" w:hAnsi="Arial"/>
                <w:sz w:val="15"/>
                <w:szCs w:val="15"/>
                <w:color w:val="auto"/>
              </w:rPr>
              <w:t>832,820</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1,665,640</w:t>
            </w:r>
          </w:p>
        </w:tc>
      </w:tr>
      <w:tr>
        <w:trPr>
          <w:trHeight w:val="172"/>
        </w:trPr>
        <w:tc>
          <w:tcPr>
            <w:tcW w:w="3300" w:type="dxa"/>
            <w:vAlign w:val="bottom"/>
            <w:tcBorders>
              <w:bottom w:val="single" w:sz="8" w:color="477157"/>
            </w:tcBorders>
          </w:tcPr>
          <w:p>
            <w:pPr>
              <w:spacing w:after="0"/>
              <w:rPr>
                <w:sz w:val="14"/>
                <w:szCs w:val="14"/>
                <w:color w:val="auto"/>
              </w:rPr>
            </w:pPr>
          </w:p>
        </w:tc>
        <w:tc>
          <w:tcPr>
            <w:tcW w:w="278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2018</w:t>
            </w:r>
          </w:p>
        </w:tc>
        <w:tc>
          <w:tcPr>
            <w:tcW w:w="1440" w:type="dxa"/>
            <w:vAlign w:val="bottom"/>
            <w:tcBorders>
              <w:bottom w:val="single" w:sz="8" w:color="477157"/>
            </w:tcBorders>
          </w:tcPr>
          <w:p>
            <w:pPr>
              <w:jc w:val="right"/>
              <w:ind w:right="11"/>
              <w:spacing w:after="0"/>
              <w:rPr>
                <w:sz w:val="20"/>
                <w:szCs w:val="20"/>
                <w:color w:val="auto"/>
              </w:rPr>
            </w:pPr>
            <w:r>
              <w:rPr>
                <w:rFonts w:ascii="Arial" w:cs="Arial" w:eastAsia="Arial" w:hAnsi="Arial"/>
                <w:sz w:val="15"/>
                <w:szCs w:val="15"/>
                <w:color w:val="auto"/>
              </w:rPr>
              <w:t>667,017</w:t>
            </w:r>
          </w:p>
        </w:tc>
        <w:tc>
          <w:tcPr>
            <w:tcW w:w="136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1,334,034</w:t>
            </w:r>
          </w:p>
        </w:tc>
      </w:tr>
      <w:tr>
        <w:trPr>
          <w:trHeight w:val="172"/>
        </w:trPr>
        <w:tc>
          <w:tcPr>
            <w:tcW w:w="3300" w:type="dxa"/>
            <w:vAlign w:val="bottom"/>
            <w:tcBorders>
              <w:bottom w:val="single" w:sz="8" w:color="477157"/>
            </w:tcBorders>
          </w:tcPr>
          <w:p>
            <w:pPr>
              <w:spacing w:after="0"/>
              <w:rPr>
                <w:sz w:val="14"/>
                <w:szCs w:val="14"/>
                <w:color w:val="auto"/>
              </w:rPr>
            </w:pPr>
          </w:p>
        </w:tc>
        <w:tc>
          <w:tcPr>
            <w:tcW w:w="278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2017</w:t>
            </w:r>
          </w:p>
        </w:tc>
        <w:tc>
          <w:tcPr>
            <w:tcW w:w="1440" w:type="dxa"/>
            <w:vAlign w:val="bottom"/>
            <w:tcBorders>
              <w:bottom w:val="single" w:sz="8" w:color="477157"/>
            </w:tcBorders>
          </w:tcPr>
          <w:p>
            <w:pPr>
              <w:jc w:val="right"/>
              <w:ind w:right="11"/>
              <w:spacing w:after="0"/>
              <w:rPr>
                <w:sz w:val="20"/>
                <w:szCs w:val="20"/>
                <w:color w:val="auto"/>
              </w:rPr>
            </w:pPr>
            <w:r>
              <w:rPr>
                <w:rFonts w:ascii="Arial" w:cs="Arial" w:eastAsia="Arial" w:hAnsi="Arial"/>
                <w:sz w:val="15"/>
                <w:szCs w:val="15"/>
                <w:color w:val="auto"/>
              </w:rPr>
              <w:t>413,169</w:t>
            </w:r>
          </w:p>
        </w:tc>
        <w:tc>
          <w:tcPr>
            <w:tcW w:w="136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826,338</w:t>
            </w:r>
          </w:p>
        </w:tc>
      </w:tr>
      <w:tr>
        <w:trPr>
          <w:trHeight w:val="160"/>
        </w:trPr>
        <w:tc>
          <w:tcPr>
            <w:tcW w:w="33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Morris</w:t>
            </w:r>
          </w:p>
        </w:tc>
        <w:tc>
          <w:tcPr>
            <w:tcW w:w="27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2019</w:t>
            </w:r>
          </w:p>
        </w:tc>
        <w:tc>
          <w:tcPr>
            <w:tcW w:w="1440" w:type="dxa"/>
            <w:vAlign w:val="bottom"/>
            <w:tcBorders>
              <w:bottom w:val="single" w:sz="8" w:color="477157"/>
            </w:tcBorders>
          </w:tcPr>
          <w:p>
            <w:pPr>
              <w:jc w:val="right"/>
              <w:ind w:right="11"/>
              <w:spacing w:after="0" w:line="161" w:lineRule="exact"/>
              <w:rPr>
                <w:sz w:val="20"/>
                <w:szCs w:val="20"/>
                <w:color w:val="auto"/>
              </w:rPr>
            </w:pPr>
            <w:r>
              <w:rPr>
                <w:rFonts w:ascii="Arial" w:cs="Arial" w:eastAsia="Arial" w:hAnsi="Arial"/>
                <w:sz w:val="15"/>
                <w:szCs w:val="15"/>
                <w:color w:val="auto"/>
              </w:rPr>
              <w:t>916,092</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1,832,184</w:t>
            </w:r>
          </w:p>
        </w:tc>
      </w:tr>
      <w:tr>
        <w:trPr>
          <w:trHeight w:val="172"/>
        </w:trPr>
        <w:tc>
          <w:tcPr>
            <w:tcW w:w="3300" w:type="dxa"/>
            <w:vAlign w:val="bottom"/>
            <w:tcBorders>
              <w:bottom w:val="single" w:sz="8" w:color="477157"/>
            </w:tcBorders>
          </w:tcPr>
          <w:p>
            <w:pPr>
              <w:spacing w:after="0"/>
              <w:rPr>
                <w:sz w:val="14"/>
                <w:szCs w:val="14"/>
                <w:color w:val="auto"/>
              </w:rPr>
            </w:pPr>
          </w:p>
        </w:tc>
        <w:tc>
          <w:tcPr>
            <w:tcW w:w="278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2018</w:t>
            </w:r>
          </w:p>
        </w:tc>
        <w:tc>
          <w:tcPr>
            <w:tcW w:w="1440" w:type="dxa"/>
            <w:vAlign w:val="bottom"/>
            <w:tcBorders>
              <w:bottom w:val="single" w:sz="8" w:color="477157"/>
            </w:tcBorders>
          </w:tcPr>
          <w:p>
            <w:pPr>
              <w:jc w:val="right"/>
              <w:ind w:right="11"/>
              <w:spacing w:after="0"/>
              <w:rPr>
                <w:sz w:val="20"/>
                <w:szCs w:val="20"/>
                <w:color w:val="auto"/>
              </w:rPr>
            </w:pPr>
            <w:r>
              <w:rPr>
                <w:rFonts w:ascii="Arial" w:cs="Arial" w:eastAsia="Arial" w:hAnsi="Arial"/>
                <w:sz w:val="15"/>
                <w:szCs w:val="15"/>
                <w:color w:val="auto"/>
              </w:rPr>
              <w:t>706,274</w:t>
            </w:r>
          </w:p>
        </w:tc>
        <w:tc>
          <w:tcPr>
            <w:tcW w:w="136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1,412,548</w:t>
            </w:r>
          </w:p>
        </w:tc>
      </w:tr>
      <w:tr>
        <w:trPr>
          <w:trHeight w:val="172"/>
        </w:trPr>
        <w:tc>
          <w:tcPr>
            <w:tcW w:w="3300" w:type="dxa"/>
            <w:vAlign w:val="bottom"/>
            <w:tcBorders>
              <w:bottom w:val="single" w:sz="8" w:color="477157"/>
            </w:tcBorders>
          </w:tcPr>
          <w:p>
            <w:pPr>
              <w:spacing w:after="0"/>
              <w:rPr>
                <w:sz w:val="14"/>
                <w:szCs w:val="14"/>
                <w:color w:val="auto"/>
              </w:rPr>
            </w:pPr>
          </w:p>
        </w:tc>
        <w:tc>
          <w:tcPr>
            <w:tcW w:w="278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2017</w:t>
            </w:r>
          </w:p>
        </w:tc>
        <w:tc>
          <w:tcPr>
            <w:tcW w:w="1440" w:type="dxa"/>
            <w:vAlign w:val="bottom"/>
            <w:tcBorders>
              <w:bottom w:val="single" w:sz="8" w:color="477157"/>
            </w:tcBorders>
          </w:tcPr>
          <w:p>
            <w:pPr>
              <w:jc w:val="right"/>
              <w:ind w:right="11"/>
              <w:spacing w:after="0"/>
              <w:rPr>
                <w:sz w:val="20"/>
                <w:szCs w:val="20"/>
                <w:color w:val="auto"/>
              </w:rPr>
            </w:pPr>
            <w:r>
              <w:rPr>
                <w:rFonts w:ascii="Arial" w:cs="Arial" w:eastAsia="Arial" w:hAnsi="Arial"/>
                <w:sz w:val="15"/>
                <w:szCs w:val="15"/>
                <w:color w:val="auto"/>
              </w:rPr>
              <w:t>619,754</w:t>
            </w:r>
          </w:p>
        </w:tc>
        <w:tc>
          <w:tcPr>
            <w:tcW w:w="136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1,239,508</w:t>
            </w:r>
          </w:p>
        </w:tc>
      </w:tr>
      <w:tr>
        <w:trPr>
          <w:trHeight w:val="160"/>
        </w:trPr>
        <w:tc>
          <w:tcPr>
            <w:tcW w:w="33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Ms. Hemmer</w:t>
            </w:r>
          </w:p>
        </w:tc>
        <w:tc>
          <w:tcPr>
            <w:tcW w:w="27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2019</w:t>
            </w:r>
          </w:p>
        </w:tc>
        <w:tc>
          <w:tcPr>
            <w:tcW w:w="1440" w:type="dxa"/>
            <w:vAlign w:val="bottom"/>
            <w:tcBorders>
              <w:bottom w:val="single" w:sz="8" w:color="477157"/>
            </w:tcBorders>
          </w:tcPr>
          <w:p>
            <w:pPr>
              <w:jc w:val="right"/>
              <w:ind w:right="11"/>
              <w:spacing w:after="0" w:line="161" w:lineRule="exact"/>
              <w:rPr>
                <w:sz w:val="20"/>
                <w:szCs w:val="20"/>
                <w:color w:val="auto"/>
              </w:rPr>
            </w:pPr>
            <w:r>
              <w:rPr>
                <w:rFonts w:ascii="Arial" w:cs="Arial" w:eastAsia="Arial" w:hAnsi="Arial"/>
                <w:sz w:val="15"/>
                <w:szCs w:val="15"/>
                <w:color w:val="auto"/>
              </w:rPr>
              <w:t>687,044</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1,374,088</w:t>
            </w:r>
          </w:p>
        </w:tc>
      </w:tr>
      <w:tr>
        <w:trPr>
          <w:trHeight w:val="160"/>
        </w:trPr>
        <w:tc>
          <w:tcPr>
            <w:tcW w:w="33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Batchelor</w:t>
            </w:r>
          </w:p>
        </w:tc>
        <w:tc>
          <w:tcPr>
            <w:tcW w:w="27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2019</w:t>
            </w:r>
          </w:p>
        </w:tc>
        <w:tc>
          <w:tcPr>
            <w:tcW w:w="1440" w:type="dxa"/>
            <w:vAlign w:val="bottom"/>
            <w:tcBorders>
              <w:bottom w:val="single" w:sz="8" w:color="477157"/>
            </w:tcBorders>
          </w:tcPr>
          <w:p>
            <w:pPr>
              <w:jc w:val="right"/>
              <w:ind w:right="11"/>
              <w:spacing w:after="0" w:line="161" w:lineRule="exact"/>
              <w:rPr>
                <w:sz w:val="20"/>
                <w:szCs w:val="20"/>
                <w:color w:val="auto"/>
              </w:rPr>
            </w:pPr>
            <w:r>
              <w:rPr>
                <w:rFonts w:ascii="Arial" w:cs="Arial" w:eastAsia="Arial" w:hAnsi="Arial"/>
                <w:sz w:val="15"/>
                <w:szCs w:val="15"/>
                <w:color w:val="auto"/>
              </w:rPr>
              <w:t>687,044</w:t>
            </w:r>
          </w:p>
        </w:tc>
        <w:tc>
          <w:tcPr>
            <w:tcW w:w="13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1,374,088</w:t>
            </w:r>
          </w:p>
        </w:tc>
      </w:tr>
    </w:tbl>
    <w:p>
      <w:pPr>
        <w:spacing w:after="0" w:line="183" w:lineRule="exact"/>
        <w:rPr>
          <w:sz w:val="20"/>
          <w:szCs w:val="20"/>
          <w:color w:val="auto"/>
        </w:rPr>
      </w:pPr>
    </w:p>
    <w:p>
      <w:pPr>
        <w:jc w:val="both"/>
        <w:ind w:left="1560" w:hanging="443"/>
        <w:spacing w:after="0" w:line="237" w:lineRule="auto"/>
        <w:tabs>
          <w:tab w:leader="none" w:pos="15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Amounts in this column represent the grant date fair value of stock options granted annually, in accordance with ASC Topic 718. The grant date fair value of the options granted in 2019, estimated using the Black-Scholes option pricing model, is $12.22 per option. The assumptions made in determining the grant date fair values of options are disclosed in Note 15 in the Notes to the Consolidated Financial Statements in our 2019 Annual Report on Form 10-K.</w:t>
      </w:r>
    </w:p>
    <w:p>
      <w:pPr>
        <w:spacing w:after="0" w:line="175" w:lineRule="exact"/>
        <w:rPr>
          <w:rFonts w:ascii="Arial" w:cs="Arial" w:eastAsia="Arial" w:hAnsi="Arial"/>
          <w:sz w:val="15"/>
          <w:szCs w:val="15"/>
          <w:color w:val="auto"/>
        </w:rPr>
      </w:pPr>
    </w:p>
    <w:p>
      <w:pPr>
        <w:jc w:val="both"/>
        <w:ind w:left="1560" w:hanging="443"/>
        <w:spacing w:after="0" w:line="238" w:lineRule="auto"/>
        <w:tabs>
          <w:tab w:leader="none" w:pos="15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Amounts in this column represent cash incentive awards earned and paid based on the achievement of performance criteria. Please see "Compensation Discussion and Analysis — Named Executive's 2019 Compensation Program and Results — Annual Cash Incentive" for additional information.</w:t>
      </w:r>
    </w:p>
    <w:p>
      <w:pPr>
        <w:spacing w:after="0" w:line="162" w:lineRule="exact"/>
        <w:rPr>
          <w:rFonts w:ascii="Arial" w:cs="Arial" w:eastAsia="Arial" w:hAnsi="Arial"/>
          <w:sz w:val="15"/>
          <w:szCs w:val="15"/>
          <w:color w:val="auto"/>
        </w:rPr>
      </w:pPr>
    </w:p>
    <w:p>
      <w:pPr>
        <w:ind w:left="1560" w:hanging="443"/>
        <w:spacing w:after="0"/>
        <w:tabs>
          <w:tab w:leader="none" w:pos="15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amounts included in "All Other Compensation" for 2019 are shown below (in dollars):</w:t>
      </w:r>
    </w:p>
    <w:p>
      <w:pPr>
        <w:spacing w:after="0" w:line="161"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80" w:type="dxa"/>
            <w:vAlign w:val="bottom"/>
          </w:tcPr>
          <w:p>
            <w:pPr>
              <w:jc w:val="right"/>
              <w:ind w:right="33"/>
              <w:spacing w:after="0"/>
              <w:rPr>
                <w:sz w:val="20"/>
                <w:szCs w:val="20"/>
                <w:color w:val="auto"/>
              </w:rPr>
            </w:pPr>
            <w:r>
              <w:rPr>
                <w:rFonts w:ascii="Arial" w:cs="Arial" w:eastAsia="Arial" w:hAnsi="Arial"/>
                <w:sz w:val="12"/>
                <w:szCs w:val="12"/>
                <w:b w:val="1"/>
                <w:bCs w:val="1"/>
                <w:color w:val="477157"/>
              </w:rPr>
              <w:t>409A</w:t>
            </w:r>
          </w:p>
        </w:tc>
        <w:tc>
          <w:tcPr>
            <w:tcW w:w="10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477157"/>
              </w:rPr>
              <w:t>Perquisites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80" w:type="dxa"/>
            <w:vAlign w:val="bottom"/>
          </w:tcPr>
          <w:p>
            <w:pPr>
              <w:jc w:val="right"/>
              <w:ind w:right="33"/>
              <w:spacing w:after="0" w:line="123" w:lineRule="exact"/>
              <w:rPr>
                <w:sz w:val="20"/>
                <w:szCs w:val="20"/>
                <w:color w:val="auto"/>
              </w:rPr>
            </w:pPr>
            <w:r>
              <w:rPr>
                <w:rFonts w:ascii="Arial" w:cs="Arial" w:eastAsia="Arial" w:hAnsi="Arial"/>
                <w:sz w:val="12"/>
                <w:szCs w:val="12"/>
                <w:b w:val="1"/>
                <w:bCs w:val="1"/>
                <w:color w:val="477157"/>
              </w:rPr>
              <w:t>Deferral</w:t>
            </w:r>
          </w:p>
        </w:tc>
        <w:tc>
          <w:tcPr>
            <w:tcW w:w="10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80" w:type="dxa"/>
            <w:vAlign w:val="bottom"/>
          </w:tcPr>
          <w:p>
            <w:pPr>
              <w:jc w:val="right"/>
              <w:ind w:right="12"/>
              <w:spacing w:after="0" w:line="136" w:lineRule="exact"/>
              <w:rPr>
                <w:sz w:val="20"/>
                <w:szCs w:val="20"/>
                <w:color w:val="auto"/>
              </w:rPr>
            </w:pPr>
            <w:r>
              <w:rPr>
                <w:rFonts w:ascii="Arial" w:cs="Arial" w:eastAsia="Arial" w:hAnsi="Arial"/>
                <w:sz w:val="12"/>
                <w:szCs w:val="12"/>
                <w:b w:val="1"/>
                <w:bCs w:val="1"/>
                <w:color w:val="477157"/>
              </w:rPr>
              <w:t>401(k)</w:t>
            </w:r>
          </w:p>
        </w:tc>
        <w:tc>
          <w:tcPr>
            <w:tcW w:w="980" w:type="dxa"/>
            <w:vAlign w:val="bottom"/>
          </w:tcPr>
          <w:p>
            <w:pPr>
              <w:jc w:val="right"/>
              <w:ind w:right="33"/>
              <w:spacing w:after="0" w:line="136" w:lineRule="exact"/>
              <w:rPr>
                <w:sz w:val="20"/>
                <w:szCs w:val="20"/>
                <w:color w:val="auto"/>
              </w:rPr>
            </w:pPr>
            <w:r>
              <w:rPr>
                <w:rFonts w:ascii="Arial" w:cs="Arial" w:eastAsia="Arial" w:hAnsi="Arial"/>
                <w:sz w:val="12"/>
                <w:szCs w:val="12"/>
                <w:b w:val="1"/>
                <w:bCs w:val="1"/>
                <w:color w:val="477157"/>
              </w:rPr>
              <w:t>Plan</w:t>
            </w:r>
          </w:p>
        </w:tc>
        <w:tc>
          <w:tcPr>
            <w:tcW w:w="102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and 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80" w:type="dxa"/>
            <w:vAlign w:val="bottom"/>
          </w:tcPr>
          <w:p>
            <w:pPr>
              <w:jc w:val="right"/>
              <w:ind w:right="12"/>
              <w:spacing w:after="0" w:line="136" w:lineRule="exact"/>
              <w:rPr>
                <w:sz w:val="20"/>
                <w:szCs w:val="20"/>
                <w:color w:val="auto"/>
              </w:rPr>
            </w:pPr>
            <w:r>
              <w:rPr>
                <w:rFonts w:ascii="Arial" w:cs="Arial" w:eastAsia="Arial" w:hAnsi="Arial"/>
                <w:sz w:val="12"/>
                <w:szCs w:val="12"/>
                <w:b w:val="1"/>
                <w:bCs w:val="1"/>
                <w:color w:val="477157"/>
              </w:rPr>
              <w:t>Plan Matching</w:t>
            </w:r>
          </w:p>
        </w:tc>
        <w:tc>
          <w:tcPr>
            <w:tcW w:w="980" w:type="dxa"/>
            <w:vAlign w:val="bottom"/>
          </w:tcPr>
          <w:p>
            <w:pPr>
              <w:jc w:val="right"/>
              <w:ind w:right="33"/>
              <w:spacing w:after="0" w:line="136" w:lineRule="exact"/>
              <w:rPr>
                <w:sz w:val="20"/>
                <w:szCs w:val="20"/>
                <w:color w:val="auto"/>
              </w:rPr>
            </w:pPr>
            <w:r>
              <w:rPr>
                <w:rFonts w:ascii="Arial" w:cs="Arial" w:eastAsia="Arial" w:hAnsi="Arial"/>
                <w:sz w:val="12"/>
                <w:szCs w:val="12"/>
                <w:b w:val="1"/>
                <w:bCs w:val="1"/>
                <w:color w:val="477157"/>
              </w:rPr>
              <w:t>Matching</w:t>
            </w:r>
          </w:p>
        </w:tc>
        <w:tc>
          <w:tcPr>
            <w:tcW w:w="1020" w:type="dxa"/>
            <w:vAlign w:val="bottom"/>
          </w:tcPr>
          <w:p>
            <w:pPr>
              <w:jc w:val="right"/>
              <w:ind w:right="31"/>
              <w:spacing w:after="0" w:line="136" w:lineRule="exact"/>
              <w:rPr>
                <w:sz w:val="20"/>
                <w:szCs w:val="20"/>
                <w:color w:val="auto"/>
              </w:rPr>
            </w:pPr>
            <w:r>
              <w:rPr>
                <w:rFonts w:ascii="Arial" w:cs="Arial" w:eastAsia="Arial" w:hAnsi="Arial"/>
                <w:sz w:val="12"/>
                <w:szCs w:val="12"/>
                <w:b w:val="1"/>
                <w:bCs w:val="1"/>
                <w:color w:val="477157"/>
              </w:rPr>
              <w:t>Life Insurance</w:t>
            </w:r>
          </w:p>
        </w:tc>
        <w:tc>
          <w:tcPr>
            <w:tcW w:w="76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Personal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Borders>
              <w:bottom w:val="single" w:sz="8" w:color="477157"/>
            </w:tcBorders>
          </w:tcPr>
          <w:p>
            <w:pPr>
              <w:spacing w:after="0"/>
              <w:rPr>
                <w:sz w:val="13"/>
                <w:szCs w:val="13"/>
                <w:color w:val="auto"/>
              </w:rPr>
            </w:pPr>
          </w:p>
        </w:tc>
        <w:tc>
          <w:tcPr>
            <w:tcW w:w="2480" w:type="dxa"/>
            <w:vAlign w:val="bottom"/>
            <w:tcBorders>
              <w:bottom w:val="single" w:sz="8" w:color="477157"/>
            </w:tcBorders>
          </w:tcPr>
          <w:p>
            <w:pPr>
              <w:jc w:val="right"/>
              <w:ind w:right="12"/>
              <w:spacing w:after="0"/>
              <w:rPr>
                <w:sz w:val="20"/>
                <w:szCs w:val="20"/>
                <w:color w:val="auto"/>
              </w:rPr>
            </w:pPr>
            <w:r>
              <w:rPr>
                <w:rFonts w:ascii="Arial" w:cs="Arial" w:eastAsia="Arial" w:hAnsi="Arial"/>
                <w:sz w:val="12"/>
                <w:szCs w:val="12"/>
                <w:b w:val="1"/>
                <w:bCs w:val="1"/>
                <w:color w:val="477157"/>
              </w:rPr>
              <w:t>Contributions</w:t>
            </w:r>
          </w:p>
        </w:tc>
        <w:tc>
          <w:tcPr>
            <w:tcW w:w="980" w:type="dxa"/>
            <w:vAlign w:val="bottom"/>
            <w:tcBorders>
              <w:bottom w:val="single" w:sz="8" w:color="477157"/>
            </w:tcBorders>
          </w:tcPr>
          <w:p>
            <w:pPr>
              <w:jc w:val="right"/>
              <w:ind w:right="33"/>
              <w:spacing w:after="0"/>
              <w:rPr>
                <w:sz w:val="20"/>
                <w:szCs w:val="20"/>
                <w:color w:val="auto"/>
              </w:rPr>
            </w:pPr>
            <w:r>
              <w:rPr>
                <w:rFonts w:ascii="Arial" w:cs="Arial" w:eastAsia="Arial" w:hAnsi="Arial"/>
                <w:sz w:val="12"/>
                <w:szCs w:val="12"/>
                <w:b w:val="1"/>
                <w:bCs w:val="1"/>
                <w:color w:val="477157"/>
              </w:rPr>
              <w:t>Contributions</w:t>
            </w:r>
          </w:p>
        </w:tc>
        <w:tc>
          <w:tcPr>
            <w:tcW w:w="1020" w:type="dxa"/>
            <w:vAlign w:val="bottom"/>
            <w:tcBorders>
              <w:bottom w:val="single" w:sz="8" w:color="477157"/>
            </w:tcBorders>
          </w:tcPr>
          <w:p>
            <w:pPr>
              <w:jc w:val="right"/>
              <w:ind w:right="31"/>
              <w:spacing w:after="0"/>
              <w:rPr>
                <w:sz w:val="20"/>
                <w:szCs w:val="20"/>
                <w:color w:val="auto"/>
              </w:rPr>
            </w:pPr>
            <w:r>
              <w:rPr>
                <w:rFonts w:ascii="Arial" w:cs="Arial" w:eastAsia="Arial" w:hAnsi="Arial"/>
                <w:sz w:val="12"/>
                <w:szCs w:val="12"/>
                <w:b w:val="1"/>
                <w:bCs w:val="1"/>
                <w:color w:val="477157"/>
              </w:rPr>
              <w:t>Premiums</w:t>
            </w:r>
          </w:p>
        </w:tc>
        <w:tc>
          <w:tcPr>
            <w:tcW w:w="760" w:type="dxa"/>
            <w:vAlign w:val="bottom"/>
            <w:tcBorders>
              <w:bottom w:val="single" w:sz="8" w:color="477157"/>
            </w:tcBorders>
          </w:tcPr>
          <w:p>
            <w:pPr>
              <w:jc w:val="right"/>
              <w:spacing w:after="0" w:line="157" w:lineRule="exact"/>
              <w:rPr>
                <w:sz w:val="20"/>
                <w:szCs w:val="20"/>
                <w:color w:val="auto"/>
              </w:rPr>
            </w:pPr>
            <w:r>
              <w:rPr>
                <w:rFonts w:ascii="Arial" w:cs="Arial" w:eastAsia="Arial" w:hAnsi="Arial"/>
                <w:sz w:val="12"/>
                <w:szCs w:val="12"/>
                <w:b w:val="1"/>
                <w:bCs w:val="1"/>
                <w:color w:val="477157"/>
              </w:rPr>
              <w:t>Benefits</w:t>
            </w:r>
            <w:r>
              <w:rPr>
                <w:rFonts w:ascii="Arial" w:cs="Arial" w:eastAsia="Arial" w:hAnsi="Arial"/>
                <w:sz w:val="18"/>
                <w:szCs w:val="18"/>
                <w:b w:val="1"/>
                <w:bCs w:val="1"/>
                <w:color w:val="477157"/>
                <w:vertAlign w:val="superscript"/>
              </w:rPr>
              <w:t>(a)</w:t>
            </w:r>
          </w:p>
        </w:tc>
        <w:tc>
          <w:tcPr>
            <w:tcW w:w="0" w:type="dxa"/>
            <w:vAlign w:val="bottom"/>
          </w:tcPr>
          <w:p>
            <w:pPr>
              <w:spacing w:after="0"/>
              <w:rPr>
                <w:sz w:val="1"/>
                <w:szCs w:val="1"/>
                <w:color w:val="auto"/>
              </w:rPr>
            </w:pPr>
          </w:p>
        </w:tc>
      </w:tr>
      <w:tr>
        <w:trPr>
          <w:trHeight w:val="160"/>
        </w:trPr>
        <w:tc>
          <w:tcPr>
            <w:tcW w:w="20" w:type="dxa"/>
            <w:vAlign w:val="bottom"/>
            <w:tcBorders>
              <w:bottom w:val="single" w:sz="8" w:color="477157"/>
            </w:tcBorders>
          </w:tcPr>
          <w:p>
            <w:pPr>
              <w:spacing w:after="0"/>
              <w:rPr>
                <w:sz w:val="13"/>
                <w:szCs w:val="13"/>
                <w:color w:val="auto"/>
              </w:rPr>
            </w:pPr>
          </w:p>
        </w:tc>
        <w:tc>
          <w:tcPr>
            <w:tcW w:w="25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Mr. Fish</w:t>
            </w:r>
          </w:p>
        </w:tc>
        <w:tc>
          <w:tcPr>
            <w:tcW w:w="2480" w:type="dxa"/>
            <w:vAlign w:val="bottom"/>
            <w:tcBorders>
              <w:bottom w:val="single" w:sz="8" w:color="477157"/>
            </w:tcBorders>
          </w:tcPr>
          <w:p>
            <w:pPr>
              <w:jc w:val="right"/>
              <w:ind w:right="12"/>
              <w:spacing w:after="0" w:line="161" w:lineRule="exact"/>
              <w:rPr>
                <w:sz w:val="20"/>
                <w:szCs w:val="20"/>
                <w:color w:val="auto"/>
              </w:rPr>
            </w:pPr>
            <w:r>
              <w:rPr>
                <w:rFonts w:ascii="Arial" w:cs="Arial" w:eastAsia="Arial" w:hAnsi="Arial"/>
                <w:sz w:val="15"/>
                <w:szCs w:val="15"/>
                <w:color w:val="auto"/>
              </w:rPr>
              <w:t>12,600</w:t>
            </w:r>
          </w:p>
        </w:tc>
        <w:tc>
          <w:tcPr>
            <w:tcW w:w="980" w:type="dxa"/>
            <w:vAlign w:val="bottom"/>
            <w:tcBorders>
              <w:bottom w:val="single" w:sz="8" w:color="477157"/>
            </w:tcBorders>
          </w:tcPr>
          <w:p>
            <w:pPr>
              <w:jc w:val="right"/>
              <w:ind w:right="33"/>
              <w:spacing w:after="0" w:line="161" w:lineRule="exact"/>
              <w:rPr>
                <w:sz w:val="20"/>
                <w:szCs w:val="20"/>
                <w:color w:val="auto"/>
              </w:rPr>
            </w:pPr>
            <w:r>
              <w:rPr>
                <w:rFonts w:ascii="Arial" w:cs="Arial" w:eastAsia="Arial" w:hAnsi="Arial"/>
                <w:sz w:val="15"/>
                <w:szCs w:val="15"/>
                <w:color w:val="auto"/>
              </w:rPr>
              <w:t>92,945</w:t>
            </w:r>
          </w:p>
        </w:tc>
        <w:tc>
          <w:tcPr>
            <w:tcW w:w="1020" w:type="dxa"/>
            <w:vAlign w:val="bottom"/>
            <w:tcBorders>
              <w:bottom w:val="single" w:sz="8" w:color="477157"/>
            </w:tcBorders>
          </w:tcPr>
          <w:p>
            <w:pPr>
              <w:jc w:val="right"/>
              <w:ind w:right="31"/>
              <w:spacing w:after="0" w:line="161" w:lineRule="exact"/>
              <w:rPr>
                <w:sz w:val="20"/>
                <w:szCs w:val="20"/>
                <w:color w:val="auto"/>
              </w:rPr>
            </w:pPr>
            <w:r>
              <w:rPr>
                <w:rFonts w:ascii="Arial" w:cs="Arial" w:eastAsia="Arial" w:hAnsi="Arial"/>
                <w:sz w:val="15"/>
                <w:szCs w:val="15"/>
                <w:color w:val="auto"/>
              </w:rPr>
              <w:t>2,109</w:t>
            </w:r>
          </w:p>
        </w:tc>
        <w:tc>
          <w:tcPr>
            <w:tcW w:w="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2520" w:type="dxa"/>
            <w:vAlign w:val="bottom"/>
            <w:tcBorders>
              <w:bottom w:val="single" w:sz="8" w:color="477157"/>
            </w:tcBorders>
            <w:gridSpan w:val="2"/>
          </w:tcPr>
          <w:p>
            <w:pPr>
              <w:spacing w:after="0" w:line="161" w:lineRule="exact"/>
              <w:rPr>
                <w:sz w:val="20"/>
                <w:szCs w:val="20"/>
                <w:color w:val="auto"/>
              </w:rPr>
            </w:pPr>
            <w:r>
              <w:rPr>
                <w:rFonts w:ascii="Arial" w:cs="Arial" w:eastAsia="Arial" w:hAnsi="Arial"/>
                <w:sz w:val="15"/>
                <w:szCs w:val="15"/>
                <w:b w:val="1"/>
                <w:bCs w:val="1"/>
                <w:color w:val="auto"/>
              </w:rPr>
              <w:t>Ms. Rankin</w:t>
            </w:r>
          </w:p>
        </w:tc>
        <w:tc>
          <w:tcPr>
            <w:tcW w:w="2480" w:type="dxa"/>
            <w:vAlign w:val="bottom"/>
            <w:tcBorders>
              <w:bottom w:val="single" w:sz="8" w:color="477157"/>
            </w:tcBorders>
          </w:tcPr>
          <w:p>
            <w:pPr>
              <w:jc w:val="right"/>
              <w:ind w:right="12"/>
              <w:spacing w:after="0" w:line="161" w:lineRule="exact"/>
              <w:rPr>
                <w:sz w:val="20"/>
                <w:szCs w:val="20"/>
                <w:color w:val="auto"/>
              </w:rPr>
            </w:pPr>
            <w:r>
              <w:rPr>
                <w:rFonts w:ascii="Arial" w:cs="Arial" w:eastAsia="Arial" w:hAnsi="Arial"/>
                <w:sz w:val="15"/>
                <w:szCs w:val="15"/>
                <w:color w:val="auto"/>
              </w:rPr>
              <w:t>12,600</w:t>
            </w:r>
          </w:p>
        </w:tc>
        <w:tc>
          <w:tcPr>
            <w:tcW w:w="980" w:type="dxa"/>
            <w:vAlign w:val="bottom"/>
            <w:tcBorders>
              <w:bottom w:val="single" w:sz="8" w:color="477157"/>
            </w:tcBorders>
          </w:tcPr>
          <w:p>
            <w:pPr>
              <w:jc w:val="right"/>
              <w:ind w:right="33"/>
              <w:spacing w:after="0" w:line="161" w:lineRule="exact"/>
              <w:rPr>
                <w:sz w:val="20"/>
                <w:szCs w:val="20"/>
                <w:color w:val="auto"/>
              </w:rPr>
            </w:pPr>
            <w:r>
              <w:rPr>
                <w:rFonts w:ascii="Arial" w:cs="Arial" w:eastAsia="Arial" w:hAnsi="Arial"/>
                <w:sz w:val="15"/>
                <w:szCs w:val="15"/>
                <w:color w:val="auto"/>
              </w:rPr>
              <w:t>32,867</w:t>
            </w:r>
          </w:p>
        </w:tc>
        <w:tc>
          <w:tcPr>
            <w:tcW w:w="1020" w:type="dxa"/>
            <w:vAlign w:val="bottom"/>
            <w:tcBorders>
              <w:bottom w:val="single" w:sz="8" w:color="477157"/>
            </w:tcBorders>
          </w:tcPr>
          <w:p>
            <w:pPr>
              <w:jc w:val="right"/>
              <w:ind w:right="31"/>
              <w:spacing w:after="0" w:line="161" w:lineRule="exact"/>
              <w:rPr>
                <w:sz w:val="20"/>
                <w:szCs w:val="20"/>
                <w:color w:val="auto"/>
              </w:rPr>
            </w:pPr>
            <w:r>
              <w:rPr>
                <w:rFonts w:ascii="Arial" w:cs="Arial" w:eastAsia="Arial" w:hAnsi="Arial"/>
                <w:sz w:val="15"/>
                <w:szCs w:val="15"/>
                <w:color w:val="auto"/>
              </w:rPr>
              <w:t>1,027</w:t>
            </w:r>
          </w:p>
        </w:tc>
        <w:tc>
          <w:tcPr>
            <w:tcW w:w="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22,081</w:t>
            </w:r>
          </w:p>
        </w:tc>
        <w:tc>
          <w:tcPr>
            <w:tcW w:w="0" w:type="dxa"/>
            <w:vAlign w:val="bottom"/>
          </w:tcPr>
          <w:p>
            <w:pPr>
              <w:spacing w:after="0"/>
              <w:rPr>
                <w:sz w:val="1"/>
                <w:szCs w:val="1"/>
                <w:color w:val="auto"/>
              </w:rPr>
            </w:pPr>
          </w:p>
        </w:tc>
      </w:tr>
      <w:tr>
        <w:trPr>
          <w:trHeight w:val="160"/>
        </w:trPr>
        <w:tc>
          <w:tcPr>
            <w:tcW w:w="2520" w:type="dxa"/>
            <w:vAlign w:val="bottom"/>
            <w:tcBorders>
              <w:bottom w:val="single" w:sz="8" w:color="477157"/>
            </w:tcBorders>
            <w:gridSpan w:val="2"/>
          </w:tcPr>
          <w:p>
            <w:pPr>
              <w:spacing w:after="0" w:line="161" w:lineRule="exact"/>
              <w:rPr>
                <w:sz w:val="20"/>
                <w:szCs w:val="20"/>
                <w:color w:val="auto"/>
              </w:rPr>
            </w:pPr>
            <w:r>
              <w:rPr>
                <w:rFonts w:ascii="Arial" w:cs="Arial" w:eastAsia="Arial" w:hAnsi="Arial"/>
                <w:sz w:val="15"/>
                <w:szCs w:val="15"/>
                <w:b w:val="1"/>
                <w:bCs w:val="1"/>
                <w:color w:val="auto"/>
              </w:rPr>
              <w:t>Mr. Morris</w:t>
            </w:r>
          </w:p>
        </w:tc>
        <w:tc>
          <w:tcPr>
            <w:tcW w:w="2480" w:type="dxa"/>
            <w:vAlign w:val="bottom"/>
            <w:tcBorders>
              <w:bottom w:val="single" w:sz="8" w:color="477157"/>
            </w:tcBorders>
          </w:tcPr>
          <w:p>
            <w:pPr>
              <w:jc w:val="right"/>
              <w:ind w:right="12"/>
              <w:spacing w:after="0" w:line="161" w:lineRule="exact"/>
              <w:rPr>
                <w:sz w:val="20"/>
                <w:szCs w:val="20"/>
                <w:color w:val="auto"/>
              </w:rPr>
            </w:pPr>
            <w:r>
              <w:rPr>
                <w:rFonts w:ascii="Arial" w:cs="Arial" w:eastAsia="Arial" w:hAnsi="Arial"/>
                <w:sz w:val="15"/>
                <w:szCs w:val="15"/>
                <w:color w:val="auto"/>
              </w:rPr>
              <w:t>12,600</w:t>
            </w:r>
          </w:p>
        </w:tc>
        <w:tc>
          <w:tcPr>
            <w:tcW w:w="980" w:type="dxa"/>
            <w:vAlign w:val="bottom"/>
            <w:tcBorders>
              <w:bottom w:val="single" w:sz="8" w:color="477157"/>
            </w:tcBorders>
          </w:tcPr>
          <w:p>
            <w:pPr>
              <w:jc w:val="right"/>
              <w:ind w:right="33"/>
              <w:spacing w:after="0" w:line="161" w:lineRule="exact"/>
              <w:rPr>
                <w:sz w:val="20"/>
                <w:szCs w:val="20"/>
                <w:color w:val="auto"/>
              </w:rPr>
            </w:pPr>
            <w:r>
              <w:rPr>
                <w:rFonts w:ascii="Arial" w:cs="Arial" w:eastAsia="Arial" w:hAnsi="Arial"/>
                <w:sz w:val="15"/>
                <w:szCs w:val="15"/>
                <w:color w:val="auto"/>
              </w:rPr>
              <w:t>38,546</w:t>
            </w:r>
          </w:p>
        </w:tc>
        <w:tc>
          <w:tcPr>
            <w:tcW w:w="1020" w:type="dxa"/>
            <w:vAlign w:val="bottom"/>
            <w:tcBorders>
              <w:bottom w:val="single" w:sz="8" w:color="477157"/>
            </w:tcBorders>
          </w:tcPr>
          <w:p>
            <w:pPr>
              <w:jc w:val="right"/>
              <w:ind w:right="31"/>
              <w:spacing w:after="0" w:line="161" w:lineRule="exact"/>
              <w:rPr>
                <w:sz w:val="20"/>
                <w:szCs w:val="20"/>
                <w:color w:val="auto"/>
              </w:rPr>
            </w:pPr>
            <w:r>
              <w:rPr>
                <w:rFonts w:ascii="Arial" w:cs="Arial" w:eastAsia="Arial" w:hAnsi="Arial"/>
                <w:sz w:val="15"/>
                <w:szCs w:val="15"/>
                <w:color w:val="auto"/>
              </w:rPr>
              <w:t>1,225</w:t>
            </w:r>
          </w:p>
        </w:tc>
        <w:tc>
          <w:tcPr>
            <w:tcW w:w="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33,675</w:t>
            </w:r>
          </w:p>
        </w:tc>
        <w:tc>
          <w:tcPr>
            <w:tcW w:w="0" w:type="dxa"/>
            <w:vAlign w:val="bottom"/>
          </w:tcPr>
          <w:p>
            <w:pPr>
              <w:spacing w:after="0"/>
              <w:rPr>
                <w:sz w:val="1"/>
                <w:szCs w:val="1"/>
                <w:color w:val="auto"/>
              </w:rPr>
            </w:pPr>
          </w:p>
        </w:tc>
      </w:tr>
      <w:tr>
        <w:trPr>
          <w:trHeight w:val="160"/>
        </w:trPr>
        <w:tc>
          <w:tcPr>
            <w:tcW w:w="2520" w:type="dxa"/>
            <w:vAlign w:val="bottom"/>
            <w:tcBorders>
              <w:bottom w:val="single" w:sz="8" w:color="477157"/>
            </w:tcBorders>
            <w:gridSpan w:val="2"/>
          </w:tcPr>
          <w:p>
            <w:pPr>
              <w:spacing w:after="0" w:line="161" w:lineRule="exact"/>
              <w:rPr>
                <w:sz w:val="20"/>
                <w:szCs w:val="20"/>
                <w:color w:val="auto"/>
              </w:rPr>
            </w:pPr>
            <w:r>
              <w:rPr>
                <w:rFonts w:ascii="Arial" w:cs="Arial" w:eastAsia="Arial" w:hAnsi="Arial"/>
                <w:sz w:val="15"/>
                <w:szCs w:val="15"/>
                <w:b w:val="1"/>
                <w:bCs w:val="1"/>
                <w:color w:val="auto"/>
              </w:rPr>
              <w:t>Ms. Hemmer</w:t>
            </w:r>
          </w:p>
        </w:tc>
        <w:tc>
          <w:tcPr>
            <w:tcW w:w="2480" w:type="dxa"/>
            <w:vAlign w:val="bottom"/>
            <w:tcBorders>
              <w:bottom w:val="single" w:sz="8" w:color="477157"/>
            </w:tcBorders>
          </w:tcPr>
          <w:p>
            <w:pPr>
              <w:jc w:val="right"/>
              <w:ind w:right="12"/>
              <w:spacing w:after="0" w:line="161" w:lineRule="exact"/>
              <w:rPr>
                <w:sz w:val="20"/>
                <w:szCs w:val="20"/>
                <w:color w:val="auto"/>
              </w:rPr>
            </w:pPr>
            <w:r>
              <w:rPr>
                <w:rFonts w:ascii="Arial" w:cs="Arial" w:eastAsia="Arial" w:hAnsi="Arial"/>
                <w:sz w:val="15"/>
                <w:szCs w:val="15"/>
                <w:color w:val="auto"/>
              </w:rPr>
              <w:t>12,600</w:t>
            </w:r>
          </w:p>
        </w:tc>
        <w:tc>
          <w:tcPr>
            <w:tcW w:w="980" w:type="dxa"/>
            <w:vAlign w:val="bottom"/>
            <w:tcBorders>
              <w:bottom w:val="single" w:sz="8" w:color="477157"/>
            </w:tcBorders>
          </w:tcPr>
          <w:p>
            <w:pPr>
              <w:jc w:val="right"/>
              <w:ind w:right="33"/>
              <w:spacing w:after="0" w:line="161" w:lineRule="exact"/>
              <w:rPr>
                <w:sz w:val="20"/>
                <w:szCs w:val="20"/>
                <w:color w:val="auto"/>
              </w:rPr>
            </w:pPr>
            <w:r>
              <w:rPr>
                <w:rFonts w:ascii="Arial" w:cs="Arial" w:eastAsia="Arial" w:hAnsi="Arial"/>
                <w:sz w:val="15"/>
                <w:szCs w:val="15"/>
                <w:color w:val="auto"/>
              </w:rPr>
              <w:t>25,028</w:t>
            </w:r>
          </w:p>
        </w:tc>
        <w:tc>
          <w:tcPr>
            <w:tcW w:w="1020" w:type="dxa"/>
            <w:vAlign w:val="bottom"/>
            <w:tcBorders>
              <w:bottom w:val="single" w:sz="8" w:color="477157"/>
            </w:tcBorders>
          </w:tcPr>
          <w:p>
            <w:pPr>
              <w:jc w:val="right"/>
              <w:ind w:right="31"/>
              <w:spacing w:after="0" w:line="161" w:lineRule="exact"/>
              <w:rPr>
                <w:sz w:val="20"/>
                <w:szCs w:val="20"/>
                <w:color w:val="auto"/>
              </w:rPr>
            </w:pPr>
            <w:r>
              <w:rPr>
                <w:rFonts w:ascii="Arial" w:cs="Arial" w:eastAsia="Arial" w:hAnsi="Arial"/>
                <w:sz w:val="15"/>
                <w:szCs w:val="15"/>
                <w:color w:val="auto"/>
              </w:rPr>
              <w:t>874</w:t>
            </w:r>
          </w:p>
        </w:tc>
        <w:tc>
          <w:tcPr>
            <w:tcW w:w="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2520" w:type="dxa"/>
            <w:vAlign w:val="bottom"/>
            <w:tcBorders>
              <w:bottom w:val="single" w:sz="8" w:color="477157"/>
            </w:tcBorders>
            <w:gridSpan w:val="2"/>
          </w:tcPr>
          <w:p>
            <w:pPr>
              <w:spacing w:after="0" w:line="161" w:lineRule="exact"/>
              <w:rPr>
                <w:sz w:val="20"/>
                <w:szCs w:val="20"/>
                <w:color w:val="auto"/>
              </w:rPr>
            </w:pPr>
            <w:r>
              <w:rPr>
                <w:rFonts w:ascii="Arial" w:cs="Arial" w:eastAsia="Arial" w:hAnsi="Arial"/>
                <w:sz w:val="15"/>
                <w:szCs w:val="15"/>
                <w:b w:val="1"/>
                <w:bCs w:val="1"/>
                <w:color w:val="auto"/>
              </w:rPr>
              <w:t>Mr. Batchelor</w:t>
            </w:r>
          </w:p>
        </w:tc>
        <w:tc>
          <w:tcPr>
            <w:tcW w:w="2480" w:type="dxa"/>
            <w:vAlign w:val="bottom"/>
            <w:tcBorders>
              <w:bottom w:val="single" w:sz="8" w:color="477157"/>
            </w:tcBorders>
          </w:tcPr>
          <w:p>
            <w:pPr>
              <w:jc w:val="right"/>
              <w:ind w:right="12"/>
              <w:spacing w:after="0" w:line="161" w:lineRule="exact"/>
              <w:rPr>
                <w:sz w:val="20"/>
                <w:szCs w:val="20"/>
                <w:color w:val="auto"/>
              </w:rPr>
            </w:pPr>
            <w:r>
              <w:rPr>
                <w:rFonts w:ascii="Arial" w:cs="Arial" w:eastAsia="Arial" w:hAnsi="Arial"/>
                <w:sz w:val="15"/>
                <w:szCs w:val="15"/>
                <w:color w:val="auto"/>
              </w:rPr>
              <w:t>12,600</w:t>
            </w:r>
          </w:p>
        </w:tc>
        <w:tc>
          <w:tcPr>
            <w:tcW w:w="980" w:type="dxa"/>
            <w:vAlign w:val="bottom"/>
            <w:tcBorders>
              <w:bottom w:val="single" w:sz="8" w:color="477157"/>
            </w:tcBorders>
          </w:tcPr>
          <w:p>
            <w:pPr>
              <w:jc w:val="right"/>
              <w:ind w:right="33"/>
              <w:spacing w:after="0" w:line="161" w:lineRule="exact"/>
              <w:rPr>
                <w:sz w:val="20"/>
                <w:szCs w:val="20"/>
                <w:color w:val="auto"/>
              </w:rPr>
            </w:pPr>
            <w:r>
              <w:rPr>
                <w:rFonts w:ascii="Arial" w:cs="Arial" w:eastAsia="Arial" w:hAnsi="Arial"/>
                <w:sz w:val="15"/>
                <w:szCs w:val="15"/>
                <w:color w:val="auto"/>
              </w:rPr>
              <w:t>15,816</w:t>
            </w:r>
          </w:p>
        </w:tc>
        <w:tc>
          <w:tcPr>
            <w:tcW w:w="1020" w:type="dxa"/>
            <w:vAlign w:val="bottom"/>
            <w:tcBorders>
              <w:bottom w:val="single" w:sz="8" w:color="477157"/>
            </w:tcBorders>
          </w:tcPr>
          <w:p>
            <w:pPr>
              <w:jc w:val="right"/>
              <w:ind w:right="31"/>
              <w:spacing w:after="0" w:line="161" w:lineRule="exact"/>
              <w:rPr>
                <w:sz w:val="20"/>
                <w:szCs w:val="20"/>
                <w:color w:val="auto"/>
              </w:rPr>
            </w:pPr>
            <w:r>
              <w:rPr>
                <w:rFonts w:ascii="Arial" w:cs="Arial" w:eastAsia="Arial" w:hAnsi="Arial"/>
                <w:sz w:val="15"/>
                <w:szCs w:val="15"/>
                <w:color w:val="auto"/>
              </w:rPr>
              <w:t>741</w:t>
            </w:r>
          </w:p>
        </w:tc>
        <w:tc>
          <w:tcPr>
            <w:tcW w:w="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2140" w:hanging="460"/>
        <w:spacing w:after="0" w:line="251" w:lineRule="auto"/>
        <w:tabs>
          <w:tab w:leader="none" w:pos="2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perquisites and personal benefits received by a named executive officer in 2019, to the extent that the total value of such perquisites and personal benefits was at least $10,000. This column includes (i) incremental cost to us for personal use of Company aircraft</w:t>
      </w:r>
    </w:p>
    <w:p>
      <w:pPr>
        <w:spacing w:after="0" w:line="1" w:lineRule="exact"/>
        <w:rPr>
          <w:sz w:val="20"/>
          <w:szCs w:val="20"/>
          <w:color w:val="auto"/>
        </w:rPr>
      </w:pPr>
    </w:p>
    <w:p>
      <w:pPr>
        <w:jc w:val="both"/>
        <w:ind w:left="2140"/>
        <w:spacing w:after="0" w:line="254" w:lineRule="auto"/>
        <w:rPr>
          <w:sz w:val="20"/>
          <w:szCs w:val="20"/>
          <w:color w:val="auto"/>
        </w:rPr>
      </w:pPr>
      <w:r>
        <w:rPr>
          <w:rFonts w:ascii="Arial" w:cs="Arial" w:eastAsia="Arial" w:hAnsi="Arial"/>
          <w:sz w:val="14"/>
          <w:szCs w:val="14"/>
          <w:color w:val="auto"/>
        </w:rPr>
        <w:t>in the following amounts: Ms. Rankin — $15,781 and Mr. Morris — $30,525 and (ii) income that is imputed to each of our named executive officers reflecting the cost to the Company of the executive's guest's participation in corporate events in the following amounts: Ms. Rankin — $6,300; and Mr. Morris — $3,150.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For example, the majority of Mr. Morris' personal aircraft use reported above resulted from deviations from business travel flight plans to pick up or drop off the executive in another location for personal reasons; in such case, we calculate the time difference resulting from the flight plan deviation and multiply it by the direct operating cost. We also allocate incremental cost to the named executive for any deadhead flights required to position the aircraft to serve personal needs. We own</w:t>
      </w:r>
    </w:p>
    <w:p>
      <w:pPr>
        <w:spacing w:after="0" w:line="149"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and operate our aircraft primarily for business use; therefore, we do not include purchase costs or other fixed costs associated with the ownership or operation of our aircraft in the direct operating cost.</w:t>
      </w:r>
    </w:p>
    <w:p>
      <w:pPr>
        <w:spacing w:after="0" w:line="173" w:lineRule="exact"/>
        <w:rPr>
          <w:sz w:val="20"/>
          <w:szCs w:val="20"/>
          <w:color w:val="auto"/>
        </w:rPr>
      </w:pPr>
    </w:p>
    <w:p>
      <w:pPr>
        <w:ind w:left="1560" w:hanging="443"/>
        <w:spacing w:after="0"/>
        <w:tabs>
          <w:tab w:leader="none" w:pos="15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Each of Ms. Hemmer and Mr. Batchelor were promoted to their current positions on January 1, 2019.</w:t>
      </w:r>
    </w:p>
    <w:p>
      <w:pPr>
        <w:spacing w:after="0" w:line="176" w:lineRule="exact"/>
        <w:rPr>
          <w:rFonts w:ascii="Arial" w:cs="Arial" w:eastAsia="Arial" w:hAnsi="Arial"/>
          <w:sz w:val="15"/>
          <w:szCs w:val="15"/>
          <w:color w:val="auto"/>
        </w:rPr>
      </w:pPr>
    </w:p>
    <w:p>
      <w:pPr>
        <w:ind w:left="1560" w:hanging="443"/>
        <w:spacing w:after="0"/>
        <w:tabs>
          <w:tab w:leader="none" w:pos="15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Includes $75,000 of base salary in 2019 and $50,000 of base salary in 2018 to which Mr. Fish was entitled but voluntarily relinquished to fund a scholarship program for children of Company employees.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477157"/>
        </w:rPr>
        <w:t>GRANT OF PLAN-BASED AWARDS IN 2019</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1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477157"/>
              </w:rPr>
              <w:t>All other</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477157"/>
              </w:rPr>
              <w:t>Grant</w:t>
            </w: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2420" w:type="dxa"/>
            <w:vAlign w:val="bottom"/>
            <w:gridSpan w:val="4"/>
            <w:vMerge w:val="restart"/>
          </w:tcPr>
          <w:p>
            <w:pPr>
              <w:jc w:val="center"/>
              <w:ind w:right="60"/>
              <w:spacing w:after="0"/>
              <w:rPr>
                <w:sz w:val="20"/>
                <w:szCs w:val="20"/>
                <w:color w:val="auto"/>
              </w:rPr>
            </w:pPr>
            <w:r>
              <w:rPr>
                <w:rFonts w:ascii="Arial" w:cs="Arial" w:eastAsia="Arial" w:hAnsi="Arial"/>
                <w:sz w:val="12"/>
                <w:szCs w:val="12"/>
                <w:b w:val="1"/>
                <w:bCs w:val="1"/>
                <w:color w:val="477157"/>
                <w:w w:val="99"/>
              </w:rPr>
              <w:t>Estimated Possible Payouts</w:t>
            </w:r>
          </w:p>
        </w:tc>
        <w:tc>
          <w:tcPr>
            <w:tcW w:w="208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477157"/>
                <w:w w:val="99"/>
              </w:rPr>
              <w:t>Estimated Future Payouts</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477157"/>
              </w:rPr>
              <w:t>Option</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477157"/>
              </w:rPr>
              <w:t>Exercise</w:t>
            </w:r>
          </w:p>
        </w:tc>
        <w:tc>
          <w:tcPr>
            <w:tcW w:w="640" w:type="dxa"/>
            <w:vAlign w:val="bottom"/>
          </w:tcPr>
          <w:p>
            <w:pPr>
              <w:jc w:val="right"/>
              <w:ind w:right="15"/>
              <w:spacing w:after="0"/>
              <w:rPr>
                <w:sz w:val="20"/>
                <w:szCs w:val="20"/>
                <w:color w:val="auto"/>
              </w:rPr>
            </w:pPr>
            <w:r>
              <w:rPr>
                <w:rFonts w:ascii="Arial" w:cs="Arial" w:eastAsia="Arial" w:hAnsi="Arial"/>
                <w:sz w:val="12"/>
                <w:szCs w:val="12"/>
                <w:b w:val="1"/>
                <w:bCs w:val="1"/>
                <w:color w:val="477157"/>
              </w:rPr>
              <w:t>Closing</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477157"/>
              </w:rPr>
              <w:t>Date Fair</w:t>
            </w:r>
          </w:p>
        </w:tc>
        <w:tc>
          <w:tcPr>
            <w:tcW w:w="0" w:type="dxa"/>
            <w:vAlign w:val="bottom"/>
          </w:tcPr>
          <w:p>
            <w:pPr>
              <w:spacing w:after="0"/>
              <w:rPr>
                <w:sz w:val="1"/>
                <w:szCs w:val="1"/>
                <w:color w:val="auto"/>
              </w:rPr>
            </w:pPr>
          </w:p>
        </w:tc>
      </w:tr>
      <w:tr>
        <w:trPr>
          <w:trHeight w:val="58"/>
        </w:trPr>
        <w:tc>
          <w:tcPr>
            <w:tcW w:w="158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2080" w:type="dxa"/>
            <w:vAlign w:val="bottom"/>
            <w:gridSpan w:val="4"/>
            <w:vMerge w:val="continue"/>
          </w:tcPr>
          <w:p>
            <w:pPr>
              <w:spacing w:after="0"/>
              <w:rPr>
                <w:sz w:val="5"/>
                <w:szCs w:val="5"/>
                <w:color w:val="auto"/>
              </w:rPr>
            </w:pPr>
          </w:p>
        </w:tc>
        <w:tc>
          <w:tcPr>
            <w:tcW w:w="880" w:type="dxa"/>
            <w:vAlign w:val="bottom"/>
            <w:vMerge w:val="restart"/>
          </w:tcPr>
          <w:p>
            <w:pPr>
              <w:jc w:val="right"/>
              <w:spacing w:after="0" w:line="136" w:lineRule="exact"/>
              <w:rPr>
                <w:sz w:val="20"/>
                <w:szCs w:val="20"/>
                <w:color w:val="auto"/>
              </w:rPr>
            </w:pPr>
            <w:r>
              <w:rPr>
                <w:rFonts w:ascii="Arial" w:cs="Arial" w:eastAsia="Arial" w:hAnsi="Arial"/>
                <w:sz w:val="12"/>
                <w:szCs w:val="12"/>
                <w:b w:val="1"/>
                <w:bCs w:val="1"/>
                <w:color w:val="477157"/>
              </w:rPr>
              <w:t>Awards:</w:t>
            </w:r>
          </w:p>
        </w:tc>
        <w:tc>
          <w:tcPr>
            <w:tcW w:w="640" w:type="dxa"/>
            <w:vAlign w:val="bottom"/>
            <w:vMerge w:val="restart"/>
          </w:tcPr>
          <w:p>
            <w:pPr>
              <w:jc w:val="right"/>
              <w:spacing w:after="0" w:line="136" w:lineRule="exact"/>
              <w:rPr>
                <w:sz w:val="20"/>
                <w:szCs w:val="20"/>
                <w:color w:val="auto"/>
              </w:rPr>
            </w:pPr>
            <w:r>
              <w:rPr>
                <w:rFonts w:ascii="Arial" w:cs="Arial" w:eastAsia="Arial" w:hAnsi="Arial"/>
                <w:sz w:val="12"/>
                <w:szCs w:val="12"/>
                <w:b w:val="1"/>
                <w:bCs w:val="1"/>
                <w:color w:val="477157"/>
              </w:rPr>
              <w:t>or Base</w:t>
            </w:r>
          </w:p>
        </w:tc>
        <w:tc>
          <w:tcPr>
            <w:tcW w:w="640" w:type="dxa"/>
            <w:vAlign w:val="bottom"/>
            <w:vMerge w:val="restart"/>
          </w:tcPr>
          <w:p>
            <w:pPr>
              <w:jc w:val="right"/>
              <w:ind w:right="15"/>
              <w:spacing w:after="0" w:line="136" w:lineRule="exact"/>
              <w:rPr>
                <w:sz w:val="20"/>
                <w:szCs w:val="20"/>
                <w:color w:val="auto"/>
              </w:rPr>
            </w:pPr>
            <w:r>
              <w:rPr>
                <w:rFonts w:ascii="Arial" w:cs="Arial" w:eastAsia="Arial" w:hAnsi="Arial"/>
                <w:sz w:val="12"/>
                <w:szCs w:val="12"/>
                <w:b w:val="1"/>
                <w:bCs w:val="1"/>
                <w:color w:val="477157"/>
              </w:rPr>
              <w:t>Market</w:t>
            </w:r>
          </w:p>
        </w:tc>
        <w:tc>
          <w:tcPr>
            <w:tcW w:w="740" w:type="dxa"/>
            <w:vAlign w:val="bottom"/>
            <w:vMerge w:val="restart"/>
          </w:tcPr>
          <w:p>
            <w:pPr>
              <w:jc w:val="right"/>
              <w:spacing w:after="0" w:line="136" w:lineRule="exact"/>
              <w:rPr>
                <w:sz w:val="20"/>
                <w:szCs w:val="20"/>
                <w:color w:val="auto"/>
              </w:rPr>
            </w:pPr>
            <w:r>
              <w:rPr>
                <w:rFonts w:ascii="Arial" w:cs="Arial" w:eastAsia="Arial" w:hAnsi="Arial"/>
                <w:sz w:val="12"/>
                <w:szCs w:val="12"/>
                <w:b w:val="1"/>
                <w:bCs w:val="1"/>
                <w:color w:val="477157"/>
              </w:rPr>
              <w:t>Value of</w:t>
            </w:r>
          </w:p>
        </w:tc>
        <w:tc>
          <w:tcPr>
            <w:tcW w:w="0" w:type="dxa"/>
            <w:vAlign w:val="bottom"/>
          </w:tcPr>
          <w:p>
            <w:pPr>
              <w:spacing w:after="0"/>
              <w:rPr>
                <w:sz w:val="1"/>
                <w:szCs w:val="1"/>
                <w:color w:val="auto"/>
              </w:rPr>
            </w:pPr>
          </w:p>
        </w:tc>
      </w:tr>
      <w:tr>
        <w:trPr>
          <w:trHeight w:val="78"/>
        </w:trPr>
        <w:tc>
          <w:tcPr>
            <w:tcW w:w="1580" w:type="dxa"/>
            <w:vAlign w:val="bottom"/>
          </w:tcPr>
          <w:p>
            <w:pPr>
              <w:spacing w:after="0"/>
              <w:rPr>
                <w:sz w:val="6"/>
                <w:szCs w:val="6"/>
                <w:color w:val="auto"/>
              </w:rPr>
            </w:pPr>
          </w:p>
        </w:tc>
        <w:tc>
          <w:tcPr>
            <w:tcW w:w="2420" w:type="dxa"/>
            <w:vAlign w:val="bottom"/>
            <w:gridSpan w:val="4"/>
            <w:vMerge w:val="restart"/>
          </w:tcPr>
          <w:p>
            <w:pPr>
              <w:jc w:val="center"/>
              <w:ind w:right="60"/>
              <w:spacing w:after="0" w:line="133" w:lineRule="exact"/>
              <w:rPr>
                <w:sz w:val="20"/>
                <w:szCs w:val="20"/>
                <w:color w:val="auto"/>
              </w:rPr>
            </w:pPr>
            <w:r>
              <w:rPr>
                <w:rFonts w:ascii="Arial" w:cs="Arial" w:eastAsia="Arial" w:hAnsi="Arial"/>
                <w:sz w:val="12"/>
                <w:szCs w:val="12"/>
                <w:b w:val="1"/>
                <w:bCs w:val="1"/>
                <w:color w:val="477157"/>
                <w:w w:val="99"/>
              </w:rPr>
              <w:t>Under Non-Equity Incentive</w:t>
            </w:r>
          </w:p>
        </w:tc>
        <w:tc>
          <w:tcPr>
            <w:tcW w:w="2080" w:type="dxa"/>
            <w:vAlign w:val="bottom"/>
            <w:gridSpan w:val="4"/>
            <w:vMerge w:val="restart"/>
          </w:tcPr>
          <w:p>
            <w:pPr>
              <w:jc w:val="center"/>
              <w:ind w:right="100"/>
              <w:spacing w:after="0" w:line="133" w:lineRule="exact"/>
              <w:rPr>
                <w:sz w:val="20"/>
                <w:szCs w:val="20"/>
                <w:color w:val="auto"/>
              </w:rPr>
            </w:pPr>
            <w:r>
              <w:rPr>
                <w:rFonts w:ascii="Arial" w:cs="Arial" w:eastAsia="Arial" w:hAnsi="Arial"/>
                <w:sz w:val="12"/>
                <w:szCs w:val="12"/>
                <w:b w:val="1"/>
                <w:bCs w:val="1"/>
                <w:color w:val="477157"/>
                <w:w w:val="99"/>
              </w:rPr>
              <w:t>Under Equity Incentive</w:t>
            </w:r>
          </w:p>
        </w:tc>
        <w:tc>
          <w:tcPr>
            <w:tcW w:w="8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158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477157"/>
              </w:rPr>
              <w:t>Number of</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477157"/>
              </w:rPr>
              <w:t>Price of</w:t>
            </w:r>
          </w:p>
        </w:tc>
        <w:tc>
          <w:tcPr>
            <w:tcW w:w="640" w:type="dxa"/>
            <w:vAlign w:val="bottom"/>
            <w:vMerge w:val="restart"/>
          </w:tcPr>
          <w:p>
            <w:pPr>
              <w:jc w:val="right"/>
              <w:ind w:right="15"/>
              <w:spacing w:after="0"/>
              <w:rPr>
                <w:sz w:val="20"/>
                <w:szCs w:val="20"/>
                <w:color w:val="auto"/>
              </w:rPr>
            </w:pPr>
            <w:r>
              <w:rPr>
                <w:rFonts w:ascii="Arial" w:cs="Arial" w:eastAsia="Arial" w:hAnsi="Arial"/>
                <w:sz w:val="12"/>
                <w:szCs w:val="12"/>
                <w:b w:val="1"/>
                <w:bCs w:val="1"/>
                <w:color w:val="477157"/>
              </w:rPr>
              <w:t>Price on</w:t>
            </w: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477157"/>
              </w:rPr>
              <w:t>Stock and</w:t>
            </w:r>
          </w:p>
        </w:tc>
        <w:tc>
          <w:tcPr>
            <w:tcW w:w="0" w:type="dxa"/>
            <w:vAlign w:val="bottom"/>
          </w:tcPr>
          <w:p>
            <w:pPr>
              <w:spacing w:after="0"/>
              <w:rPr>
                <w:sz w:val="1"/>
                <w:szCs w:val="1"/>
                <w:color w:val="auto"/>
              </w:rPr>
            </w:pPr>
          </w:p>
        </w:tc>
      </w:tr>
      <w:tr>
        <w:trPr>
          <w:trHeight w:val="125"/>
        </w:trPr>
        <w:tc>
          <w:tcPr>
            <w:tcW w:w="1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jc w:val="center"/>
              <w:spacing w:after="0" w:line="125" w:lineRule="exact"/>
              <w:rPr>
                <w:sz w:val="20"/>
                <w:szCs w:val="20"/>
                <w:color w:val="auto"/>
              </w:rPr>
            </w:pPr>
            <w:r>
              <w:rPr>
                <w:rFonts w:ascii="Arial" w:cs="Arial" w:eastAsia="Arial" w:hAnsi="Arial"/>
                <w:sz w:val="10"/>
                <w:szCs w:val="10"/>
                <w:b w:val="1"/>
                <w:bCs w:val="1"/>
                <w:color w:val="477157"/>
              </w:rPr>
              <w:t>Plan Awards</w:t>
            </w:r>
            <w:r>
              <w:rPr>
                <w:rFonts w:ascii="Arial" w:cs="Arial" w:eastAsia="Arial" w:hAnsi="Arial"/>
                <w:sz w:val="14"/>
                <w:szCs w:val="14"/>
                <w:b w:val="1"/>
                <w:bCs w:val="1"/>
                <w:color w:val="477157"/>
                <w:vertAlign w:val="superscript"/>
              </w:rPr>
              <w:t>(1)</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2"/>
          </w:tcPr>
          <w:p>
            <w:pPr>
              <w:jc w:val="center"/>
              <w:ind w:left="514"/>
              <w:spacing w:after="0" w:line="125" w:lineRule="exact"/>
              <w:rPr>
                <w:sz w:val="20"/>
                <w:szCs w:val="20"/>
                <w:color w:val="auto"/>
              </w:rPr>
            </w:pPr>
            <w:r>
              <w:rPr>
                <w:rFonts w:ascii="Arial" w:cs="Arial" w:eastAsia="Arial" w:hAnsi="Arial"/>
                <w:sz w:val="10"/>
                <w:szCs w:val="10"/>
                <w:b w:val="1"/>
                <w:bCs w:val="1"/>
                <w:color w:val="477157"/>
              </w:rPr>
              <w:t>Plan Awards</w:t>
            </w:r>
            <w:r>
              <w:rPr>
                <w:rFonts w:ascii="Arial" w:cs="Arial" w:eastAsia="Arial" w:hAnsi="Arial"/>
                <w:sz w:val="14"/>
                <w:szCs w:val="14"/>
                <w:b w:val="1"/>
                <w:bCs w:val="1"/>
                <w:color w:val="477157"/>
                <w:vertAlign w:val="superscript"/>
              </w:rPr>
              <w:t>(2)</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restart"/>
          </w:tcPr>
          <w:p>
            <w:pPr>
              <w:jc w:val="right"/>
              <w:spacing w:after="0" w:line="91" w:lineRule="exact"/>
              <w:rPr>
                <w:sz w:val="20"/>
                <w:szCs w:val="20"/>
                <w:color w:val="auto"/>
              </w:rPr>
            </w:pPr>
            <w:r>
              <w:rPr>
                <w:rFonts w:ascii="Arial" w:cs="Arial" w:eastAsia="Arial" w:hAnsi="Arial"/>
                <w:sz w:val="10"/>
                <w:szCs w:val="10"/>
                <w:b w:val="1"/>
                <w:bCs w:val="1"/>
                <w:color w:val="477157"/>
              </w:rPr>
              <w:t>Securities</w:t>
            </w:r>
          </w:p>
        </w:tc>
        <w:tc>
          <w:tcPr>
            <w:tcW w:w="640" w:type="dxa"/>
            <w:vAlign w:val="bottom"/>
            <w:vMerge w:val="restart"/>
          </w:tcPr>
          <w:p>
            <w:pPr>
              <w:jc w:val="right"/>
              <w:spacing w:after="0" w:line="91" w:lineRule="exact"/>
              <w:rPr>
                <w:sz w:val="20"/>
                <w:szCs w:val="20"/>
                <w:color w:val="auto"/>
              </w:rPr>
            </w:pPr>
            <w:r>
              <w:rPr>
                <w:rFonts w:ascii="Arial" w:cs="Arial" w:eastAsia="Arial" w:hAnsi="Arial"/>
                <w:sz w:val="10"/>
                <w:szCs w:val="10"/>
                <w:b w:val="1"/>
                <w:bCs w:val="1"/>
                <w:color w:val="477157"/>
              </w:rPr>
              <w:t>Option</w:t>
            </w:r>
          </w:p>
        </w:tc>
        <w:tc>
          <w:tcPr>
            <w:tcW w:w="640" w:type="dxa"/>
            <w:vAlign w:val="bottom"/>
            <w:vMerge w:val="restart"/>
          </w:tcPr>
          <w:p>
            <w:pPr>
              <w:jc w:val="right"/>
              <w:ind w:right="15"/>
              <w:spacing w:after="0" w:line="91" w:lineRule="exact"/>
              <w:rPr>
                <w:sz w:val="20"/>
                <w:szCs w:val="20"/>
                <w:color w:val="auto"/>
              </w:rPr>
            </w:pPr>
            <w:r>
              <w:rPr>
                <w:rFonts w:ascii="Arial" w:cs="Arial" w:eastAsia="Arial" w:hAnsi="Arial"/>
                <w:sz w:val="10"/>
                <w:szCs w:val="10"/>
                <w:b w:val="1"/>
                <w:bCs w:val="1"/>
                <w:color w:val="477157"/>
              </w:rPr>
              <w:t>Date of</w:t>
            </w:r>
          </w:p>
        </w:tc>
        <w:tc>
          <w:tcPr>
            <w:tcW w:w="740" w:type="dxa"/>
            <w:vAlign w:val="bottom"/>
            <w:vMerge w:val="restart"/>
          </w:tcPr>
          <w:p>
            <w:pPr>
              <w:jc w:val="right"/>
              <w:spacing w:after="0" w:line="91" w:lineRule="exact"/>
              <w:rPr>
                <w:sz w:val="20"/>
                <w:szCs w:val="20"/>
                <w:color w:val="auto"/>
              </w:rPr>
            </w:pPr>
            <w:r>
              <w:rPr>
                <w:rFonts w:ascii="Arial" w:cs="Arial" w:eastAsia="Arial" w:hAnsi="Arial"/>
                <w:sz w:val="10"/>
                <w:szCs w:val="10"/>
                <w:b w:val="1"/>
                <w:bCs w:val="1"/>
                <w:color w:val="477157"/>
              </w:rPr>
              <w:t>Option</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Threshold</w:t>
            </w:r>
          </w:p>
        </w:tc>
        <w:tc>
          <w:tcPr>
            <w:tcW w:w="880" w:type="dxa"/>
            <w:vAlign w:val="bottom"/>
          </w:tcPr>
          <w:p>
            <w:pPr>
              <w:jc w:val="right"/>
              <w:ind w:right="33"/>
              <w:spacing w:after="0" w:line="136" w:lineRule="exact"/>
              <w:rPr>
                <w:sz w:val="20"/>
                <w:szCs w:val="20"/>
                <w:color w:val="auto"/>
              </w:rPr>
            </w:pPr>
            <w:r>
              <w:rPr>
                <w:rFonts w:ascii="Arial" w:cs="Arial" w:eastAsia="Arial" w:hAnsi="Arial"/>
                <w:sz w:val="12"/>
                <w:szCs w:val="12"/>
                <w:b w:val="1"/>
                <w:bCs w:val="1"/>
                <w:color w:val="477157"/>
              </w:rPr>
              <w:t>Target</w:t>
            </w:r>
          </w:p>
        </w:tc>
        <w:tc>
          <w:tcPr>
            <w:tcW w:w="780" w:type="dxa"/>
            <w:vAlign w:val="bottom"/>
            <w:gridSpan w:val="2"/>
          </w:tcPr>
          <w:p>
            <w:pPr>
              <w:jc w:val="right"/>
              <w:ind w:right="60"/>
              <w:spacing w:after="0" w:line="136" w:lineRule="exact"/>
              <w:rPr>
                <w:sz w:val="20"/>
                <w:szCs w:val="20"/>
                <w:color w:val="auto"/>
              </w:rPr>
            </w:pPr>
            <w:r>
              <w:rPr>
                <w:rFonts w:ascii="Arial" w:cs="Arial" w:eastAsia="Arial" w:hAnsi="Arial"/>
                <w:sz w:val="12"/>
                <w:szCs w:val="12"/>
                <w:b w:val="1"/>
                <w:bCs w:val="1"/>
                <w:color w:val="477157"/>
              </w:rPr>
              <w:t>Maximum</w:t>
            </w:r>
          </w:p>
        </w:tc>
        <w:tc>
          <w:tcPr>
            <w:tcW w:w="740" w:type="dxa"/>
            <w:vAlign w:val="bottom"/>
          </w:tcPr>
          <w:p>
            <w:pPr>
              <w:jc w:val="right"/>
              <w:ind w:right="14"/>
              <w:spacing w:after="0" w:line="136" w:lineRule="exact"/>
              <w:rPr>
                <w:sz w:val="20"/>
                <w:szCs w:val="20"/>
                <w:color w:val="auto"/>
              </w:rPr>
            </w:pPr>
            <w:r>
              <w:rPr>
                <w:rFonts w:ascii="Arial" w:cs="Arial" w:eastAsia="Arial" w:hAnsi="Arial"/>
                <w:sz w:val="12"/>
                <w:szCs w:val="12"/>
                <w:b w:val="1"/>
                <w:bCs w:val="1"/>
                <w:color w:val="477157"/>
              </w:rPr>
              <w:t>Threshold</w:t>
            </w:r>
          </w:p>
        </w:tc>
        <w:tc>
          <w:tcPr>
            <w:tcW w:w="660" w:type="dxa"/>
            <w:vAlign w:val="bottom"/>
          </w:tcPr>
          <w:p>
            <w:pPr>
              <w:jc w:val="right"/>
              <w:ind w:right="51"/>
              <w:spacing w:after="0" w:line="136" w:lineRule="exact"/>
              <w:rPr>
                <w:sz w:val="20"/>
                <w:szCs w:val="20"/>
                <w:color w:val="auto"/>
              </w:rPr>
            </w:pPr>
            <w:r>
              <w:rPr>
                <w:rFonts w:ascii="Arial" w:cs="Arial" w:eastAsia="Arial" w:hAnsi="Arial"/>
                <w:sz w:val="12"/>
                <w:szCs w:val="12"/>
                <w:b w:val="1"/>
                <w:bCs w:val="1"/>
                <w:color w:val="477157"/>
              </w:rPr>
              <w:t>Target</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b w:val="1"/>
                <w:bCs w:val="1"/>
                <w:color w:val="477157"/>
                <w:w w:val="97"/>
              </w:rPr>
              <w:t>Maximum</w:t>
            </w:r>
          </w:p>
        </w:tc>
        <w:tc>
          <w:tcPr>
            <w:tcW w:w="88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Underlying</w:t>
            </w:r>
          </w:p>
        </w:tc>
        <w:tc>
          <w:tcPr>
            <w:tcW w:w="64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Awards</w:t>
            </w:r>
          </w:p>
        </w:tc>
        <w:tc>
          <w:tcPr>
            <w:tcW w:w="640" w:type="dxa"/>
            <w:vAlign w:val="bottom"/>
          </w:tcPr>
          <w:p>
            <w:pPr>
              <w:jc w:val="right"/>
              <w:ind w:right="15"/>
              <w:spacing w:after="0" w:line="136" w:lineRule="exact"/>
              <w:rPr>
                <w:sz w:val="20"/>
                <w:szCs w:val="20"/>
                <w:color w:val="auto"/>
              </w:rPr>
            </w:pPr>
            <w:r>
              <w:rPr>
                <w:rFonts w:ascii="Arial" w:cs="Arial" w:eastAsia="Arial" w:hAnsi="Arial"/>
                <w:sz w:val="12"/>
                <w:szCs w:val="12"/>
                <w:b w:val="1"/>
                <w:bCs w:val="1"/>
                <w:color w:val="477157"/>
              </w:rPr>
              <w:t>Grant</w:t>
            </w:r>
          </w:p>
        </w:tc>
        <w:tc>
          <w:tcPr>
            <w:tcW w:w="74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Awards</w:t>
            </w:r>
          </w:p>
        </w:tc>
        <w:tc>
          <w:tcPr>
            <w:tcW w:w="0" w:type="dxa"/>
            <w:vAlign w:val="bottom"/>
          </w:tcPr>
          <w:p>
            <w:pPr>
              <w:spacing w:after="0"/>
              <w:rPr>
                <w:sz w:val="1"/>
                <w:szCs w:val="1"/>
                <w:color w:val="auto"/>
              </w:rPr>
            </w:pPr>
          </w:p>
        </w:tc>
      </w:tr>
      <w:tr>
        <w:trPr>
          <w:trHeight w:val="158"/>
        </w:trPr>
        <w:tc>
          <w:tcPr>
            <w:tcW w:w="158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Grant Date</w:t>
            </w:r>
          </w:p>
        </w:tc>
        <w:tc>
          <w:tcPr>
            <w:tcW w:w="760" w:type="dxa"/>
            <w:vAlign w:val="bottom"/>
            <w:tcBorders>
              <w:bottom w:val="single" w:sz="8" w:color="477157"/>
            </w:tcBorders>
          </w:tcPr>
          <w:p>
            <w:pPr>
              <w:jc w:val="right"/>
              <w:spacing w:after="0"/>
              <w:rPr>
                <w:sz w:val="20"/>
                <w:szCs w:val="20"/>
                <w:color w:val="auto"/>
              </w:rPr>
            </w:pPr>
            <w:r>
              <w:rPr>
                <w:rFonts w:ascii="Arial" w:cs="Arial" w:eastAsia="Arial" w:hAnsi="Arial"/>
                <w:sz w:val="12"/>
                <w:szCs w:val="12"/>
                <w:b w:val="1"/>
                <w:bCs w:val="1"/>
                <w:color w:val="477157"/>
              </w:rPr>
              <w:t>($)</w:t>
            </w:r>
          </w:p>
        </w:tc>
        <w:tc>
          <w:tcPr>
            <w:tcW w:w="880" w:type="dxa"/>
            <w:vAlign w:val="bottom"/>
            <w:tcBorders>
              <w:bottom w:val="single" w:sz="8" w:color="477157"/>
            </w:tcBorders>
          </w:tcPr>
          <w:p>
            <w:pPr>
              <w:jc w:val="right"/>
              <w:ind w:right="33"/>
              <w:spacing w:after="0"/>
              <w:rPr>
                <w:sz w:val="20"/>
                <w:szCs w:val="20"/>
                <w:color w:val="auto"/>
              </w:rPr>
            </w:pPr>
            <w:r>
              <w:rPr>
                <w:rFonts w:ascii="Arial" w:cs="Arial" w:eastAsia="Arial" w:hAnsi="Arial"/>
                <w:sz w:val="12"/>
                <w:szCs w:val="12"/>
                <w:b w:val="1"/>
                <w:bCs w:val="1"/>
                <w:color w:val="477157"/>
              </w:rPr>
              <w:t>($)</w:t>
            </w:r>
          </w:p>
        </w:tc>
        <w:tc>
          <w:tcPr>
            <w:tcW w:w="780" w:type="dxa"/>
            <w:vAlign w:val="bottom"/>
            <w:tcBorders>
              <w:bottom w:val="single" w:sz="8" w:color="477157"/>
            </w:tcBorders>
            <w:gridSpan w:val="2"/>
          </w:tcPr>
          <w:p>
            <w:pPr>
              <w:jc w:val="right"/>
              <w:ind w:right="60"/>
              <w:spacing w:after="0"/>
              <w:rPr>
                <w:sz w:val="20"/>
                <w:szCs w:val="20"/>
                <w:color w:val="auto"/>
              </w:rPr>
            </w:pPr>
            <w:r>
              <w:rPr>
                <w:rFonts w:ascii="Arial" w:cs="Arial" w:eastAsia="Arial" w:hAnsi="Arial"/>
                <w:sz w:val="12"/>
                <w:szCs w:val="12"/>
                <w:b w:val="1"/>
                <w:bCs w:val="1"/>
                <w:color w:val="477157"/>
              </w:rPr>
              <w:t>($)</w:t>
            </w:r>
          </w:p>
        </w:tc>
        <w:tc>
          <w:tcPr>
            <w:tcW w:w="740" w:type="dxa"/>
            <w:vAlign w:val="bottom"/>
            <w:tcBorders>
              <w:bottom w:val="single" w:sz="8" w:color="477157"/>
            </w:tcBorders>
          </w:tcPr>
          <w:p>
            <w:pPr>
              <w:jc w:val="right"/>
              <w:ind w:right="14"/>
              <w:spacing w:after="0"/>
              <w:rPr>
                <w:sz w:val="20"/>
                <w:szCs w:val="20"/>
                <w:color w:val="auto"/>
              </w:rPr>
            </w:pPr>
            <w:r>
              <w:rPr>
                <w:rFonts w:ascii="Arial" w:cs="Arial" w:eastAsia="Arial" w:hAnsi="Arial"/>
                <w:sz w:val="12"/>
                <w:szCs w:val="12"/>
                <w:b w:val="1"/>
                <w:bCs w:val="1"/>
                <w:color w:val="477157"/>
              </w:rPr>
              <w:t>(#)</w:t>
            </w:r>
          </w:p>
        </w:tc>
        <w:tc>
          <w:tcPr>
            <w:tcW w:w="660" w:type="dxa"/>
            <w:vAlign w:val="bottom"/>
            <w:tcBorders>
              <w:bottom w:val="single" w:sz="8" w:color="477157"/>
            </w:tcBorders>
          </w:tcPr>
          <w:p>
            <w:pPr>
              <w:jc w:val="right"/>
              <w:ind w:right="51"/>
              <w:spacing w:after="0"/>
              <w:rPr>
                <w:sz w:val="20"/>
                <w:szCs w:val="20"/>
                <w:color w:val="auto"/>
              </w:rPr>
            </w:pPr>
            <w:r>
              <w:rPr>
                <w:rFonts w:ascii="Arial" w:cs="Arial" w:eastAsia="Arial" w:hAnsi="Arial"/>
                <w:sz w:val="12"/>
                <w:szCs w:val="12"/>
                <w:b w:val="1"/>
                <w:bCs w:val="1"/>
                <w:color w:val="477157"/>
              </w:rPr>
              <w:t>(#)</w:t>
            </w:r>
          </w:p>
        </w:tc>
        <w:tc>
          <w:tcPr>
            <w:tcW w:w="680" w:type="dxa"/>
            <w:vAlign w:val="bottom"/>
            <w:tcBorders>
              <w:bottom w:val="single" w:sz="8" w:color="477157"/>
            </w:tcBorders>
            <w:gridSpan w:val="2"/>
          </w:tcPr>
          <w:p>
            <w:pPr>
              <w:jc w:val="right"/>
              <w:ind w:right="120"/>
              <w:spacing w:after="0"/>
              <w:rPr>
                <w:sz w:val="20"/>
                <w:szCs w:val="20"/>
                <w:color w:val="auto"/>
              </w:rPr>
            </w:pPr>
            <w:r>
              <w:rPr>
                <w:rFonts w:ascii="Arial" w:cs="Arial" w:eastAsia="Arial" w:hAnsi="Arial"/>
                <w:sz w:val="12"/>
                <w:szCs w:val="12"/>
                <w:b w:val="1"/>
                <w:bCs w:val="1"/>
                <w:color w:val="477157"/>
              </w:rPr>
              <w:t>(#)</w:t>
            </w:r>
          </w:p>
        </w:tc>
        <w:tc>
          <w:tcPr>
            <w:tcW w:w="880" w:type="dxa"/>
            <w:vAlign w:val="bottom"/>
            <w:tcBorders>
              <w:bottom w:val="single" w:sz="8" w:color="477157"/>
            </w:tcBorders>
          </w:tcPr>
          <w:p>
            <w:pPr>
              <w:jc w:val="right"/>
              <w:spacing w:after="0" w:line="157" w:lineRule="exact"/>
              <w:rPr>
                <w:sz w:val="20"/>
                <w:szCs w:val="20"/>
                <w:color w:val="auto"/>
              </w:rPr>
            </w:pPr>
            <w:r>
              <w:rPr>
                <w:rFonts w:ascii="Arial" w:cs="Arial" w:eastAsia="Arial" w:hAnsi="Arial"/>
                <w:sz w:val="12"/>
                <w:szCs w:val="12"/>
                <w:b w:val="1"/>
                <w:bCs w:val="1"/>
                <w:color w:val="477157"/>
              </w:rPr>
              <w:t>Options(#)</w:t>
            </w:r>
            <w:r>
              <w:rPr>
                <w:rFonts w:ascii="Arial" w:cs="Arial" w:eastAsia="Arial" w:hAnsi="Arial"/>
                <w:sz w:val="18"/>
                <w:szCs w:val="18"/>
                <w:b w:val="1"/>
                <w:bCs w:val="1"/>
                <w:color w:val="477157"/>
                <w:vertAlign w:val="superscript"/>
              </w:rPr>
              <w:t>(3)</w:t>
            </w:r>
          </w:p>
        </w:tc>
        <w:tc>
          <w:tcPr>
            <w:tcW w:w="640" w:type="dxa"/>
            <w:vAlign w:val="bottom"/>
            <w:tcBorders>
              <w:bottom w:val="single" w:sz="8" w:color="477157"/>
            </w:tcBorders>
          </w:tcPr>
          <w:p>
            <w:pPr>
              <w:jc w:val="right"/>
              <w:spacing w:after="0" w:line="157" w:lineRule="exact"/>
              <w:rPr>
                <w:sz w:val="20"/>
                <w:szCs w:val="20"/>
                <w:color w:val="auto"/>
              </w:rPr>
            </w:pPr>
            <w:r>
              <w:rPr>
                <w:rFonts w:ascii="Arial" w:cs="Arial" w:eastAsia="Arial" w:hAnsi="Arial"/>
                <w:sz w:val="12"/>
                <w:szCs w:val="12"/>
                <w:b w:val="1"/>
                <w:bCs w:val="1"/>
                <w:color w:val="477157"/>
              </w:rPr>
              <w:t>($/sh)</w:t>
            </w:r>
            <w:r>
              <w:rPr>
                <w:rFonts w:ascii="Arial" w:cs="Arial" w:eastAsia="Arial" w:hAnsi="Arial"/>
                <w:sz w:val="18"/>
                <w:szCs w:val="18"/>
                <w:b w:val="1"/>
                <w:bCs w:val="1"/>
                <w:color w:val="477157"/>
                <w:vertAlign w:val="superscript"/>
              </w:rPr>
              <w:t>(4)</w:t>
            </w:r>
          </w:p>
        </w:tc>
        <w:tc>
          <w:tcPr>
            <w:tcW w:w="640" w:type="dxa"/>
            <w:vAlign w:val="bottom"/>
            <w:tcBorders>
              <w:bottom w:val="single" w:sz="8" w:color="477157"/>
            </w:tcBorders>
          </w:tcPr>
          <w:p>
            <w:pPr>
              <w:jc w:val="right"/>
              <w:ind w:right="15"/>
              <w:spacing w:after="0"/>
              <w:rPr>
                <w:sz w:val="20"/>
                <w:szCs w:val="20"/>
                <w:color w:val="auto"/>
              </w:rPr>
            </w:pPr>
            <w:r>
              <w:rPr>
                <w:rFonts w:ascii="Arial" w:cs="Arial" w:eastAsia="Arial" w:hAnsi="Arial"/>
                <w:sz w:val="12"/>
                <w:szCs w:val="12"/>
                <w:b w:val="1"/>
                <w:bCs w:val="1"/>
                <w:color w:val="477157"/>
              </w:rPr>
              <w:t>($/sh)</w:t>
            </w:r>
          </w:p>
        </w:tc>
        <w:tc>
          <w:tcPr>
            <w:tcW w:w="740" w:type="dxa"/>
            <w:vAlign w:val="bottom"/>
            <w:tcBorders>
              <w:bottom w:val="single" w:sz="8" w:color="477157"/>
            </w:tcBorders>
          </w:tcPr>
          <w:p>
            <w:pPr>
              <w:jc w:val="right"/>
              <w:spacing w:after="0" w:line="157"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(5)</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James C. Fish, Jr.</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Annual Cash Incentive</w:t>
            </w:r>
          </w:p>
        </w:tc>
        <w:tc>
          <w:tcPr>
            <w:tcW w:w="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1,027,535</w:t>
            </w:r>
          </w:p>
        </w:tc>
        <w:tc>
          <w:tcPr>
            <w:tcW w:w="880" w:type="dxa"/>
            <w:vAlign w:val="bottom"/>
            <w:tcBorders>
              <w:bottom w:val="single" w:sz="8" w:color="477157"/>
            </w:tcBorders>
          </w:tcPr>
          <w:p>
            <w:pPr>
              <w:jc w:val="right"/>
              <w:ind w:right="33"/>
              <w:spacing w:after="0" w:line="161" w:lineRule="exact"/>
              <w:rPr>
                <w:sz w:val="20"/>
                <w:szCs w:val="20"/>
                <w:color w:val="auto"/>
              </w:rPr>
            </w:pPr>
            <w:r>
              <w:rPr>
                <w:rFonts w:ascii="Arial" w:cs="Arial" w:eastAsia="Arial" w:hAnsi="Arial"/>
                <w:sz w:val="15"/>
                <w:szCs w:val="15"/>
                <w:color w:val="auto"/>
              </w:rPr>
              <w:t>1,712,559</w:t>
            </w:r>
          </w:p>
        </w:tc>
        <w:tc>
          <w:tcPr>
            <w:tcW w:w="7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3,425,118</w:t>
            </w: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ind w:left="140"/>
              <w:spacing w:after="0" w:line="161" w:lineRule="exact"/>
              <w:rPr>
                <w:sz w:val="20"/>
                <w:szCs w:val="20"/>
                <w:color w:val="auto"/>
              </w:rPr>
            </w:pPr>
            <w:r>
              <w:rPr>
                <w:rFonts w:ascii="Arial" w:cs="Arial" w:eastAsia="Arial" w:hAnsi="Arial"/>
                <w:sz w:val="15"/>
                <w:szCs w:val="15"/>
                <w:color w:val="auto"/>
              </w:rPr>
              <w:t>2/19/19</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jc w:val="right"/>
              <w:ind w:right="14"/>
              <w:spacing w:after="0" w:line="161" w:lineRule="exact"/>
              <w:rPr>
                <w:sz w:val="20"/>
                <w:szCs w:val="20"/>
                <w:color w:val="auto"/>
              </w:rPr>
            </w:pPr>
            <w:r>
              <w:rPr>
                <w:rFonts w:ascii="Arial" w:cs="Arial" w:eastAsia="Arial" w:hAnsi="Arial"/>
                <w:sz w:val="15"/>
                <w:szCs w:val="15"/>
                <w:color w:val="auto"/>
              </w:rPr>
              <w:t>29,474</w:t>
            </w:r>
          </w:p>
        </w:tc>
        <w:tc>
          <w:tcPr>
            <w:tcW w:w="660" w:type="dxa"/>
            <w:vAlign w:val="bottom"/>
            <w:tcBorders>
              <w:bottom w:val="single" w:sz="8" w:color="477157"/>
            </w:tcBorders>
          </w:tcPr>
          <w:p>
            <w:pPr>
              <w:jc w:val="right"/>
              <w:ind w:right="51"/>
              <w:spacing w:after="0" w:line="161" w:lineRule="exact"/>
              <w:rPr>
                <w:sz w:val="20"/>
                <w:szCs w:val="20"/>
                <w:color w:val="auto"/>
              </w:rPr>
            </w:pPr>
            <w:r>
              <w:rPr>
                <w:rFonts w:ascii="Arial" w:cs="Arial" w:eastAsia="Arial" w:hAnsi="Arial"/>
                <w:sz w:val="15"/>
                <w:szCs w:val="15"/>
                <w:color w:val="auto"/>
              </w:rPr>
              <w:t>58,948</w:t>
            </w:r>
          </w:p>
        </w:tc>
        <w:tc>
          <w:tcPr>
            <w:tcW w:w="5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w w:val="99"/>
              </w:rPr>
              <w:t>117,896</w:t>
            </w: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6,853,530</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ind w:left="140"/>
              <w:spacing w:after="0" w:line="161" w:lineRule="exact"/>
              <w:rPr>
                <w:sz w:val="20"/>
                <w:szCs w:val="20"/>
                <w:color w:val="auto"/>
              </w:rPr>
            </w:pPr>
            <w:r>
              <w:rPr>
                <w:rFonts w:ascii="Arial" w:cs="Arial" w:eastAsia="Arial" w:hAnsi="Arial"/>
                <w:sz w:val="15"/>
                <w:szCs w:val="15"/>
                <w:color w:val="auto"/>
              </w:rPr>
              <w:t>2/19/19</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114,566</w:t>
            </w:r>
          </w:p>
        </w:tc>
        <w:tc>
          <w:tcPr>
            <w:tcW w:w="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98.898</w:t>
            </w:r>
          </w:p>
        </w:tc>
        <w:tc>
          <w:tcPr>
            <w:tcW w:w="640" w:type="dxa"/>
            <w:vAlign w:val="bottom"/>
            <w:tcBorders>
              <w:bottom w:val="single" w:sz="8" w:color="477157"/>
            </w:tcBorders>
          </w:tcPr>
          <w:p>
            <w:pPr>
              <w:jc w:val="right"/>
              <w:ind w:right="15"/>
              <w:spacing w:after="0" w:line="161" w:lineRule="exact"/>
              <w:rPr>
                <w:sz w:val="20"/>
                <w:szCs w:val="20"/>
                <w:color w:val="auto"/>
              </w:rPr>
            </w:pPr>
            <w:r>
              <w:rPr>
                <w:rFonts w:ascii="Arial" w:cs="Arial" w:eastAsia="Arial" w:hAnsi="Arial"/>
                <w:sz w:val="15"/>
                <w:szCs w:val="15"/>
                <w:color w:val="auto"/>
              </w:rPr>
              <w:t>99.08</w:t>
            </w:r>
          </w:p>
        </w:tc>
        <w:tc>
          <w:tcPr>
            <w:tcW w:w="7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1,399,997</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Devina A. Rankin</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Annual Cash Incentive</w:t>
            </w:r>
          </w:p>
        </w:tc>
        <w:tc>
          <w:tcPr>
            <w:tcW w:w="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348,509</w:t>
            </w:r>
          </w:p>
        </w:tc>
        <w:tc>
          <w:tcPr>
            <w:tcW w:w="880" w:type="dxa"/>
            <w:vAlign w:val="bottom"/>
            <w:tcBorders>
              <w:bottom w:val="single" w:sz="8" w:color="477157"/>
            </w:tcBorders>
          </w:tcPr>
          <w:p>
            <w:pPr>
              <w:jc w:val="right"/>
              <w:ind w:right="33"/>
              <w:spacing w:after="0" w:line="161" w:lineRule="exact"/>
              <w:rPr>
                <w:sz w:val="20"/>
                <w:szCs w:val="20"/>
                <w:color w:val="auto"/>
              </w:rPr>
            </w:pPr>
            <w:r>
              <w:rPr>
                <w:rFonts w:ascii="Arial" w:cs="Arial" w:eastAsia="Arial" w:hAnsi="Arial"/>
                <w:sz w:val="15"/>
                <w:szCs w:val="15"/>
                <w:color w:val="auto"/>
              </w:rPr>
              <w:t>580,848</w:t>
            </w:r>
          </w:p>
        </w:tc>
        <w:tc>
          <w:tcPr>
            <w:tcW w:w="7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1,161,696</w:t>
            </w: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ind w:left="140"/>
              <w:spacing w:after="0" w:line="161" w:lineRule="exact"/>
              <w:rPr>
                <w:sz w:val="20"/>
                <w:szCs w:val="20"/>
                <w:color w:val="auto"/>
              </w:rPr>
            </w:pPr>
            <w:r>
              <w:rPr>
                <w:rFonts w:ascii="Arial" w:cs="Arial" w:eastAsia="Arial" w:hAnsi="Arial"/>
                <w:sz w:val="15"/>
                <w:szCs w:val="15"/>
                <w:color w:val="auto"/>
              </w:rPr>
              <w:t>2/19/19</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jc w:val="right"/>
              <w:ind w:right="14"/>
              <w:spacing w:after="0" w:line="161" w:lineRule="exact"/>
              <w:rPr>
                <w:sz w:val="20"/>
                <w:szCs w:val="20"/>
                <w:color w:val="auto"/>
              </w:rPr>
            </w:pPr>
            <w:r>
              <w:rPr>
                <w:rFonts w:ascii="Arial" w:cs="Arial" w:eastAsia="Arial" w:hAnsi="Arial"/>
                <w:sz w:val="15"/>
                <w:szCs w:val="15"/>
                <w:color w:val="auto"/>
              </w:rPr>
              <w:t>8,421</w:t>
            </w:r>
          </w:p>
        </w:tc>
        <w:tc>
          <w:tcPr>
            <w:tcW w:w="660" w:type="dxa"/>
            <w:vAlign w:val="bottom"/>
            <w:tcBorders>
              <w:bottom w:val="single" w:sz="8" w:color="477157"/>
            </w:tcBorders>
          </w:tcPr>
          <w:p>
            <w:pPr>
              <w:jc w:val="right"/>
              <w:ind w:right="51"/>
              <w:spacing w:after="0" w:line="161" w:lineRule="exact"/>
              <w:rPr>
                <w:sz w:val="20"/>
                <w:szCs w:val="20"/>
                <w:color w:val="auto"/>
              </w:rPr>
            </w:pPr>
            <w:r>
              <w:rPr>
                <w:rFonts w:ascii="Arial" w:cs="Arial" w:eastAsia="Arial" w:hAnsi="Arial"/>
                <w:sz w:val="15"/>
                <w:szCs w:val="15"/>
                <w:color w:val="auto"/>
              </w:rPr>
              <w:t>16,842</w:t>
            </w:r>
          </w:p>
        </w:tc>
        <w:tc>
          <w:tcPr>
            <w:tcW w:w="5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33,684</w:t>
            </w: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1,958,118</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ind w:left="140"/>
              <w:spacing w:after="0" w:line="161" w:lineRule="exact"/>
              <w:rPr>
                <w:sz w:val="20"/>
                <w:szCs w:val="20"/>
                <w:color w:val="auto"/>
              </w:rPr>
            </w:pPr>
            <w:r>
              <w:rPr>
                <w:rFonts w:ascii="Arial" w:cs="Arial" w:eastAsia="Arial" w:hAnsi="Arial"/>
                <w:sz w:val="15"/>
                <w:szCs w:val="15"/>
                <w:color w:val="auto"/>
              </w:rPr>
              <w:t>2/19/19</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32,733</w:t>
            </w:r>
          </w:p>
        </w:tc>
        <w:tc>
          <w:tcPr>
            <w:tcW w:w="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98.898</w:t>
            </w:r>
          </w:p>
        </w:tc>
        <w:tc>
          <w:tcPr>
            <w:tcW w:w="640" w:type="dxa"/>
            <w:vAlign w:val="bottom"/>
            <w:tcBorders>
              <w:bottom w:val="single" w:sz="8" w:color="477157"/>
            </w:tcBorders>
          </w:tcPr>
          <w:p>
            <w:pPr>
              <w:jc w:val="right"/>
              <w:ind w:right="15"/>
              <w:spacing w:after="0" w:line="161" w:lineRule="exact"/>
              <w:rPr>
                <w:sz w:val="20"/>
                <w:szCs w:val="20"/>
                <w:color w:val="auto"/>
              </w:rPr>
            </w:pPr>
            <w:r>
              <w:rPr>
                <w:rFonts w:ascii="Arial" w:cs="Arial" w:eastAsia="Arial" w:hAnsi="Arial"/>
                <w:sz w:val="15"/>
                <w:szCs w:val="15"/>
                <w:color w:val="auto"/>
              </w:rPr>
              <w:t>99.08</w:t>
            </w:r>
          </w:p>
        </w:tc>
        <w:tc>
          <w:tcPr>
            <w:tcW w:w="7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399,997</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John J. Morris, Jr.</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Annual Cash Incentive</w:t>
            </w:r>
          </w:p>
        </w:tc>
        <w:tc>
          <w:tcPr>
            <w:tcW w:w="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399,000</w:t>
            </w:r>
          </w:p>
        </w:tc>
        <w:tc>
          <w:tcPr>
            <w:tcW w:w="880" w:type="dxa"/>
            <w:vAlign w:val="bottom"/>
            <w:tcBorders>
              <w:bottom w:val="single" w:sz="8" w:color="477157"/>
            </w:tcBorders>
          </w:tcPr>
          <w:p>
            <w:pPr>
              <w:jc w:val="right"/>
              <w:ind w:right="33"/>
              <w:spacing w:after="0" w:line="161" w:lineRule="exact"/>
              <w:rPr>
                <w:sz w:val="20"/>
                <w:szCs w:val="20"/>
                <w:color w:val="auto"/>
              </w:rPr>
            </w:pPr>
            <w:r>
              <w:rPr>
                <w:rFonts w:ascii="Arial" w:cs="Arial" w:eastAsia="Arial" w:hAnsi="Arial"/>
                <w:sz w:val="15"/>
                <w:szCs w:val="15"/>
                <w:color w:val="auto"/>
              </w:rPr>
              <w:t>665,000</w:t>
            </w:r>
          </w:p>
        </w:tc>
        <w:tc>
          <w:tcPr>
            <w:tcW w:w="7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1,330,000</w:t>
            </w: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ind w:left="140"/>
              <w:spacing w:after="0" w:line="161" w:lineRule="exact"/>
              <w:rPr>
                <w:sz w:val="20"/>
                <w:szCs w:val="20"/>
                <w:color w:val="auto"/>
              </w:rPr>
            </w:pPr>
            <w:r>
              <w:rPr>
                <w:rFonts w:ascii="Arial" w:cs="Arial" w:eastAsia="Arial" w:hAnsi="Arial"/>
                <w:sz w:val="15"/>
                <w:szCs w:val="15"/>
                <w:color w:val="auto"/>
              </w:rPr>
              <w:t>2/19/19</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jc w:val="right"/>
              <w:ind w:right="14"/>
              <w:spacing w:after="0" w:line="161" w:lineRule="exact"/>
              <w:rPr>
                <w:sz w:val="20"/>
                <w:szCs w:val="20"/>
                <w:color w:val="auto"/>
              </w:rPr>
            </w:pPr>
            <w:r>
              <w:rPr>
                <w:rFonts w:ascii="Arial" w:cs="Arial" w:eastAsia="Arial" w:hAnsi="Arial"/>
                <w:sz w:val="15"/>
                <w:szCs w:val="15"/>
                <w:color w:val="auto"/>
              </w:rPr>
              <w:t>9,263</w:t>
            </w:r>
          </w:p>
        </w:tc>
        <w:tc>
          <w:tcPr>
            <w:tcW w:w="660" w:type="dxa"/>
            <w:vAlign w:val="bottom"/>
            <w:tcBorders>
              <w:bottom w:val="single" w:sz="8" w:color="477157"/>
            </w:tcBorders>
          </w:tcPr>
          <w:p>
            <w:pPr>
              <w:jc w:val="right"/>
              <w:ind w:right="51"/>
              <w:spacing w:after="0" w:line="161" w:lineRule="exact"/>
              <w:rPr>
                <w:sz w:val="20"/>
                <w:szCs w:val="20"/>
                <w:color w:val="auto"/>
              </w:rPr>
            </w:pPr>
            <w:r>
              <w:rPr>
                <w:rFonts w:ascii="Arial" w:cs="Arial" w:eastAsia="Arial" w:hAnsi="Arial"/>
                <w:sz w:val="15"/>
                <w:szCs w:val="15"/>
                <w:color w:val="auto"/>
              </w:rPr>
              <w:t>18,526</w:t>
            </w:r>
          </w:p>
        </w:tc>
        <w:tc>
          <w:tcPr>
            <w:tcW w:w="5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37,052</w:t>
            </w: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2,153,907</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ind w:left="140"/>
              <w:spacing w:after="0" w:line="161" w:lineRule="exact"/>
              <w:rPr>
                <w:sz w:val="20"/>
                <w:szCs w:val="20"/>
                <w:color w:val="auto"/>
              </w:rPr>
            </w:pPr>
            <w:r>
              <w:rPr>
                <w:rFonts w:ascii="Arial" w:cs="Arial" w:eastAsia="Arial" w:hAnsi="Arial"/>
                <w:sz w:val="15"/>
                <w:szCs w:val="15"/>
                <w:color w:val="auto"/>
              </w:rPr>
              <w:t>2/19/19</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36,007</w:t>
            </w:r>
          </w:p>
        </w:tc>
        <w:tc>
          <w:tcPr>
            <w:tcW w:w="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98.898</w:t>
            </w:r>
          </w:p>
        </w:tc>
        <w:tc>
          <w:tcPr>
            <w:tcW w:w="640" w:type="dxa"/>
            <w:vAlign w:val="bottom"/>
            <w:tcBorders>
              <w:bottom w:val="single" w:sz="8" w:color="477157"/>
            </w:tcBorders>
          </w:tcPr>
          <w:p>
            <w:pPr>
              <w:jc w:val="right"/>
              <w:ind w:right="15"/>
              <w:spacing w:after="0" w:line="161" w:lineRule="exact"/>
              <w:rPr>
                <w:sz w:val="20"/>
                <w:szCs w:val="20"/>
                <w:color w:val="auto"/>
              </w:rPr>
            </w:pPr>
            <w:r>
              <w:rPr>
                <w:rFonts w:ascii="Arial" w:cs="Arial" w:eastAsia="Arial" w:hAnsi="Arial"/>
                <w:sz w:val="15"/>
                <w:szCs w:val="15"/>
                <w:color w:val="auto"/>
              </w:rPr>
              <w:t>99.08</w:t>
            </w:r>
          </w:p>
        </w:tc>
        <w:tc>
          <w:tcPr>
            <w:tcW w:w="7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440,006</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Tara J. Hemmer</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Annual Cash Incentive</w:t>
            </w:r>
          </w:p>
        </w:tc>
        <w:tc>
          <w:tcPr>
            <w:tcW w:w="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289,430</w:t>
            </w:r>
          </w:p>
        </w:tc>
        <w:tc>
          <w:tcPr>
            <w:tcW w:w="880" w:type="dxa"/>
            <w:vAlign w:val="bottom"/>
            <w:tcBorders>
              <w:bottom w:val="single" w:sz="8" w:color="477157"/>
            </w:tcBorders>
          </w:tcPr>
          <w:p>
            <w:pPr>
              <w:jc w:val="right"/>
              <w:ind w:right="33"/>
              <w:spacing w:after="0" w:line="161" w:lineRule="exact"/>
              <w:rPr>
                <w:sz w:val="20"/>
                <w:szCs w:val="20"/>
                <w:color w:val="auto"/>
              </w:rPr>
            </w:pPr>
            <w:r>
              <w:rPr>
                <w:rFonts w:ascii="Arial" w:cs="Arial" w:eastAsia="Arial" w:hAnsi="Arial"/>
                <w:sz w:val="15"/>
                <w:szCs w:val="15"/>
                <w:color w:val="auto"/>
              </w:rPr>
              <w:t>482,384</w:t>
            </w:r>
          </w:p>
        </w:tc>
        <w:tc>
          <w:tcPr>
            <w:tcW w:w="7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964,768</w:t>
            </w: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ind w:left="140"/>
              <w:spacing w:after="0" w:line="161" w:lineRule="exact"/>
              <w:rPr>
                <w:sz w:val="20"/>
                <w:szCs w:val="20"/>
                <w:color w:val="auto"/>
              </w:rPr>
            </w:pPr>
            <w:r>
              <w:rPr>
                <w:rFonts w:ascii="Arial" w:cs="Arial" w:eastAsia="Arial" w:hAnsi="Arial"/>
                <w:sz w:val="15"/>
                <w:szCs w:val="15"/>
                <w:color w:val="auto"/>
              </w:rPr>
              <w:t>2/19/19</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jc w:val="right"/>
              <w:ind w:right="14"/>
              <w:spacing w:after="0" w:line="161" w:lineRule="exact"/>
              <w:rPr>
                <w:sz w:val="20"/>
                <w:szCs w:val="20"/>
                <w:color w:val="auto"/>
              </w:rPr>
            </w:pPr>
            <w:r>
              <w:rPr>
                <w:rFonts w:ascii="Arial" w:cs="Arial" w:eastAsia="Arial" w:hAnsi="Arial"/>
                <w:sz w:val="15"/>
                <w:szCs w:val="15"/>
                <w:color w:val="auto"/>
              </w:rPr>
              <w:t>6,947</w:t>
            </w:r>
          </w:p>
        </w:tc>
        <w:tc>
          <w:tcPr>
            <w:tcW w:w="660" w:type="dxa"/>
            <w:vAlign w:val="bottom"/>
            <w:tcBorders>
              <w:bottom w:val="single" w:sz="8" w:color="477157"/>
            </w:tcBorders>
          </w:tcPr>
          <w:p>
            <w:pPr>
              <w:jc w:val="right"/>
              <w:ind w:right="51"/>
              <w:spacing w:after="0" w:line="161" w:lineRule="exact"/>
              <w:rPr>
                <w:sz w:val="20"/>
                <w:szCs w:val="20"/>
                <w:color w:val="auto"/>
              </w:rPr>
            </w:pPr>
            <w:r>
              <w:rPr>
                <w:rFonts w:ascii="Arial" w:cs="Arial" w:eastAsia="Arial" w:hAnsi="Arial"/>
                <w:sz w:val="15"/>
                <w:szCs w:val="15"/>
                <w:color w:val="auto"/>
              </w:rPr>
              <w:t>13,894</w:t>
            </w:r>
          </w:p>
        </w:tc>
        <w:tc>
          <w:tcPr>
            <w:tcW w:w="5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27,788</w:t>
            </w: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1,615,372</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ind w:left="140"/>
              <w:spacing w:after="0" w:line="161" w:lineRule="exact"/>
              <w:rPr>
                <w:sz w:val="20"/>
                <w:szCs w:val="20"/>
                <w:color w:val="auto"/>
              </w:rPr>
            </w:pPr>
            <w:r>
              <w:rPr>
                <w:rFonts w:ascii="Arial" w:cs="Arial" w:eastAsia="Arial" w:hAnsi="Arial"/>
                <w:sz w:val="15"/>
                <w:szCs w:val="15"/>
                <w:color w:val="auto"/>
              </w:rPr>
              <w:t>2/19/19</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27,005</w:t>
            </w:r>
          </w:p>
        </w:tc>
        <w:tc>
          <w:tcPr>
            <w:tcW w:w="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98.898</w:t>
            </w:r>
          </w:p>
        </w:tc>
        <w:tc>
          <w:tcPr>
            <w:tcW w:w="640" w:type="dxa"/>
            <w:vAlign w:val="bottom"/>
            <w:tcBorders>
              <w:bottom w:val="single" w:sz="8" w:color="477157"/>
            </w:tcBorders>
          </w:tcPr>
          <w:p>
            <w:pPr>
              <w:jc w:val="right"/>
              <w:ind w:right="15"/>
              <w:spacing w:after="0" w:line="161" w:lineRule="exact"/>
              <w:rPr>
                <w:sz w:val="20"/>
                <w:szCs w:val="20"/>
                <w:color w:val="auto"/>
              </w:rPr>
            </w:pPr>
            <w:r>
              <w:rPr>
                <w:rFonts w:ascii="Arial" w:cs="Arial" w:eastAsia="Arial" w:hAnsi="Arial"/>
                <w:sz w:val="15"/>
                <w:szCs w:val="15"/>
                <w:color w:val="auto"/>
              </w:rPr>
              <w:t>99.08</w:t>
            </w:r>
          </w:p>
        </w:tc>
        <w:tc>
          <w:tcPr>
            <w:tcW w:w="7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330,001</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Steven R. Batchelor</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Annual Cash Incentive</w:t>
            </w:r>
          </w:p>
        </w:tc>
        <w:tc>
          <w:tcPr>
            <w:tcW w:w="7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289,430</w:t>
            </w:r>
          </w:p>
        </w:tc>
        <w:tc>
          <w:tcPr>
            <w:tcW w:w="880" w:type="dxa"/>
            <w:vAlign w:val="bottom"/>
            <w:tcBorders>
              <w:bottom w:val="single" w:sz="8" w:color="477157"/>
            </w:tcBorders>
          </w:tcPr>
          <w:p>
            <w:pPr>
              <w:jc w:val="right"/>
              <w:ind w:right="33"/>
              <w:spacing w:after="0" w:line="161" w:lineRule="exact"/>
              <w:rPr>
                <w:sz w:val="20"/>
                <w:szCs w:val="20"/>
                <w:color w:val="auto"/>
              </w:rPr>
            </w:pPr>
            <w:r>
              <w:rPr>
                <w:rFonts w:ascii="Arial" w:cs="Arial" w:eastAsia="Arial" w:hAnsi="Arial"/>
                <w:sz w:val="15"/>
                <w:szCs w:val="15"/>
                <w:color w:val="auto"/>
              </w:rPr>
              <w:t>482,384</w:t>
            </w:r>
          </w:p>
        </w:tc>
        <w:tc>
          <w:tcPr>
            <w:tcW w:w="7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964,768</w:t>
            </w: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ind w:left="140"/>
              <w:spacing w:after="0" w:line="161" w:lineRule="exact"/>
              <w:rPr>
                <w:sz w:val="20"/>
                <w:szCs w:val="20"/>
                <w:color w:val="auto"/>
              </w:rPr>
            </w:pPr>
            <w:r>
              <w:rPr>
                <w:rFonts w:ascii="Arial" w:cs="Arial" w:eastAsia="Arial" w:hAnsi="Arial"/>
                <w:sz w:val="15"/>
                <w:szCs w:val="15"/>
                <w:color w:val="auto"/>
              </w:rPr>
              <w:t>2/19/19</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jc w:val="right"/>
              <w:ind w:right="14"/>
              <w:spacing w:after="0" w:line="161" w:lineRule="exact"/>
              <w:rPr>
                <w:sz w:val="20"/>
                <w:szCs w:val="20"/>
                <w:color w:val="auto"/>
              </w:rPr>
            </w:pPr>
            <w:r>
              <w:rPr>
                <w:rFonts w:ascii="Arial" w:cs="Arial" w:eastAsia="Arial" w:hAnsi="Arial"/>
                <w:sz w:val="15"/>
                <w:szCs w:val="15"/>
                <w:color w:val="auto"/>
              </w:rPr>
              <w:t>6,947</w:t>
            </w:r>
          </w:p>
        </w:tc>
        <w:tc>
          <w:tcPr>
            <w:tcW w:w="660" w:type="dxa"/>
            <w:vAlign w:val="bottom"/>
            <w:tcBorders>
              <w:bottom w:val="single" w:sz="8" w:color="477157"/>
            </w:tcBorders>
          </w:tcPr>
          <w:p>
            <w:pPr>
              <w:jc w:val="right"/>
              <w:ind w:right="51"/>
              <w:spacing w:after="0" w:line="161" w:lineRule="exact"/>
              <w:rPr>
                <w:sz w:val="20"/>
                <w:szCs w:val="20"/>
                <w:color w:val="auto"/>
              </w:rPr>
            </w:pPr>
            <w:r>
              <w:rPr>
                <w:rFonts w:ascii="Arial" w:cs="Arial" w:eastAsia="Arial" w:hAnsi="Arial"/>
                <w:sz w:val="15"/>
                <w:szCs w:val="15"/>
                <w:color w:val="auto"/>
              </w:rPr>
              <w:t>13,894</w:t>
            </w:r>
          </w:p>
        </w:tc>
        <w:tc>
          <w:tcPr>
            <w:tcW w:w="5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27,788</w:t>
            </w: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64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1,615,372</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477157"/>
            </w:tcBorders>
          </w:tcPr>
          <w:p>
            <w:pPr>
              <w:ind w:left="140"/>
              <w:spacing w:after="0" w:line="161" w:lineRule="exact"/>
              <w:rPr>
                <w:sz w:val="20"/>
                <w:szCs w:val="20"/>
                <w:color w:val="auto"/>
              </w:rPr>
            </w:pPr>
            <w:r>
              <w:rPr>
                <w:rFonts w:ascii="Arial" w:cs="Arial" w:eastAsia="Arial" w:hAnsi="Arial"/>
                <w:sz w:val="15"/>
                <w:szCs w:val="15"/>
                <w:color w:val="auto"/>
              </w:rPr>
              <w:t>2/19/19</w:t>
            </w:r>
          </w:p>
        </w:tc>
        <w:tc>
          <w:tcPr>
            <w:tcW w:w="76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60" w:type="dxa"/>
            <w:vAlign w:val="bottom"/>
            <w:tcBorders>
              <w:bottom w:val="single" w:sz="8" w:color="477157"/>
            </w:tcBorders>
          </w:tcPr>
          <w:p>
            <w:pPr>
              <w:spacing w:after="0"/>
              <w:rPr>
                <w:sz w:val="13"/>
                <w:szCs w:val="13"/>
                <w:color w:val="auto"/>
              </w:rPr>
            </w:pPr>
          </w:p>
        </w:tc>
        <w:tc>
          <w:tcPr>
            <w:tcW w:w="740" w:type="dxa"/>
            <w:vAlign w:val="bottom"/>
            <w:tcBorders>
              <w:bottom w:val="single" w:sz="8" w:color="477157"/>
            </w:tcBorders>
          </w:tcPr>
          <w:p>
            <w:pPr>
              <w:spacing w:after="0"/>
              <w:rPr>
                <w:sz w:val="13"/>
                <w:szCs w:val="13"/>
                <w:color w:val="auto"/>
              </w:rPr>
            </w:pPr>
          </w:p>
        </w:tc>
        <w:tc>
          <w:tcPr>
            <w:tcW w:w="660" w:type="dxa"/>
            <w:vAlign w:val="bottom"/>
            <w:tcBorders>
              <w:bottom w:val="single" w:sz="8" w:color="477157"/>
            </w:tcBorders>
          </w:tcPr>
          <w:p>
            <w:pPr>
              <w:spacing w:after="0"/>
              <w:rPr>
                <w:sz w:val="13"/>
                <w:szCs w:val="13"/>
                <w:color w:val="auto"/>
              </w:rPr>
            </w:pPr>
          </w:p>
        </w:tc>
        <w:tc>
          <w:tcPr>
            <w:tcW w:w="560" w:type="dxa"/>
            <w:vAlign w:val="bottom"/>
            <w:tcBorders>
              <w:bottom w:val="single" w:sz="8" w:color="477157"/>
            </w:tcBorders>
          </w:tcPr>
          <w:p>
            <w:pPr>
              <w:spacing w:after="0"/>
              <w:rPr>
                <w:sz w:val="13"/>
                <w:szCs w:val="13"/>
                <w:color w:val="auto"/>
              </w:rPr>
            </w:pPr>
          </w:p>
        </w:tc>
        <w:tc>
          <w:tcPr>
            <w:tcW w:w="120" w:type="dxa"/>
            <w:vAlign w:val="bottom"/>
            <w:tcBorders>
              <w:bottom w:val="single" w:sz="8" w:color="477157"/>
            </w:tcBorders>
          </w:tcPr>
          <w:p>
            <w:pPr>
              <w:spacing w:after="0"/>
              <w:rPr>
                <w:sz w:val="13"/>
                <w:szCs w:val="13"/>
                <w:color w:val="auto"/>
              </w:rPr>
            </w:pPr>
          </w:p>
        </w:tc>
        <w:tc>
          <w:tcPr>
            <w:tcW w:w="8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27,005</w:t>
            </w:r>
          </w:p>
        </w:tc>
        <w:tc>
          <w:tcPr>
            <w:tcW w:w="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98.898</w:t>
            </w:r>
          </w:p>
        </w:tc>
        <w:tc>
          <w:tcPr>
            <w:tcW w:w="640" w:type="dxa"/>
            <w:vAlign w:val="bottom"/>
            <w:tcBorders>
              <w:bottom w:val="single" w:sz="8" w:color="477157"/>
            </w:tcBorders>
          </w:tcPr>
          <w:p>
            <w:pPr>
              <w:jc w:val="right"/>
              <w:ind w:right="15"/>
              <w:spacing w:after="0" w:line="161" w:lineRule="exact"/>
              <w:rPr>
                <w:sz w:val="20"/>
                <w:szCs w:val="20"/>
                <w:color w:val="auto"/>
              </w:rPr>
            </w:pPr>
            <w:r>
              <w:rPr>
                <w:rFonts w:ascii="Arial" w:cs="Arial" w:eastAsia="Arial" w:hAnsi="Arial"/>
                <w:sz w:val="15"/>
                <w:szCs w:val="15"/>
                <w:color w:val="auto"/>
              </w:rPr>
              <w:t>99.08</w:t>
            </w:r>
          </w:p>
        </w:tc>
        <w:tc>
          <w:tcPr>
            <w:tcW w:w="7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330,001</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1560" w:hanging="443"/>
        <w:spacing w:after="0" w:line="237" w:lineRule="auto"/>
        <w:tabs>
          <w:tab w:leader="none" w:pos="15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Actual payouts of cash incentive awards for 2019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requirements were met for each performance measure. Please see "Compensation Discussion and Analysis — Named Executive's 2019 Compensation Program and Results — Annual Cash Incentive" for additional information about these awards, including performance criteria.</w:t>
      </w:r>
    </w:p>
    <w:p>
      <w:pPr>
        <w:spacing w:after="0" w:line="162" w:lineRule="exact"/>
        <w:rPr>
          <w:rFonts w:ascii="Arial" w:cs="Arial" w:eastAsia="Arial" w:hAnsi="Arial"/>
          <w:sz w:val="15"/>
          <w:szCs w:val="15"/>
          <w:color w:val="auto"/>
        </w:rPr>
      </w:pPr>
    </w:p>
    <w:p>
      <w:pPr>
        <w:jc w:val="both"/>
        <w:ind w:left="1560" w:hanging="443"/>
        <w:spacing w:after="0" w:line="237" w:lineRule="auto"/>
        <w:tabs>
          <w:tab w:leader="none" w:pos="15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Represents the number of shares of Common Stock potentially issuable based on the achievement of performance criteria under PSU awards granted under our 2014 Stock Incentive Plan. Please see "Compensation Discussion and Analysis — Named Executive's 2019 Compensation Program and Results — Long-Term Equity Incentives — Performance Share Units" for additional information about these awards, including performance criteria. The performance period for these awards</w:t>
      </w:r>
    </w:p>
    <w:p>
      <w:pPr>
        <w:spacing w:after="0" w:line="156"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EXECUTIVE COMPENSATION</w:t>
      </w:r>
    </w:p>
    <w:p>
      <w:pPr>
        <w:spacing w:after="0" w:line="206" w:lineRule="exact"/>
        <w:rPr>
          <w:sz w:val="20"/>
          <w:szCs w:val="20"/>
          <w:color w:val="auto"/>
        </w:rPr>
      </w:pPr>
    </w:p>
    <w:p>
      <w:pPr>
        <w:jc w:val="both"/>
        <w:ind w:left="1560" w:right="20"/>
        <w:spacing w:after="0"/>
        <w:rPr>
          <w:sz w:val="20"/>
          <w:szCs w:val="20"/>
          <w:color w:val="auto"/>
        </w:rPr>
      </w:pPr>
      <w:r>
        <w:rPr>
          <w:rFonts w:ascii="Arial" w:cs="Arial" w:eastAsia="Arial" w:hAnsi="Arial"/>
          <w:sz w:val="15"/>
          <w:szCs w:val="15"/>
          <w:color w:val="auto"/>
        </w:rPr>
        <w:t>ends December 31, 2021. PSUs earn dividend equivalents, which are paid out based on the number of shares earned at the end of the performance period.</w:t>
      </w:r>
    </w:p>
    <w:p>
      <w:pPr>
        <w:spacing w:after="0" w:line="173" w:lineRule="exact"/>
        <w:rPr>
          <w:sz w:val="20"/>
          <w:szCs w:val="20"/>
          <w:color w:val="auto"/>
        </w:rPr>
      </w:pPr>
    </w:p>
    <w:p>
      <w:pPr>
        <w:jc w:val="both"/>
        <w:ind w:left="1560" w:hanging="443"/>
        <w:spacing w:after="0" w:line="236" w:lineRule="auto"/>
        <w:tabs>
          <w:tab w:leader="none" w:pos="15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the number of shares of Common Stock potentially issuable upon the exercise of options granted under our 2014 Stock Incentive Plan. Please see "Compensation Discussion and Analysis — Named Executive's 2019 Compensation Program and Results — Long-Term Equity Incentives — Stock Options" for additional information about these awards. The stock options will vest in 25% increments on the first two anniversaries of the date of grant and the remaining 50% will vest on the third anniversary. 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stock option awards are not included as "Equity Incentive Plan Awards" in either the table above or the Outstanding Equity Awards as of December 31, 2019 table.</w:t>
      </w:r>
    </w:p>
    <w:p>
      <w:pPr>
        <w:spacing w:after="0" w:line="176" w:lineRule="exact"/>
        <w:rPr>
          <w:rFonts w:ascii="Arial" w:cs="Arial" w:eastAsia="Arial" w:hAnsi="Arial"/>
          <w:sz w:val="15"/>
          <w:szCs w:val="15"/>
          <w:color w:val="auto"/>
        </w:rPr>
      </w:pPr>
    </w:p>
    <w:p>
      <w:pPr>
        <w:ind w:left="1560" w:right="20" w:hanging="443"/>
        <w:spacing w:after="0"/>
        <w:tabs>
          <w:tab w:leader="none" w:pos="15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exercise price represents the average of the high and low market price of our Common Stock on the date of the grant, in accordance with our 2014 Stock Incentive Plan.</w:t>
      </w:r>
    </w:p>
    <w:p>
      <w:pPr>
        <w:spacing w:after="0" w:line="162" w:lineRule="exact"/>
        <w:rPr>
          <w:rFonts w:ascii="Arial" w:cs="Arial" w:eastAsia="Arial" w:hAnsi="Arial"/>
          <w:sz w:val="15"/>
          <w:szCs w:val="15"/>
          <w:color w:val="auto"/>
        </w:rPr>
      </w:pPr>
    </w:p>
    <w:p>
      <w:pPr>
        <w:ind w:left="1560" w:hanging="443"/>
        <w:spacing w:after="0"/>
        <w:tabs>
          <w:tab w:leader="none" w:pos="15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These amounts are grant date fair values of the awards as calculated under ASC Topic 718 and as further described in Note 15 in the Notes to the Consolidated Financial Statements in our 2019 Annual Report on Form 10-K and notes (2) and (3) to the Summary Compensation Table.</w:t>
      </w:r>
    </w:p>
    <w:p>
      <w:pPr>
        <w:spacing w:after="0" w:line="155"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477157"/>
        </w:rPr>
        <w:t>OUTSTANDING EQUITY AWARDS AS OF DECEMBER 31, 2019</w:t>
      </w:r>
    </w:p>
    <w:p>
      <w:pPr>
        <w:spacing w:after="0" w:line="15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429"/>
              <w:spacing w:after="0"/>
              <w:rPr>
                <w:sz w:val="20"/>
                <w:szCs w:val="20"/>
                <w:color w:val="auto"/>
              </w:rPr>
            </w:pPr>
            <w:r>
              <w:rPr>
                <w:rFonts w:ascii="Arial" w:cs="Arial" w:eastAsia="Arial" w:hAnsi="Arial"/>
                <w:sz w:val="12"/>
                <w:szCs w:val="12"/>
                <w:b w:val="1"/>
                <w:bCs w:val="1"/>
                <w:color w:val="477157"/>
              </w:rPr>
              <w:t>Option Awards</w:t>
            </w:r>
          </w:p>
        </w:tc>
        <w:tc>
          <w:tcPr>
            <w:tcW w:w="8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2"/>
                <w:szCs w:val="12"/>
                <w:b w:val="1"/>
                <w:bCs w:val="1"/>
                <w:color w:val="477157"/>
              </w:rPr>
              <w:t>Stock Awards</w:t>
            </w:r>
            <w:r>
              <w:rPr>
                <w:rFonts w:ascii="Arial" w:cs="Arial" w:eastAsia="Arial" w:hAnsi="Arial"/>
                <w:sz w:val="18"/>
                <w:szCs w:val="18"/>
                <w:b w:val="1"/>
                <w:bCs w:val="1"/>
                <w:color w:val="477157"/>
                <w:vertAlign w:val="superscript"/>
              </w:rPr>
              <w:t>(1)</w:t>
            </w: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16"/>
        </w:trPr>
        <w:tc>
          <w:tcPr>
            <w:tcW w:w="1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jc w:val="right"/>
              <w:spacing w:after="0" w:line="117" w:lineRule="exact"/>
              <w:rPr>
                <w:sz w:val="20"/>
                <w:szCs w:val="20"/>
                <w:color w:val="auto"/>
              </w:rPr>
            </w:pPr>
            <w:r>
              <w:rPr>
                <w:rFonts w:ascii="Arial" w:cs="Arial" w:eastAsia="Arial" w:hAnsi="Arial"/>
                <w:sz w:val="12"/>
                <w:szCs w:val="12"/>
                <w:b w:val="1"/>
                <w:bCs w:val="1"/>
                <w:color w:val="477157"/>
              </w:rPr>
              <w:t>Equity</w:t>
            </w:r>
          </w:p>
        </w:tc>
        <w:tc>
          <w:tcPr>
            <w:tcW w:w="20" w:type="dxa"/>
            <w:vAlign w:val="bottom"/>
          </w:tcPr>
          <w:p>
            <w:pPr>
              <w:spacing w:after="0"/>
              <w:rPr>
                <w:sz w:val="10"/>
                <w:szCs w:val="10"/>
                <w:color w:val="auto"/>
              </w:rPr>
            </w:pPr>
          </w:p>
        </w:tc>
      </w:tr>
      <w:tr>
        <w:trPr>
          <w:trHeight w:val="135"/>
        </w:trPr>
        <w:tc>
          <w:tcPr>
            <w:tcW w:w="1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Incentive</w:t>
            </w:r>
          </w:p>
        </w:tc>
      </w:tr>
      <w:tr>
        <w:trPr>
          <w:trHeight w:val="135"/>
        </w:trPr>
        <w:tc>
          <w:tcPr>
            <w:tcW w:w="1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jc w:val="right"/>
              <w:ind w:right="132"/>
              <w:spacing w:after="0" w:line="136" w:lineRule="exact"/>
              <w:rPr>
                <w:sz w:val="20"/>
                <w:szCs w:val="20"/>
                <w:color w:val="auto"/>
              </w:rPr>
            </w:pPr>
            <w:r>
              <w:rPr>
                <w:rFonts w:ascii="Arial" w:cs="Arial" w:eastAsia="Arial" w:hAnsi="Arial"/>
                <w:sz w:val="12"/>
                <w:szCs w:val="12"/>
                <w:b w:val="1"/>
                <w:bCs w:val="1"/>
                <w:color w:val="477157"/>
              </w:rPr>
              <w:t>Equity</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Plan</w:t>
            </w:r>
          </w:p>
        </w:tc>
      </w:tr>
      <w:tr>
        <w:trPr>
          <w:trHeight w:val="135"/>
        </w:trPr>
        <w:tc>
          <w:tcPr>
            <w:tcW w:w="1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jc w:val="right"/>
              <w:ind w:right="132"/>
              <w:spacing w:after="0" w:line="136" w:lineRule="exact"/>
              <w:rPr>
                <w:sz w:val="20"/>
                <w:szCs w:val="20"/>
                <w:color w:val="auto"/>
              </w:rPr>
            </w:pPr>
            <w:r>
              <w:rPr>
                <w:rFonts w:ascii="Arial" w:cs="Arial" w:eastAsia="Arial" w:hAnsi="Arial"/>
                <w:sz w:val="12"/>
                <w:szCs w:val="12"/>
                <w:b w:val="1"/>
                <w:bCs w:val="1"/>
                <w:color w:val="477157"/>
              </w:rPr>
              <w:t>Incentive</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Awards:</w:t>
            </w:r>
          </w:p>
        </w:tc>
      </w:tr>
      <w:tr>
        <w:trPr>
          <w:trHeight w:val="135"/>
        </w:trPr>
        <w:tc>
          <w:tcPr>
            <w:tcW w:w="1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jc w:val="right"/>
              <w:ind w:right="132"/>
              <w:spacing w:after="0" w:line="136" w:lineRule="exact"/>
              <w:rPr>
                <w:sz w:val="20"/>
                <w:szCs w:val="20"/>
                <w:color w:val="auto"/>
              </w:rPr>
            </w:pPr>
            <w:r>
              <w:rPr>
                <w:rFonts w:ascii="Arial" w:cs="Arial" w:eastAsia="Arial" w:hAnsi="Arial"/>
                <w:sz w:val="12"/>
                <w:szCs w:val="12"/>
                <w:b w:val="1"/>
                <w:bCs w:val="1"/>
                <w:color w:val="477157"/>
              </w:rPr>
              <w:t>Plan</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Market or</w:t>
            </w:r>
          </w:p>
        </w:tc>
      </w:tr>
      <w:tr>
        <w:trPr>
          <w:trHeight w:val="135"/>
        </w:trPr>
        <w:tc>
          <w:tcPr>
            <w:tcW w:w="1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jc w:val="right"/>
              <w:ind w:right="132"/>
              <w:spacing w:after="0" w:line="136" w:lineRule="exact"/>
              <w:rPr>
                <w:sz w:val="20"/>
                <w:szCs w:val="20"/>
                <w:color w:val="auto"/>
              </w:rPr>
            </w:pPr>
            <w:r>
              <w:rPr>
                <w:rFonts w:ascii="Arial" w:cs="Arial" w:eastAsia="Arial" w:hAnsi="Arial"/>
                <w:sz w:val="12"/>
                <w:szCs w:val="12"/>
                <w:b w:val="1"/>
                <w:bCs w:val="1"/>
                <w:color w:val="477157"/>
              </w:rPr>
              <w:t>Awards:</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Payout</w:t>
            </w:r>
          </w:p>
        </w:tc>
      </w:tr>
      <w:tr>
        <w:trPr>
          <w:trHeight w:val="135"/>
        </w:trPr>
        <w:tc>
          <w:tcPr>
            <w:tcW w:w="1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jc w:val="right"/>
              <w:ind w:right="132"/>
              <w:spacing w:after="0" w:line="136" w:lineRule="exact"/>
              <w:rPr>
                <w:sz w:val="20"/>
                <w:szCs w:val="20"/>
                <w:color w:val="auto"/>
              </w:rPr>
            </w:pPr>
            <w:r>
              <w:rPr>
                <w:rFonts w:ascii="Arial" w:cs="Arial" w:eastAsia="Arial" w:hAnsi="Arial"/>
                <w:sz w:val="12"/>
                <w:szCs w:val="12"/>
                <w:b w:val="1"/>
                <w:bCs w:val="1"/>
                <w:color w:val="477157"/>
              </w:rPr>
              <w:t>Number of</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Value of</w:t>
            </w:r>
          </w:p>
        </w:tc>
      </w:tr>
      <w:tr>
        <w:trPr>
          <w:trHeight w:val="135"/>
        </w:trPr>
        <w:tc>
          <w:tcPr>
            <w:tcW w:w="1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jc w:val="right"/>
              <w:ind w:right="51"/>
              <w:spacing w:after="0" w:line="136" w:lineRule="exact"/>
              <w:rPr>
                <w:sz w:val="20"/>
                <w:szCs w:val="20"/>
                <w:color w:val="auto"/>
              </w:rPr>
            </w:pPr>
            <w:r>
              <w:rPr>
                <w:rFonts w:ascii="Arial" w:cs="Arial" w:eastAsia="Arial" w:hAnsi="Arial"/>
                <w:sz w:val="12"/>
                <w:szCs w:val="12"/>
                <w:b w:val="1"/>
                <w:bCs w:val="1"/>
                <w:color w:val="477157"/>
              </w:rPr>
              <w:t>Market</w:t>
            </w:r>
          </w:p>
        </w:tc>
        <w:tc>
          <w:tcPr>
            <w:tcW w:w="920" w:type="dxa"/>
            <w:vAlign w:val="bottom"/>
          </w:tcPr>
          <w:p>
            <w:pPr>
              <w:jc w:val="right"/>
              <w:ind w:right="132"/>
              <w:spacing w:after="0" w:line="136" w:lineRule="exact"/>
              <w:rPr>
                <w:sz w:val="20"/>
                <w:szCs w:val="20"/>
                <w:color w:val="auto"/>
              </w:rPr>
            </w:pPr>
            <w:r>
              <w:rPr>
                <w:rFonts w:ascii="Arial" w:cs="Arial" w:eastAsia="Arial" w:hAnsi="Arial"/>
                <w:sz w:val="12"/>
                <w:szCs w:val="12"/>
                <w:b w:val="1"/>
                <w:bCs w:val="1"/>
                <w:color w:val="477157"/>
              </w:rPr>
              <w:t>Unearned</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Unearned</w:t>
            </w:r>
          </w:p>
        </w:tc>
      </w:tr>
      <w:tr>
        <w:trPr>
          <w:trHeight w:val="145"/>
        </w:trPr>
        <w:tc>
          <w:tcPr>
            <w:tcW w:w="1820" w:type="dxa"/>
            <w:vAlign w:val="bottom"/>
          </w:tcPr>
          <w:p>
            <w:pPr>
              <w:spacing w:after="0"/>
              <w:rPr>
                <w:sz w:val="12"/>
                <w:szCs w:val="12"/>
                <w:color w:val="auto"/>
              </w:rPr>
            </w:pPr>
          </w:p>
        </w:tc>
        <w:tc>
          <w:tcPr>
            <w:tcW w:w="860" w:type="dxa"/>
            <w:vAlign w:val="bottom"/>
          </w:tcPr>
          <w:p>
            <w:pPr>
              <w:jc w:val="right"/>
              <w:ind w:right="30"/>
              <w:spacing w:after="0"/>
              <w:rPr>
                <w:sz w:val="20"/>
                <w:szCs w:val="20"/>
                <w:color w:val="auto"/>
              </w:rPr>
            </w:pPr>
            <w:r>
              <w:rPr>
                <w:rFonts w:ascii="Arial" w:cs="Arial" w:eastAsia="Arial" w:hAnsi="Arial"/>
                <w:sz w:val="12"/>
                <w:szCs w:val="12"/>
                <w:b w:val="1"/>
                <w:bCs w:val="1"/>
                <w:color w:val="477157"/>
              </w:rPr>
              <w:t>Number of</w:t>
            </w:r>
          </w:p>
        </w:tc>
        <w:tc>
          <w:tcPr>
            <w:tcW w:w="1120" w:type="dxa"/>
            <w:vAlign w:val="bottom"/>
          </w:tcPr>
          <w:p>
            <w:pPr>
              <w:jc w:val="right"/>
              <w:ind w:right="157"/>
              <w:spacing w:after="0"/>
              <w:rPr>
                <w:sz w:val="20"/>
                <w:szCs w:val="20"/>
                <w:color w:val="auto"/>
              </w:rPr>
            </w:pPr>
            <w:r>
              <w:rPr>
                <w:rFonts w:ascii="Arial" w:cs="Arial" w:eastAsia="Arial" w:hAnsi="Arial"/>
                <w:sz w:val="12"/>
                <w:szCs w:val="12"/>
                <w:b w:val="1"/>
                <w:bCs w:val="1"/>
                <w:color w:val="477157"/>
              </w:rPr>
              <w:t>Number of</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30"/>
              <w:spacing w:after="0"/>
              <w:rPr>
                <w:sz w:val="20"/>
                <w:szCs w:val="20"/>
                <w:color w:val="auto"/>
              </w:rPr>
            </w:pPr>
            <w:r>
              <w:rPr>
                <w:rFonts w:ascii="Arial" w:cs="Arial" w:eastAsia="Arial" w:hAnsi="Arial"/>
                <w:sz w:val="12"/>
                <w:szCs w:val="12"/>
                <w:b w:val="1"/>
                <w:bCs w:val="1"/>
                <w:color w:val="477157"/>
              </w:rPr>
              <w:t>Number of</w:t>
            </w:r>
          </w:p>
        </w:tc>
        <w:tc>
          <w:tcPr>
            <w:tcW w:w="840" w:type="dxa"/>
            <w:vAlign w:val="bottom"/>
          </w:tcPr>
          <w:p>
            <w:pPr>
              <w:jc w:val="right"/>
              <w:ind w:right="51"/>
              <w:spacing w:after="0"/>
              <w:rPr>
                <w:sz w:val="20"/>
                <w:szCs w:val="20"/>
                <w:color w:val="auto"/>
              </w:rPr>
            </w:pPr>
            <w:r>
              <w:rPr>
                <w:rFonts w:ascii="Arial" w:cs="Arial" w:eastAsia="Arial" w:hAnsi="Arial"/>
                <w:sz w:val="12"/>
                <w:szCs w:val="12"/>
                <w:b w:val="1"/>
                <w:bCs w:val="1"/>
                <w:color w:val="477157"/>
              </w:rPr>
              <w:t>Value of</w:t>
            </w:r>
          </w:p>
        </w:tc>
        <w:tc>
          <w:tcPr>
            <w:tcW w:w="920" w:type="dxa"/>
            <w:vAlign w:val="bottom"/>
          </w:tcPr>
          <w:p>
            <w:pPr>
              <w:jc w:val="right"/>
              <w:ind w:right="132"/>
              <w:spacing w:after="0"/>
              <w:rPr>
                <w:sz w:val="20"/>
                <w:szCs w:val="20"/>
                <w:color w:val="auto"/>
              </w:rPr>
            </w:pPr>
            <w:r>
              <w:rPr>
                <w:rFonts w:ascii="Arial" w:cs="Arial" w:eastAsia="Arial" w:hAnsi="Arial"/>
                <w:sz w:val="12"/>
                <w:szCs w:val="12"/>
                <w:b w:val="1"/>
                <w:bCs w:val="1"/>
                <w:color w:val="477157"/>
              </w:rPr>
              <w:t>Shares,</w:t>
            </w:r>
          </w:p>
        </w:tc>
        <w:tc>
          <w:tcPr>
            <w:tcW w:w="9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477157"/>
              </w:rPr>
              <w:t>Shares,</w:t>
            </w:r>
          </w:p>
        </w:tc>
      </w:tr>
      <w:tr>
        <w:trPr>
          <w:trHeight w:val="135"/>
        </w:trPr>
        <w:tc>
          <w:tcPr>
            <w:tcW w:w="1820" w:type="dxa"/>
            <w:vAlign w:val="bottom"/>
          </w:tcPr>
          <w:p>
            <w:pPr>
              <w:spacing w:after="0"/>
              <w:rPr>
                <w:sz w:val="11"/>
                <w:szCs w:val="11"/>
                <w:color w:val="auto"/>
              </w:rPr>
            </w:pPr>
          </w:p>
        </w:tc>
        <w:tc>
          <w:tcPr>
            <w:tcW w:w="86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Securities</w:t>
            </w:r>
          </w:p>
        </w:tc>
        <w:tc>
          <w:tcPr>
            <w:tcW w:w="1120" w:type="dxa"/>
            <w:vAlign w:val="bottom"/>
          </w:tcPr>
          <w:p>
            <w:pPr>
              <w:jc w:val="right"/>
              <w:ind w:right="157"/>
              <w:spacing w:after="0" w:line="136" w:lineRule="exact"/>
              <w:rPr>
                <w:sz w:val="20"/>
                <w:szCs w:val="20"/>
                <w:color w:val="auto"/>
              </w:rPr>
            </w:pPr>
            <w:r>
              <w:rPr>
                <w:rFonts w:ascii="Arial" w:cs="Arial" w:eastAsia="Arial" w:hAnsi="Arial"/>
                <w:sz w:val="12"/>
                <w:szCs w:val="12"/>
                <w:b w:val="1"/>
                <w:bCs w:val="1"/>
                <w:color w:val="477157"/>
              </w:rPr>
              <w:t>Securities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Shares or</w:t>
            </w:r>
          </w:p>
        </w:tc>
        <w:tc>
          <w:tcPr>
            <w:tcW w:w="840" w:type="dxa"/>
            <w:vAlign w:val="bottom"/>
          </w:tcPr>
          <w:p>
            <w:pPr>
              <w:jc w:val="right"/>
              <w:ind w:right="51"/>
              <w:spacing w:after="0" w:line="136" w:lineRule="exact"/>
              <w:rPr>
                <w:sz w:val="20"/>
                <w:szCs w:val="20"/>
                <w:color w:val="auto"/>
              </w:rPr>
            </w:pPr>
            <w:r>
              <w:rPr>
                <w:rFonts w:ascii="Arial" w:cs="Arial" w:eastAsia="Arial" w:hAnsi="Arial"/>
                <w:sz w:val="12"/>
                <w:szCs w:val="12"/>
                <w:b w:val="1"/>
                <w:bCs w:val="1"/>
                <w:color w:val="477157"/>
              </w:rPr>
              <w:t>Shares or</w:t>
            </w:r>
          </w:p>
        </w:tc>
        <w:tc>
          <w:tcPr>
            <w:tcW w:w="920" w:type="dxa"/>
            <w:vAlign w:val="bottom"/>
          </w:tcPr>
          <w:p>
            <w:pPr>
              <w:jc w:val="right"/>
              <w:ind w:right="132"/>
              <w:spacing w:after="0" w:line="136" w:lineRule="exact"/>
              <w:rPr>
                <w:sz w:val="20"/>
                <w:szCs w:val="20"/>
                <w:color w:val="auto"/>
              </w:rPr>
            </w:pPr>
            <w:r>
              <w:rPr>
                <w:rFonts w:ascii="Arial" w:cs="Arial" w:eastAsia="Arial" w:hAnsi="Arial"/>
                <w:sz w:val="12"/>
                <w:szCs w:val="12"/>
                <w:b w:val="1"/>
                <w:bCs w:val="1"/>
                <w:color w:val="477157"/>
              </w:rPr>
              <w:t>Units or</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Units or</w:t>
            </w:r>
          </w:p>
        </w:tc>
      </w:tr>
      <w:tr>
        <w:trPr>
          <w:trHeight w:val="135"/>
        </w:trPr>
        <w:tc>
          <w:tcPr>
            <w:tcW w:w="1820" w:type="dxa"/>
            <w:vAlign w:val="bottom"/>
          </w:tcPr>
          <w:p>
            <w:pPr>
              <w:spacing w:after="0"/>
              <w:rPr>
                <w:sz w:val="11"/>
                <w:szCs w:val="11"/>
                <w:color w:val="auto"/>
              </w:rPr>
            </w:pPr>
          </w:p>
        </w:tc>
        <w:tc>
          <w:tcPr>
            <w:tcW w:w="86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Underlying</w:t>
            </w:r>
          </w:p>
        </w:tc>
        <w:tc>
          <w:tcPr>
            <w:tcW w:w="1120" w:type="dxa"/>
            <w:vAlign w:val="bottom"/>
          </w:tcPr>
          <w:p>
            <w:pPr>
              <w:jc w:val="right"/>
              <w:ind w:right="157"/>
              <w:spacing w:after="0" w:line="136" w:lineRule="exact"/>
              <w:rPr>
                <w:sz w:val="20"/>
                <w:szCs w:val="20"/>
                <w:color w:val="auto"/>
              </w:rPr>
            </w:pPr>
            <w:r>
              <w:rPr>
                <w:rFonts w:ascii="Arial" w:cs="Arial" w:eastAsia="Arial" w:hAnsi="Arial"/>
                <w:sz w:val="12"/>
                <w:szCs w:val="12"/>
                <w:b w:val="1"/>
                <w:bCs w:val="1"/>
                <w:color w:val="477157"/>
              </w:rPr>
              <w:t>Underlying</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Units of</w:t>
            </w:r>
          </w:p>
        </w:tc>
        <w:tc>
          <w:tcPr>
            <w:tcW w:w="840" w:type="dxa"/>
            <w:vAlign w:val="bottom"/>
          </w:tcPr>
          <w:p>
            <w:pPr>
              <w:jc w:val="right"/>
              <w:ind w:right="51"/>
              <w:spacing w:after="0" w:line="136" w:lineRule="exact"/>
              <w:rPr>
                <w:sz w:val="20"/>
                <w:szCs w:val="20"/>
                <w:color w:val="auto"/>
              </w:rPr>
            </w:pPr>
            <w:r>
              <w:rPr>
                <w:rFonts w:ascii="Arial" w:cs="Arial" w:eastAsia="Arial" w:hAnsi="Arial"/>
                <w:sz w:val="12"/>
                <w:szCs w:val="12"/>
                <w:b w:val="1"/>
                <w:bCs w:val="1"/>
                <w:color w:val="477157"/>
              </w:rPr>
              <w:t>Units of</w:t>
            </w:r>
          </w:p>
        </w:tc>
        <w:tc>
          <w:tcPr>
            <w:tcW w:w="920" w:type="dxa"/>
            <w:vAlign w:val="bottom"/>
          </w:tcPr>
          <w:p>
            <w:pPr>
              <w:jc w:val="right"/>
              <w:ind w:right="132"/>
              <w:spacing w:after="0" w:line="136" w:lineRule="exact"/>
              <w:rPr>
                <w:sz w:val="20"/>
                <w:szCs w:val="20"/>
                <w:color w:val="auto"/>
              </w:rPr>
            </w:pPr>
            <w:r>
              <w:rPr>
                <w:rFonts w:ascii="Arial" w:cs="Arial" w:eastAsia="Arial" w:hAnsi="Arial"/>
                <w:sz w:val="12"/>
                <w:szCs w:val="12"/>
                <w:b w:val="1"/>
                <w:bCs w:val="1"/>
                <w:color w:val="477157"/>
              </w:rPr>
              <w:t>Other</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Other</w:t>
            </w:r>
          </w:p>
        </w:tc>
      </w:tr>
      <w:tr>
        <w:trPr>
          <w:trHeight w:val="135"/>
        </w:trPr>
        <w:tc>
          <w:tcPr>
            <w:tcW w:w="1820" w:type="dxa"/>
            <w:vAlign w:val="bottom"/>
          </w:tcPr>
          <w:p>
            <w:pPr>
              <w:spacing w:after="0"/>
              <w:rPr>
                <w:sz w:val="11"/>
                <w:szCs w:val="11"/>
                <w:color w:val="auto"/>
              </w:rPr>
            </w:pPr>
          </w:p>
        </w:tc>
        <w:tc>
          <w:tcPr>
            <w:tcW w:w="86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Unexercised</w:t>
            </w:r>
          </w:p>
        </w:tc>
        <w:tc>
          <w:tcPr>
            <w:tcW w:w="1120" w:type="dxa"/>
            <w:vAlign w:val="bottom"/>
          </w:tcPr>
          <w:p>
            <w:pPr>
              <w:jc w:val="right"/>
              <w:ind w:right="157"/>
              <w:spacing w:after="0" w:line="136" w:lineRule="exact"/>
              <w:rPr>
                <w:sz w:val="20"/>
                <w:szCs w:val="20"/>
                <w:color w:val="auto"/>
              </w:rPr>
            </w:pPr>
            <w:r>
              <w:rPr>
                <w:rFonts w:ascii="Arial" w:cs="Arial" w:eastAsia="Arial" w:hAnsi="Arial"/>
                <w:sz w:val="12"/>
                <w:szCs w:val="12"/>
                <w:b w:val="1"/>
                <w:bCs w:val="1"/>
                <w:color w:val="477157"/>
              </w:rPr>
              <w:t>Unexercised</w:t>
            </w:r>
          </w:p>
        </w:tc>
        <w:tc>
          <w:tcPr>
            <w:tcW w:w="720" w:type="dxa"/>
            <w:vAlign w:val="bottom"/>
          </w:tcPr>
          <w:p>
            <w:pPr>
              <w:jc w:val="right"/>
              <w:ind w:right="109"/>
              <w:spacing w:after="0" w:line="136" w:lineRule="exact"/>
              <w:rPr>
                <w:sz w:val="20"/>
                <w:szCs w:val="20"/>
                <w:color w:val="auto"/>
              </w:rPr>
            </w:pPr>
            <w:r>
              <w:rPr>
                <w:rFonts w:ascii="Arial" w:cs="Arial" w:eastAsia="Arial" w:hAnsi="Arial"/>
                <w:sz w:val="12"/>
                <w:szCs w:val="12"/>
                <w:b w:val="1"/>
                <w:bCs w:val="1"/>
                <w:color w:val="477157"/>
              </w:rPr>
              <w:t>Option</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Stock</w:t>
            </w:r>
          </w:p>
        </w:tc>
        <w:tc>
          <w:tcPr>
            <w:tcW w:w="840" w:type="dxa"/>
            <w:vAlign w:val="bottom"/>
          </w:tcPr>
          <w:p>
            <w:pPr>
              <w:jc w:val="right"/>
              <w:ind w:right="51"/>
              <w:spacing w:after="0" w:line="136" w:lineRule="exact"/>
              <w:rPr>
                <w:sz w:val="20"/>
                <w:szCs w:val="20"/>
                <w:color w:val="auto"/>
              </w:rPr>
            </w:pPr>
            <w:r>
              <w:rPr>
                <w:rFonts w:ascii="Arial" w:cs="Arial" w:eastAsia="Arial" w:hAnsi="Arial"/>
                <w:sz w:val="12"/>
                <w:szCs w:val="12"/>
                <w:b w:val="1"/>
                <w:bCs w:val="1"/>
                <w:color w:val="477157"/>
              </w:rPr>
              <w:t>Stock</w:t>
            </w:r>
          </w:p>
        </w:tc>
        <w:tc>
          <w:tcPr>
            <w:tcW w:w="920" w:type="dxa"/>
            <w:vAlign w:val="bottom"/>
          </w:tcPr>
          <w:p>
            <w:pPr>
              <w:jc w:val="right"/>
              <w:ind w:right="132"/>
              <w:spacing w:after="0" w:line="136" w:lineRule="exact"/>
              <w:rPr>
                <w:sz w:val="20"/>
                <w:szCs w:val="20"/>
                <w:color w:val="auto"/>
              </w:rPr>
            </w:pPr>
            <w:r>
              <w:rPr>
                <w:rFonts w:ascii="Arial" w:cs="Arial" w:eastAsia="Arial" w:hAnsi="Arial"/>
                <w:sz w:val="12"/>
                <w:szCs w:val="12"/>
                <w:b w:val="1"/>
                <w:bCs w:val="1"/>
                <w:color w:val="477157"/>
              </w:rPr>
              <w:t>Rights</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Rights</w:t>
            </w:r>
          </w:p>
        </w:tc>
      </w:tr>
      <w:tr>
        <w:trPr>
          <w:trHeight w:val="135"/>
        </w:trPr>
        <w:tc>
          <w:tcPr>
            <w:tcW w:w="1820" w:type="dxa"/>
            <w:vAlign w:val="bottom"/>
          </w:tcPr>
          <w:p>
            <w:pPr>
              <w:spacing w:after="0"/>
              <w:rPr>
                <w:sz w:val="11"/>
                <w:szCs w:val="11"/>
                <w:color w:val="auto"/>
              </w:rPr>
            </w:pPr>
          </w:p>
        </w:tc>
        <w:tc>
          <w:tcPr>
            <w:tcW w:w="86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Options</w:t>
            </w:r>
          </w:p>
        </w:tc>
        <w:tc>
          <w:tcPr>
            <w:tcW w:w="1120" w:type="dxa"/>
            <w:vAlign w:val="bottom"/>
          </w:tcPr>
          <w:p>
            <w:pPr>
              <w:jc w:val="right"/>
              <w:ind w:right="157"/>
              <w:spacing w:after="0" w:line="136" w:lineRule="exact"/>
              <w:rPr>
                <w:sz w:val="20"/>
                <w:szCs w:val="20"/>
                <w:color w:val="auto"/>
              </w:rPr>
            </w:pPr>
            <w:r>
              <w:rPr>
                <w:rFonts w:ascii="Arial" w:cs="Arial" w:eastAsia="Arial" w:hAnsi="Arial"/>
                <w:sz w:val="12"/>
                <w:szCs w:val="12"/>
                <w:b w:val="1"/>
                <w:bCs w:val="1"/>
                <w:color w:val="477157"/>
              </w:rPr>
              <w:t>Options</w:t>
            </w:r>
          </w:p>
        </w:tc>
        <w:tc>
          <w:tcPr>
            <w:tcW w:w="720" w:type="dxa"/>
            <w:vAlign w:val="bottom"/>
          </w:tcPr>
          <w:p>
            <w:pPr>
              <w:jc w:val="right"/>
              <w:ind w:right="109"/>
              <w:spacing w:after="0" w:line="136" w:lineRule="exact"/>
              <w:rPr>
                <w:sz w:val="20"/>
                <w:szCs w:val="20"/>
                <w:color w:val="auto"/>
              </w:rPr>
            </w:pPr>
            <w:r>
              <w:rPr>
                <w:rFonts w:ascii="Arial" w:cs="Arial" w:eastAsia="Arial" w:hAnsi="Arial"/>
                <w:sz w:val="12"/>
                <w:szCs w:val="12"/>
                <w:b w:val="1"/>
                <w:bCs w:val="1"/>
                <w:color w:val="477157"/>
              </w:rPr>
              <w:t>Exercise</w:t>
            </w:r>
          </w:p>
        </w:tc>
        <w:tc>
          <w:tcPr>
            <w:tcW w:w="980" w:type="dxa"/>
            <w:vAlign w:val="bottom"/>
            <w:gridSpan w:val="2"/>
          </w:tcPr>
          <w:p>
            <w:pPr>
              <w:jc w:val="right"/>
              <w:ind w:right="140"/>
              <w:spacing w:after="0" w:line="136" w:lineRule="exact"/>
              <w:rPr>
                <w:sz w:val="20"/>
                <w:szCs w:val="20"/>
                <w:color w:val="auto"/>
              </w:rPr>
            </w:pPr>
            <w:r>
              <w:rPr>
                <w:rFonts w:ascii="Arial" w:cs="Arial" w:eastAsia="Arial" w:hAnsi="Arial"/>
                <w:sz w:val="12"/>
                <w:szCs w:val="12"/>
                <w:b w:val="1"/>
                <w:bCs w:val="1"/>
                <w:color w:val="477157"/>
              </w:rPr>
              <w:t>Option</w:t>
            </w:r>
          </w:p>
        </w:tc>
        <w:tc>
          <w:tcPr>
            <w:tcW w:w="80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That Have</w:t>
            </w:r>
          </w:p>
        </w:tc>
        <w:tc>
          <w:tcPr>
            <w:tcW w:w="840" w:type="dxa"/>
            <w:vAlign w:val="bottom"/>
          </w:tcPr>
          <w:p>
            <w:pPr>
              <w:jc w:val="right"/>
              <w:ind w:right="51"/>
              <w:spacing w:after="0" w:line="136" w:lineRule="exact"/>
              <w:rPr>
                <w:sz w:val="20"/>
                <w:szCs w:val="20"/>
                <w:color w:val="auto"/>
              </w:rPr>
            </w:pPr>
            <w:r>
              <w:rPr>
                <w:rFonts w:ascii="Arial" w:cs="Arial" w:eastAsia="Arial" w:hAnsi="Arial"/>
                <w:sz w:val="12"/>
                <w:szCs w:val="12"/>
                <w:b w:val="1"/>
                <w:bCs w:val="1"/>
                <w:color w:val="477157"/>
              </w:rPr>
              <w:t>That Have</w:t>
            </w:r>
          </w:p>
        </w:tc>
        <w:tc>
          <w:tcPr>
            <w:tcW w:w="920" w:type="dxa"/>
            <w:vAlign w:val="bottom"/>
          </w:tcPr>
          <w:p>
            <w:pPr>
              <w:jc w:val="right"/>
              <w:ind w:right="132"/>
              <w:spacing w:after="0" w:line="136" w:lineRule="exact"/>
              <w:rPr>
                <w:sz w:val="20"/>
                <w:szCs w:val="20"/>
                <w:color w:val="auto"/>
              </w:rPr>
            </w:pPr>
            <w:r>
              <w:rPr>
                <w:rFonts w:ascii="Arial" w:cs="Arial" w:eastAsia="Arial" w:hAnsi="Arial"/>
                <w:sz w:val="12"/>
                <w:szCs w:val="12"/>
                <w:b w:val="1"/>
                <w:bCs w:val="1"/>
                <w:color w:val="477157"/>
              </w:rPr>
              <w:t>That Have</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That Have</w:t>
            </w:r>
          </w:p>
        </w:tc>
      </w:tr>
      <w:tr>
        <w:trPr>
          <w:trHeight w:val="135"/>
        </w:trPr>
        <w:tc>
          <w:tcPr>
            <w:tcW w:w="1820" w:type="dxa"/>
            <w:vAlign w:val="bottom"/>
          </w:tcPr>
          <w:p>
            <w:pPr>
              <w:spacing w:after="0"/>
              <w:rPr>
                <w:sz w:val="11"/>
                <w:szCs w:val="11"/>
                <w:color w:val="auto"/>
              </w:rPr>
            </w:pPr>
          </w:p>
        </w:tc>
        <w:tc>
          <w:tcPr>
            <w:tcW w:w="86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Exercisable</w:t>
            </w:r>
          </w:p>
        </w:tc>
        <w:tc>
          <w:tcPr>
            <w:tcW w:w="1120" w:type="dxa"/>
            <w:vAlign w:val="bottom"/>
          </w:tcPr>
          <w:p>
            <w:pPr>
              <w:jc w:val="right"/>
              <w:ind w:right="157"/>
              <w:spacing w:after="0" w:line="136" w:lineRule="exact"/>
              <w:rPr>
                <w:sz w:val="20"/>
                <w:szCs w:val="20"/>
                <w:color w:val="auto"/>
              </w:rPr>
            </w:pPr>
            <w:r>
              <w:rPr>
                <w:rFonts w:ascii="Arial" w:cs="Arial" w:eastAsia="Arial" w:hAnsi="Arial"/>
                <w:sz w:val="12"/>
                <w:szCs w:val="12"/>
                <w:b w:val="1"/>
                <w:bCs w:val="1"/>
                <w:color w:val="477157"/>
              </w:rPr>
              <w:t>Unexercisable</w:t>
            </w:r>
          </w:p>
        </w:tc>
        <w:tc>
          <w:tcPr>
            <w:tcW w:w="720" w:type="dxa"/>
            <w:vAlign w:val="bottom"/>
          </w:tcPr>
          <w:p>
            <w:pPr>
              <w:jc w:val="right"/>
              <w:ind w:right="109"/>
              <w:spacing w:after="0" w:line="136" w:lineRule="exact"/>
              <w:rPr>
                <w:sz w:val="20"/>
                <w:szCs w:val="20"/>
                <w:color w:val="auto"/>
              </w:rPr>
            </w:pPr>
            <w:r>
              <w:rPr>
                <w:rFonts w:ascii="Arial" w:cs="Arial" w:eastAsia="Arial" w:hAnsi="Arial"/>
                <w:sz w:val="12"/>
                <w:szCs w:val="12"/>
                <w:b w:val="1"/>
                <w:bCs w:val="1"/>
                <w:color w:val="477157"/>
              </w:rPr>
              <w:t>Price</w:t>
            </w:r>
          </w:p>
        </w:tc>
        <w:tc>
          <w:tcPr>
            <w:tcW w:w="980" w:type="dxa"/>
            <w:vAlign w:val="bottom"/>
            <w:gridSpan w:val="2"/>
          </w:tcPr>
          <w:p>
            <w:pPr>
              <w:jc w:val="right"/>
              <w:ind w:right="140"/>
              <w:spacing w:after="0" w:line="136" w:lineRule="exact"/>
              <w:rPr>
                <w:sz w:val="20"/>
                <w:szCs w:val="20"/>
                <w:color w:val="auto"/>
              </w:rPr>
            </w:pPr>
            <w:r>
              <w:rPr>
                <w:rFonts w:ascii="Arial" w:cs="Arial" w:eastAsia="Arial" w:hAnsi="Arial"/>
                <w:sz w:val="12"/>
                <w:szCs w:val="12"/>
                <w:b w:val="1"/>
                <w:bCs w:val="1"/>
                <w:color w:val="477157"/>
              </w:rPr>
              <w:t>Expiration</w:t>
            </w:r>
          </w:p>
        </w:tc>
        <w:tc>
          <w:tcPr>
            <w:tcW w:w="800" w:type="dxa"/>
            <w:vAlign w:val="bottom"/>
          </w:tcPr>
          <w:p>
            <w:pPr>
              <w:jc w:val="right"/>
              <w:ind w:right="30"/>
              <w:spacing w:after="0" w:line="136" w:lineRule="exact"/>
              <w:rPr>
                <w:sz w:val="20"/>
                <w:szCs w:val="20"/>
                <w:color w:val="auto"/>
              </w:rPr>
            </w:pPr>
            <w:r>
              <w:rPr>
                <w:rFonts w:ascii="Arial" w:cs="Arial" w:eastAsia="Arial" w:hAnsi="Arial"/>
                <w:sz w:val="12"/>
                <w:szCs w:val="12"/>
                <w:b w:val="1"/>
                <w:bCs w:val="1"/>
                <w:color w:val="477157"/>
              </w:rPr>
              <w:t>Not Vested</w:t>
            </w:r>
          </w:p>
        </w:tc>
        <w:tc>
          <w:tcPr>
            <w:tcW w:w="840" w:type="dxa"/>
            <w:vAlign w:val="bottom"/>
          </w:tcPr>
          <w:p>
            <w:pPr>
              <w:jc w:val="right"/>
              <w:ind w:right="51"/>
              <w:spacing w:after="0" w:line="136" w:lineRule="exact"/>
              <w:rPr>
                <w:sz w:val="20"/>
                <w:szCs w:val="20"/>
                <w:color w:val="auto"/>
              </w:rPr>
            </w:pPr>
            <w:r>
              <w:rPr>
                <w:rFonts w:ascii="Arial" w:cs="Arial" w:eastAsia="Arial" w:hAnsi="Arial"/>
                <w:sz w:val="12"/>
                <w:szCs w:val="12"/>
                <w:b w:val="1"/>
                <w:bCs w:val="1"/>
                <w:color w:val="477157"/>
              </w:rPr>
              <w:t>Not Vested</w:t>
            </w:r>
          </w:p>
        </w:tc>
        <w:tc>
          <w:tcPr>
            <w:tcW w:w="920" w:type="dxa"/>
            <w:vAlign w:val="bottom"/>
          </w:tcPr>
          <w:p>
            <w:pPr>
              <w:jc w:val="right"/>
              <w:ind w:right="132"/>
              <w:spacing w:after="0" w:line="136" w:lineRule="exact"/>
              <w:rPr>
                <w:sz w:val="20"/>
                <w:szCs w:val="20"/>
                <w:color w:val="auto"/>
              </w:rPr>
            </w:pPr>
            <w:r>
              <w:rPr>
                <w:rFonts w:ascii="Arial" w:cs="Arial" w:eastAsia="Arial" w:hAnsi="Arial"/>
                <w:sz w:val="12"/>
                <w:szCs w:val="12"/>
                <w:b w:val="1"/>
                <w:bCs w:val="1"/>
                <w:color w:val="477157"/>
              </w:rPr>
              <w:t>Not Vested</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b w:val="1"/>
                <w:bCs w:val="1"/>
                <w:color w:val="477157"/>
              </w:rPr>
              <w:t>Not Vested</w:t>
            </w:r>
          </w:p>
        </w:tc>
      </w:tr>
      <w:tr>
        <w:trPr>
          <w:trHeight w:val="158"/>
        </w:trPr>
        <w:tc>
          <w:tcPr>
            <w:tcW w:w="182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w:t>
            </w:r>
          </w:p>
        </w:tc>
        <w:tc>
          <w:tcPr>
            <w:tcW w:w="860" w:type="dxa"/>
            <w:vAlign w:val="bottom"/>
            <w:tcBorders>
              <w:bottom w:val="single" w:sz="8" w:color="477157"/>
            </w:tcBorders>
          </w:tcPr>
          <w:p>
            <w:pPr>
              <w:jc w:val="right"/>
              <w:ind w:right="30"/>
              <w:spacing w:after="0" w:line="157"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(2)</w:t>
            </w:r>
          </w:p>
        </w:tc>
        <w:tc>
          <w:tcPr>
            <w:tcW w:w="1120" w:type="dxa"/>
            <w:vAlign w:val="bottom"/>
            <w:tcBorders>
              <w:bottom w:val="single" w:sz="8" w:color="477157"/>
            </w:tcBorders>
          </w:tcPr>
          <w:p>
            <w:pPr>
              <w:jc w:val="right"/>
              <w:ind w:right="157"/>
              <w:spacing w:after="0"/>
              <w:rPr>
                <w:sz w:val="20"/>
                <w:szCs w:val="20"/>
                <w:color w:val="auto"/>
              </w:rPr>
            </w:pPr>
            <w:r>
              <w:rPr>
                <w:rFonts w:ascii="Arial" w:cs="Arial" w:eastAsia="Arial" w:hAnsi="Arial"/>
                <w:sz w:val="12"/>
                <w:szCs w:val="12"/>
                <w:b w:val="1"/>
                <w:bCs w:val="1"/>
                <w:color w:val="477157"/>
              </w:rPr>
              <w:t>(#)</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2"/>
                <w:szCs w:val="12"/>
                <w:b w:val="1"/>
                <w:bCs w:val="1"/>
                <w:color w:val="477157"/>
              </w:rPr>
              <w:t>($)</w:t>
            </w:r>
          </w:p>
        </w:tc>
        <w:tc>
          <w:tcPr>
            <w:tcW w:w="980" w:type="dxa"/>
            <w:vAlign w:val="bottom"/>
            <w:tcBorders>
              <w:bottom w:val="single" w:sz="8" w:color="477157"/>
            </w:tcBorders>
            <w:gridSpan w:val="2"/>
          </w:tcPr>
          <w:p>
            <w:pPr>
              <w:jc w:val="right"/>
              <w:ind w:right="140"/>
              <w:spacing w:after="0"/>
              <w:rPr>
                <w:sz w:val="20"/>
                <w:szCs w:val="20"/>
                <w:color w:val="auto"/>
              </w:rPr>
            </w:pPr>
            <w:r>
              <w:rPr>
                <w:rFonts w:ascii="Arial" w:cs="Arial" w:eastAsia="Arial" w:hAnsi="Arial"/>
                <w:sz w:val="12"/>
                <w:szCs w:val="12"/>
                <w:b w:val="1"/>
                <w:bCs w:val="1"/>
                <w:color w:val="477157"/>
              </w:rPr>
              <w:t>Date</w:t>
            </w:r>
          </w:p>
        </w:tc>
        <w:tc>
          <w:tcPr>
            <w:tcW w:w="800" w:type="dxa"/>
            <w:vAlign w:val="bottom"/>
            <w:tcBorders>
              <w:bottom w:val="single" w:sz="8" w:color="477157"/>
            </w:tcBorders>
          </w:tcPr>
          <w:p>
            <w:pPr>
              <w:jc w:val="right"/>
              <w:ind w:right="30"/>
              <w:spacing w:after="0" w:line="157"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(6)</w:t>
            </w:r>
          </w:p>
        </w:tc>
        <w:tc>
          <w:tcPr>
            <w:tcW w:w="840" w:type="dxa"/>
            <w:vAlign w:val="bottom"/>
            <w:tcBorders>
              <w:bottom w:val="single" w:sz="8" w:color="477157"/>
            </w:tcBorders>
          </w:tcPr>
          <w:p>
            <w:pPr>
              <w:jc w:val="right"/>
              <w:ind w:right="51"/>
              <w:spacing w:after="0" w:line="157"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(6)</w:t>
            </w:r>
          </w:p>
        </w:tc>
        <w:tc>
          <w:tcPr>
            <w:tcW w:w="920" w:type="dxa"/>
            <w:vAlign w:val="bottom"/>
            <w:tcBorders>
              <w:bottom w:val="single" w:sz="8" w:color="477157"/>
            </w:tcBorders>
          </w:tcPr>
          <w:p>
            <w:pPr>
              <w:jc w:val="right"/>
              <w:ind w:right="132"/>
              <w:spacing w:after="0" w:line="157"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(7)</w:t>
            </w:r>
          </w:p>
        </w:tc>
        <w:tc>
          <w:tcPr>
            <w:tcW w:w="920" w:type="dxa"/>
            <w:vAlign w:val="bottom"/>
            <w:tcBorders>
              <w:bottom w:val="single" w:sz="8" w:color="477157"/>
            </w:tcBorders>
          </w:tcPr>
          <w:p>
            <w:pPr>
              <w:jc w:val="right"/>
              <w:spacing w:after="0" w:line="157" w:lineRule="exact"/>
              <w:rPr>
                <w:sz w:val="20"/>
                <w:szCs w:val="20"/>
                <w:color w:val="auto"/>
              </w:rPr>
            </w:pPr>
            <w:r>
              <w:rPr>
                <w:rFonts w:ascii="Arial" w:cs="Arial" w:eastAsia="Arial" w:hAnsi="Arial"/>
                <w:sz w:val="12"/>
                <w:szCs w:val="12"/>
                <w:b w:val="1"/>
                <w:bCs w:val="1"/>
                <w:color w:val="477157"/>
              </w:rPr>
              <w:t>($)</w:t>
            </w:r>
            <w:r>
              <w:rPr>
                <w:rFonts w:ascii="Arial" w:cs="Arial" w:eastAsia="Arial" w:hAnsi="Arial"/>
                <w:sz w:val="18"/>
                <w:szCs w:val="18"/>
                <w:b w:val="1"/>
                <w:bCs w:val="1"/>
                <w:color w:val="477157"/>
                <w:vertAlign w:val="superscript"/>
              </w:rPr>
              <w:t>(7)</w:t>
            </w:r>
          </w:p>
        </w:tc>
        <w:tc>
          <w:tcPr>
            <w:tcW w:w="20" w:type="dxa"/>
            <w:vAlign w:val="bottom"/>
          </w:tcPr>
          <w:p>
            <w:pPr>
              <w:spacing w:after="0"/>
              <w:rPr>
                <w:sz w:val="13"/>
                <w:szCs w:val="13"/>
                <w:color w:val="auto"/>
              </w:rPr>
            </w:pPr>
          </w:p>
        </w:tc>
      </w:tr>
      <w:tr>
        <w:trPr>
          <w:trHeight w:val="160"/>
        </w:trPr>
        <w:tc>
          <w:tcPr>
            <w:tcW w:w="18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James C. Fish, Jr.</w:t>
            </w:r>
          </w:p>
        </w:tc>
        <w:tc>
          <w:tcPr>
            <w:tcW w:w="860" w:type="dxa"/>
            <w:vAlign w:val="bottom"/>
            <w:tcBorders>
              <w:bottom w:val="single" w:sz="8" w:color="477157"/>
            </w:tcBorders>
          </w:tcPr>
          <w:p>
            <w:pPr>
              <w:spacing w:after="0"/>
              <w:rPr>
                <w:sz w:val="13"/>
                <w:szCs w:val="13"/>
                <w:color w:val="auto"/>
              </w:rPr>
            </w:pPr>
          </w:p>
        </w:tc>
        <w:tc>
          <w:tcPr>
            <w:tcW w:w="1120" w:type="dxa"/>
            <w:vAlign w:val="bottom"/>
            <w:tcBorders>
              <w:bottom w:val="single" w:sz="8" w:color="477157"/>
            </w:tcBorders>
          </w:tcPr>
          <w:p>
            <w:pPr>
              <w:spacing w:after="0"/>
              <w:rPr>
                <w:sz w:val="13"/>
                <w:szCs w:val="13"/>
                <w:color w:val="auto"/>
              </w:rPr>
            </w:pPr>
          </w:p>
        </w:tc>
        <w:tc>
          <w:tcPr>
            <w:tcW w:w="720" w:type="dxa"/>
            <w:vAlign w:val="bottom"/>
            <w:tcBorders>
              <w:bottom w:val="single" w:sz="8" w:color="477157"/>
            </w:tcBorders>
          </w:tcPr>
          <w:p>
            <w:pPr>
              <w:spacing w:after="0"/>
              <w:rPr>
                <w:sz w:val="13"/>
                <w:szCs w:val="13"/>
                <w:color w:val="auto"/>
              </w:rPr>
            </w:pPr>
          </w:p>
        </w:tc>
        <w:tc>
          <w:tcPr>
            <w:tcW w:w="840" w:type="dxa"/>
            <w:vAlign w:val="bottom"/>
            <w:tcBorders>
              <w:bottom w:val="single" w:sz="8" w:color="477157"/>
            </w:tcBorders>
          </w:tcPr>
          <w:p>
            <w:pPr>
              <w:spacing w:after="0"/>
              <w:rPr>
                <w:sz w:val="13"/>
                <w:szCs w:val="13"/>
                <w:color w:val="auto"/>
              </w:rPr>
            </w:pPr>
          </w:p>
        </w:tc>
        <w:tc>
          <w:tcPr>
            <w:tcW w:w="140" w:type="dxa"/>
            <w:vAlign w:val="bottom"/>
            <w:tcBorders>
              <w:bottom w:val="single" w:sz="8" w:color="477157"/>
            </w:tcBorders>
          </w:tcPr>
          <w:p>
            <w:pPr>
              <w:spacing w:after="0"/>
              <w:rPr>
                <w:sz w:val="13"/>
                <w:szCs w:val="13"/>
                <w:color w:val="auto"/>
              </w:rPr>
            </w:pPr>
          </w:p>
        </w:tc>
        <w:tc>
          <w:tcPr>
            <w:tcW w:w="800" w:type="dxa"/>
            <w:vAlign w:val="bottom"/>
            <w:tcBorders>
              <w:bottom w:val="single" w:sz="8" w:color="477157"/>
            </w:tcBorders>
          </w:tcPr>
          <w:p>
            <w:pPr>
              <w:spacing w:after="0"/>
              <w:rPr>
                <w:sz w:val="13"/>
                <w:szCs w:val="13"/>
                <w:color w:val="auto"/>
              </w:rPr>
            </w:pPr>
          </w:p>
        </w:tc>
        <w:tc>
          <w:tcPr>
            <w:tcW w:w="840" w:type="dxa"/>
            <w:vAlign w:val="bottom"/>
            <w:tcBorders>
              <w:bottom w:val="single" w:sz="8" w:color="477157"/>
            </w:tcBorders>
          </w:tcPr>
          <w:p>
            <w:pPr>
              <w:spacing w:after="0"/>
              <w:rPr>
                <w:sz w:val="13"/>
                <w:szCs w:val="13"/>
                <w:color w:val="auto"/>
              </w:rPr>
            </w:pPr>
          </w:p>
        </w:tc>
        <w:tc>
          <w:tcPr>
            <w:tcW w:w="920" w:type="dxa"/>
            <w:vAlign w:val="bottom"/>
            <w:tcBorders>
              <w:bottom w:val="single" w:sz="8" w:color="477157"/>
            </w:tcBorders>
          </w:tcPr>
          <w:p>
            <w:pPr>
              <w:spacing w:after="0"/>
              <w:rPr>
                <w:sz w:val="13"/>
                <w:szCs w:val="13"/>
                <w:color w:val="auto"/>
              </w:rPr>
            </w:pPr>
          </w:p>
        </w:tc>
        <w:tc>
          <w:tcPr>
            <w:tcW w:w="920" w:type="dxa"/>
            <w:vAlign w:val="bottom"/>
            <w:tcBorders>
              <w:bottom w:val="single" w:sz="8" w:color="477157"/>
            </w:tcBorders>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114,566</w:t>
            </w:r>
            <w:r>
              <w:rPr>
                <w:rFonts w:ascii="Arial" w:cs="Arial" w:eastAsia="Arial" w:hAnsi="Arial"/>
                <w:sz w:val="19"/>
                <w:szCs w:val="19"/>
                <w:color w:val="auto"/>
                <w:vertAlign w:val="superscript"/>
              </w:rPr>
              <w:t>(3)</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98.898</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2/19/2029</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114,120</w:t>
            </w:r>
          </w:p>
        </w:tc>
        <w:tc>
          <w:tcPr>
            <w:tcW w:w="92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26,010,230</w:t>
            </w:r>
          </w:p>
        </w:tc>
        <w:tc>
          <w:tcPr>
            <w:tcW w:w="20" w:type="dxa"/>
            <w:vAlign w:val="bottom"/>
          </w:tcPr>
          <w:p>
            <w:pPr>
              <w:spacing w:after="0"/>
              <w:rPr>
                <w:sz w:val="14"/>
                <w:szCs w:val="14"/>
                <w:color w:val="auto"/>
              </w:rPr>
            </w:pP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74,013</w:t>
            </w:r>
            <w:r>
              <w:rPr>
                <w:rFonts w:ascii="Arial" w:cs="Arial" w:eastAsia="Arial" w:hAnsi="Arial"/>
                <w:sz w:val="19"/>
                <w:szCs w:val="19"/>
                <w:color w:val="auto"/>
                <w:vertAlign w:val="superscript"/>
              </w:rPr>
              <w:t>(4)</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85.34</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2/20/2028</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Pr>
          <w:p>
            <w:pPr>
              <w:spacing w:after="0"/>
              <w:rPr>
                <w:sz w:val="14"/>
                <w:szCs w:val="14"/>
                <w:color w:val="auto"/>
              </w:rPr>
            </w:pPr>
          </w:p>
        </w:tc>
        <w:tc>
          <w:tcPr>
            <w:tcW w:w="86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7"/>
              <w:spacing w:after="0" w:line="172" w:lineRule="exact"/>
              <w:rPr>
                <w:sz w:val="20"/>
                <w:szCs w:val="20"/>
                <w:color w:val="auto"/>
              </w:rPr>
            </w:pPr>
            <w:r>
              <w:rPr>
                <w:rFonts w:ascii="Arial" w:cs="Arial" w:eastAsia="Arial" w:hAnsi="Arial"/>
                <w:sz w:val="12"/>
                <w:szCs w:val="12"/>
                <w:color w:val="auto"/>
              </w:rPr>
              <w:t>64,767</w:t>
            </w:r>
            <w:r>
              <w:rPr>
                <w:rFonts w:ascii="Arial" w:cs="Arial" w:eastAsia="Arial" w:hAnsi="Arial"/>
                <w:sz w:val="19"/>
                <w:szCs w:val="19"/>
                <w:color w:val="auto"/>
                <w:vertAlign w:val="superscript"/>
              </w:rPr>
              <w:t>(5)</w:t>
            </w:r>
          </w:p>
        </w:tc>
        <w:tc>
          <w:tcPr>
            <w:tcW w:w="720" w:type="dxa"/>
            <w:vAlign w:val="bottom"/>
          </w:tcPr>
          <w:p>
            <w:pPr>
              <w:jc w:val="right"/>
              <w:ind w:right="109"/>
              <w:spacing w:after="0"/>
              <w:rPr>
                <w:sz w:val="20"/>
                <w:szCs w:val="20"/>
                <w:color w:val="auto"/>
              </w:rPr>
            </w:pPr>
            <w:r>
              <w:rPr>
                <w:rFonts w:ascii="Arial" w:cs="Arial" w:eastAsia="Arial" w:hAnsi="Arial"/>
                <w:sz w:val="15"/>
                <w:szCs w:val="15"/>
                <w:color w:val="auto"/>
              </w:rPr>
              <w:t>73.335</w:t>
            </w:r>
          </w:p>
        </w:tc>
        <w:tc>
          <w:tcPr>
            <w:tcW w:w="840" w:type="dxa"/>
            <w:vAlign w:val="bottom"/>
          </w:tcPr>
          <w:p>
            <w:pPr>
              <w:jc w:val="right"/>
              <w:spacing w:after="0"/>
              <w:rPr>
                <w:sz w:val="20"/>
                <w:szCs w:val="20"/>
                <w:color w:val="auto"/>
              </w:rPr>
            </w:pPr>
            <w:r>
              <w:rPr>
                <w:rFonts w:ascii="Arial" w:cs="Arial" w:eastAsia="Arial" w:hAnsi="Arial"/>
                <w:sz w:val="15"/>
                <w:szCs w:val="15"/>
                <w:color w:val="auto"/>
              </w:rPr>
              <w:t>2/28/2027</w:t>
            </w:r>
          </w:p>
        </w:tc>
        <w:tc>
          <w:tcPr>
            <w:tcW w:w="14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60"/>
        </w:trPr>
        <w:tc>
          <w:tcPr>
            <w:tcW w:w="1820" w:type="dxa"/>
            <w:vAlign w:val="bottom"/>
            <w:tcBorders>
              <w:top w:val="single" w:sz="8" w:color="477157"/>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Devina A. Rankin</w:t>
            </w:r>
          </w:p>
        </w:tc>
        <w:tc>
          <w:tcPr>
            <w:tcW w:w="860" w:type="dxa"/>
            <w:vAlign w:val="bottom"/>
            <w:tcBorders>
              <w:top w:val="single" w:sz="8" w:color="477157"/>
              <w:bottom w:val="single" w:sz="8" w:color="477157"/>
            </w:tcBorders>
          </w:tcPr>
          <w:p>
            <w:pPr>
              <w:spacing w:after="0"/>
              <w:rPr>
                <w:sz w:val="13"/>
                <w:szCs w:val="13"/>
                <w:color w:val="auto"/>
              </w:rPr>
            </w:pPr>
          </w:p>
        </w:tc>
        <w:tc>
          <w:tcPr>
            <w:tcW w:w="1120" w:type="dxa"/>
            <w:vAlign w:val="bottom"/>
            <w:tcBorders>
              <w:top w:val="single" w:sz="8" w:color="477157"/>
              <w:bottom w:val="single" w:sz="8" w:color="477157"/>
            </w:tcBorders>
          </w:tcPr>
          <w:p>
            <w:pPr>
              <w:spacing w:after="0"/>
              <w:rPr>
                <w:sz w:val="13"/>
                <w:szCs w:val="13"/>
                <w:color w:val="auto"/>
              </w:rPr>
            </w:pPr>
          </w:p>
        </w:tc>
        <w:tc>
          <w:tcPr>
            <w:tcW w:w="720" w:type="dxa"/>
            <w:vAlign w:val="bottom"/>
            <w:tcBorders>
              <w:top w:val="single" w:sz="8" w:color="477157"/>
              <w:bottom w:val="single" w:sz="8" w:color="477157"/>
            </w:tcBorders>
          </w:tcPr>
          <w:p>
            <w:pPr>
              <w:spacing w:after="0"/>
              <w:rPr>
                <w:sz w:val="13"/>
                <w:szCs w:val="13"/>
                <w:color w:val="auto"/>
              </w:rPr>
            </w:pPr>
          </w:p>
        </w:tc>
        <w:tc>
          <w:tcPr>
            <w:tcW w:w="840" w:type="dxa"/>
            <w:vAlign w:val="bottom"/>
            <w:tcBorders>
              <w:top w:val="single" w:sz="8" w:color="477157"/>
              <w:bottom w:val="single" w:sz="8" w:color="477157"/>
            </w:tcBorders>
          </w:tcPr>
          <w:p>
            <w:pPr>
              <w:spacing w:after="0"/>
              <w:rPr>
                <w:sz w:val="13"/>
                <w:szCs w:val="13"/>
                <w:color w:val="auto"/>
              </w:rPr>
            </w:pPr>
          </w:p>
        </w:tc>
        <w:tc>
          <w:tcPr>
            <w:tcW w:w="140" w:type="dxa"/>
            <w:vAlign w:val="bottom"/>
            <w:tcBorders>
              <w:top w:val="single" w:sz="8" w:color="477157"/>
              <w:bottom w:val="single" w:sz="8" w:color="477157"/>
            </w:tcBorders>
          </w:tcPr>
          <w:p>
            <w:pPr>
              <w:spacing w:after="0"/>
              <w:rPr>
                <w:sz w:val="13"/>
                <w:szCs w:val="13"/>
                <w:color w:val="auto"/>
              </w:rPr>
            </w:pPr>
          </w:p>
        </w:tc>
        <w:tc>
          <w:tcPr>
            <w:tcW w:w="800" w:type="dxa"/>
            <w:vAlign w:val="bottom"/>
            <w:tcBorders>
              <w:top w:val="single" w:sz="8" w:color="477157"/>
              <w:bottom w:val="single" w:sz="8" w:color="477157"/>
            </w:tcBorders>
          </w:tcPr>
          <w:p>
            <w:pPr>
              <w:spacing w:after="0"/>
              <w:rPr>
                <w:sz w:val="13"/>
                <w:szCs w:val="13"/>
                <w:color w:val="auto"/>
              </w:rPr>
            </w:pPr>
          </w:p>
        </w:tc>
        <w:tc>
          <w:tcPr>
            <w:tcW w:w="840" w:type="dxa"/>
            <w:vAlign w:val="bottom"/>
            <w:tcBorders>
              <w:top w:val="single" w:sz="8" w:color="477157"/>
              <w:bottom w:val="single" w:sz="8" w:color="477157"/>
            </w:tcBorders>
          </w:tcPr>
          <w:p>
            <w:pPr>
              <w:spacing w:after="0"/>
              <w:rPr>
                <w:sz w:val="13"/>
                <w:szCs w:val="13"/>
                <w:color w:val="auto"/>
              </w:rPr>
            </w:pPr>
          </w:p>
        </w:tc>
        <w:tc>
          <w:tcPr>
            <w:tcW w:w="920" w:type="dxa"/>
            <w:vAlign w:val="bottom"/>
            <w:tcBorders>
              <w:top w:val="single" w:sz="8" w:color="477157"/>
              <w:bottom w:val="single" w:sz="8" w:color="477157"/>
            </w:tcBorders>
          </w:tcPr>
          <w:p>
            <w:pPr>
              <w:spacing w:after="0"/>
              <w:rPr>
                <w:sz w:val="13"/>
                <w:szCs w:val="13"/>
                <w:color w:val="auto"/>
              </w:rPr>
            </w:pPr>
          </w:p>
        </w:tc>
        <w:tc>
          <w:tcPr>
            <w:tcW w:w="920" w:type="dxa"/>
            <w:vAlign w:val="bottom"/>
            <w:tcBorders>
              <w:top w:val="single" w:sz="8" w:color="477157"/>
              <w:bottom w:val="single" w:sz="8" w:color="477157"/>
            </w:tcBorders>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32,733</w:t>
            </w:r>
            <w:r>
              <w:rPr>
                <w:rFonts w:ascii="Arial" w:cs="Arial" w:eastAsia="Arial" w:hAnsi="Arial"/>
                <w:sz w:val="19"/>
                <w:szCs w:val="19"/>
                <w:color w:val="auto"/>
                <w:vertAlign w:val="superscript"/>
              </w:rPr>
              <w:t>(3)</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98.898</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2/19/2029</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32,474</w:t>
            </w:r>
          </w:p>
        </w:tc>
        <w:tc>
          <w:tcPr>
            <w:tcW w:w="92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7,401,474</w:t>
            </w:r>
          </w:p>
        </w:tc>
        <w:tc>
          <w:tcPr>
            <w:tcW w:w="20" w:type="dxa"/>
            <w:vAlign w:val="bottom"/>
            <w:tcBorders>
              <w:bottom w:val="single" w:sz="8" w:color="477157"/>
            </w:tcBorders>
          </w:tcPr>
          <w:p>
            <w:pPr>
              <w:spacing w:after="0"/>
              <w:rPr>
                <w:sz w:val="14"/>
                <w:szCs w:val="14"/>
                <w:color w:val="auto"/>
              </w:rPr>
            </w:pP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6,990</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20,971</w:t>
            </w:r>
            <w:r>
              <w:rPr>
                <w:rFonts w:ascii="Arial" w:cs="Arial" w:eastAsia="Arial" w:hAnsi="Arial"/>
                <w:sz w:val="19"/>
                <w:szCs w:val="19"/>
                <w:color w:val="auto"/>
                <w:vertAlign w:val="superscript"/>
              </w:rPr>
              <w:t>(4)</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85.34</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2/20/2028</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12,953</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12,954</w:t>
            </w:r>
            <w:r>
              <w:rPr>
                <w:rFonts w:ascii="Arial" w:cs="Arial" w:eastAsia="Arial" w:hAnsi="Arial"/>
                <w:sz w:val="19"/>
                <w:szCs w:val="19"/>
                <w:color w:val="auto"/>
                <w:vertAlign w:val="superscript"/>
              </w:rPr>
              <w:t>(5)</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73.335</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2/28/2027</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Pr>
          <w:p>
            <w:pPr>
              <w:spacing w:after="0"/>
              <w:rPr>
                <w:sz w:val="14"/>
                <w:szCs w:val="14"/>
                <w:color w:val="auto"/>
              </w:rPr>
            </w:pPr>
          </w:p>
        </w:tc>
        <w:tc>
          <w:tcPr>
            <w:tcW w:w="860" w:type="dxa"/>
            <w:vAlign w:val="bottom"/>
          </w:tcPr>
          <w:p>
            <w:pPr>
              <w:jc w:val="right"/>
              <w:ind w:right="30"/>
              <w:spacing w:after="0"/>
              <w:rPr>
                <w:sz w:val="20"/>
                <w:szCs w:val="20"/>
                <w:color w:val="auto"/>
              </w:rPr>
            </w:pPr>
            <w:r>
              <w:rPr>
                <w:rFonts w:ascii="Arial" w:cs="Arial" w:eastAsia="Arial" w:hAnsi="Arial"/>
                <w:sz w:val="15"/>
                <w:szCs w:val="15"/>
                <w:color w:val="auto"/>
              </w:rPr>
              <w:t>6,386</w:t>
            </w:r>
          </w:p>
        </w:tc>
        <w:tc>
          <w:tcPr>
            <w:tcW w:w="1120" w:type="dxa"/>
            <w:vAlign w:val="bottom"/>
          </w:tcPr>
          <w:p>
            <w:pPr>
              <w:jc w:val="right"/>
              <w:ind w:right="15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9"/>
              <w:spacing w:after="0"/>
              <w:rPr>
                <w:sz w:val="20"/>
                <w:szCs w:val="20"/>
                <w:color w:val="auto"/>
              </w:rPr>
            </w:pPr>
            <w:r>
              <w:rPr>
                <w:rFonts w:ascii="Arial" w:cs="Arial" w:eastAsia="Arial" w:hAnsi="Arial"/>
                <w:sz w:val="15"/>
                <w:szCs w:val="15"/>
                <w:color w:val="auto"/>
              </w:rPr>
              <w:t>56.235</w:t>
            </w:r>
          </w:p>
        </w:tc>
        <w:tc>
          <w:tcPr>
            <w:tcW w:w="840" w:type="dxa"/>
            <w:vAlign w:val="bottom"/>
          </w:tcPr>
          <w:p>
            <w:pPr>
              <w:jc w:val="right"/>
              <w:spacing w:after="0"/>
              <w:rPr>
                <w:sz w:val="20"/>
                <w:szCs w:val="20"/>
                <w:color w:val="auto"/>
              </w:rPr>
            </w:pPr>
            <w:r>
              <w:rPr>
                <w:rFonts w:ascii="Arial" w:cs="Arial" w:eastAsia="Arial" w:hAnsi="Arial"/>
                <w:sz w:val="15"/>
                <w:szCs w:val="15"/>
                <w:color w:val="auto"/>
              </w:rPr>
              <w:t>2/26/2026</w:t>
            </w:r>
          </w:p>
        </w:tc>
        <w:tc>
          <w:tcPr>
            <w:tcW w:w="14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60"/>
        </w:trPr>
        <w:tc>
          <w:tcPr>
            <w:tcW w:w="1820" w:type="dxa"/>
            <w:vAlign w:val="bottom"/>
            <w:tcBorders>
              <w:top w:val="single" w:sz="8" w:color="477157"/>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John J. Morris, Jr.</w:t>
            </w:r>
          </w:p>
        </w:tc>
        <w:tc>
          <w:tcPr>
            <w:tcW w:w="860" w:type="dxa"/>
            <w:vAlign w:val="bottom"/>
            <w:tcBorders>
              <w:top w:val="single" w:sz="8" w:color="477157"/>
              <w:bottom w:val="single" w:sz="8" w:color="477157"/>
            </w:tcBorders>
          </w:tcPr>
          <w:p>
            <w:pPr>
              <w:spacing w:after="0"/>
              <w:rPr>
                <w:sz w:val="13"/>
                <w:szCs w:val="13"/>
                <w:color w:val="auto"/>
              </w:rPr>
            </w:pPr>
          </w:p>
        </w:tc>
        <w:tc>
          <w:tcPr>
            <w:tcW w:w="1120" w:type="dxa"/>
            <w:vAlign w:val="bottom"/>
            <w:tcBorders>
              <w:top w:val="single" w:sz="8" w:color="477157"/>
              <w:bottom w:val="single" w:sz="8" w:color="477157"/>
            </w:tcBorders>
          </w:tcPr>
          <w:p>
            <w:pPr>
              <w:spacing w:after="0"/>
              <w:rPr>
                <w:sz w:val="13"/>
                <w:szCs w:val="13"/>
                <w:color w:val="auto"/>
              </w:rPr>
            </w:pPr>
          </w:p>
        </w:tc>
        <w:tc>
          <w:tcPr>
            <w:tcW w:w="720" w:type="dxa"/>
            <w:vAlign w:val="bottom"/>
            <w:tcBorders>
              <w:top w:val="single" w:sz="8" w:color="477157"/>
              <w:bottom w:val="single" w:sz="8" w:color="477157"/>
            </w:tcBorders>
          </w:tcPr>
          <w:p>
            <w:pPr>
              <w:spacing w:after="0"/>
              <w:rPr>
                <w:sz w:val="13"/>
                <w:szCs w:val="13"/>
                <w:color w:val="auto"/>
              </w:rPr>
            </w:pPr>
          </w:p>
        </w:tc>
        <w:tc>
          <w:tcPr>
            <w:tcW w:w="840" w:type="dxa"/>
            <w:vAlign w:val="bottom"/>
            <w:tcBorders>
              <w:top w:val="single" w:sz="8" w:color="477157"/>
              <w:bottom w:val="single" w:sz="8" w:color="477157"/>
            </w:tcBorders>
          </w:tcPr>
          <w:p>
            <w:pPr>
              <w:spacing w:after="0"/>
              <w:rPr>
                <w:sz w:val="13"/>
                <w:szCs w:val="13"/>
                <w:color w:val="auto"/>
              </w:rPr>
            </w:pPr>
          </w:p>
        </w:tc>
        <w:tc>
          <w:tcPr>
            <w:tcW w:w="140" w:type="dxa"/>
            <w:vAlign w:val="bottom"/>
            <w:tcBorders>
              <w:top w:val="single" w:sz="8" w:color="477157"/>
              <w:bottom w:val="single" w:sz="8" w:color="477157"/>
            </w:tcBorders>
          </w:tcPr>
          <w:p>
            <w:pPr>
              <w:spacing w:after="0"/>
              <w:rPr>
                <w:sz w:val="13"/>
                <w:szCs w:val="13"/>
                <w:color w:val="auto"/>
              </w:rPr>
            </w:pPr>
          </w:p>
        </w:tc>
        <w:tc>
          <w:tcPr>
            <w:tcW w:w="800" w:type="dxa"/>
            <w:vAlign w:val="bottom"/>
            <w:tcBorders>
              <w:top w:val="single" w:sz="8" w:color="477157"/>
              <w:bottom w:val="single" w:sz="8" w:color="477157"/>
            </w:tcBorders>
          </w:tcPr>
          <w:p>
            <w:pPr>
              <w:spacing w:after="0"/>
              <w:rPr>
                <w:sz w:val="13"/>
                <w:szCs w:val="13"/>
                <w:color w:val="auto"/>
              </w:rPr>
            </w:pPr>
          </w:p>
        </w:tc>
        <w:tc>
          <w:tcPr>
            <w:tcW w:w="840" w:type="dxa"/>
            <w:vAlign w:val="bottom"/>
            <w:tcBorders>
              <w:top w:val="single" w:sz="8" w:color="477157"/>
              <w:bottom w:val="single" w:sz="8" w:color="477157"/>
            </w:tcBorders>
          </w:tcPr>
          <w:p>
            <w:pPr>
              <w:spacing w:after="0"/>
              <w:rPr>
                <w:sz w:val="13"/>
                <w:szCs w:val="13"/>
                <w:color w:val="auto"/>
              </w:rPr>
            </w:pPr>
          </w:p>
        </w:tc>
        <w:tc>
          <w:tcPr>
            <w:tcW w:w="920" w:type="dxa"/>
            <w:vAlign w:val="bottom"/>
            <w:tcBorders>
              <w:top w:val="single" w:sz="8" w:color="477157"/>
              <w:bottom w:val="single" w:sz="8" w:color="477157"/>
            </w:tcBorders>
          </w:tcPr>
          <w:p>
            <w:pPr>
              <w:spacing w:after="0"/>
              <w:rPr>
                <w:sz w:val="13"/>
                <w:szCs w:val="13"/>
                <w:color w:val="auto"/>
              </w:rPr>
            </w:pPr>
          </w:p>
        </w:tc>
        <w:tc>
          <w:tcPr>
            <w:tcW w:w="920" w:type="dxa"/>
            <w:vAlign w:val="bottom"/>
            <w:tcBorders>
              <w:top w:val="single" w:sz="8" w:color="477157"/>
              <w:bottom w:val="single" w:sz="8" w:color="477157"/>
            </w:tcBorders>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36,007</w:t>
            </w:r>
            <w:r>
              <w:rPr>
                <w:rFonts w:ascii="Arial" w:cs="Arial" w:eastAsia="Arial" w:hAnsi="Arial"/>
                <w:sz w:val="19"/>
                <w:szCs w:val="19"/>
                <w:color w:val="auto"/>
                <w:vertAlign w:val="superscript"/>
              </w:rPr>
              <w:t>(3)</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98.898</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2/19/2029</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35,078</w:t>
            </w:r>
          </w:p>
        </w:tc>
        <w:tc>
          <w:tcPr>
            <w:tcW w:w="92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7,994,978</w:t>
            </w:r>
          </w:p>
        </w:tc>
        <w:tc>
          <w:tcPr>
            <w:tcW w:w="20" w:type="dxa"/>
            <w:vAlign w:val="bottom"/>
            <w:tcBorders>
              <w:bottom w:val="single" w:sz="8" w:color="477157"/>
            </w:tcBorders>
          </w:tcPr>
          <w:p>
            <w:pPr>
              <w:spacing w:after="0"/>
              <w:rPr>
                <w:sz w:val="14"/>
                <w:szCs w:val="14"/>
                <w:color w:val="auto"/>
              </w:rPr>
            </w:pP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7,401</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22,204</w:t>
            </w:r>
            <w:r>
              <w:rPr>
                <w:rFonts w:ascii="Arial" w:cs="Arial" w:eastAsia="Arial" w:hAnsi="Arial"/>
                <w:sz w:val="19"/>
                <w:szCs w:val="19"/>
                <w:color w:val="auto"/>
                <w:vertAlign w:val="superscript"/>
              </w:rPr>
              <w:t>(4)</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85.34</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2/20/2028</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Pr>
          <w:p>
            <w:pPr>
              <w:spacing w:after="0"/>
              <w:rPr>
                <w:sz w:val="14"/>
                <w:szCs w:val="14"/>
                <w:color w:val="auto"/>
              </w:rPr>
            </w:pPr>
          </w:p>
        </w:tc>
        <w:tc>
          <w:tcPr>
            <w:tcW w:w="86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7"/>
              <w:spacing w:after="0" w:line="172" w:lineRule="exact"/>
              <w:rPr>
                <w:sz w:val="20"/>
                <w:szCs w:val="20"/>
                <w:color w:val="auto"/>
              </w:rPr>
            </w:pPr>
            <w:r>
              <w:rPr>
                <w:rFonts w:ascii="Arial" w:cs="Arial" w:eastAsia="Arial" w:hAnsi="Arial"/>
                <w:sz w:val="12"/>
                <w:szCs w:val="12"/>
                <w:color w:val="auto"/>
              </w:rPr>
              <w:t>19,430</w:t>
            </w:r>
            <w:r>
              <w:rPr>
                <w:rFonts w:ascii="Arial" w:cs="Arial" w:eastAsia="Arial" w:hAnsi="Arial"/>
                <w:sz w:val="19"/>
                <w:szCs w:val="19"/>
                <w:color w:val="auto"/>
                <w:vertAlign w:val="superscript"/>
              </w:rPr>
              <w:t>(5)</w:t>
            </w:r>
          </w:p>
        </w:tc>
        <w:tc>
          <w:tcPr>
            <w:tcW w:w="720" w:type="dxa"/>
            <w:vAlign w:val="bottom"/>
          </w:tcPr>
          <w:p>
            <w:pPr>
              <w:jc w:val="right"/>
              <w:ind w:right="109"/>
              <w:spacing w:after="0"/>
              <w:rPr>
                <w:sz w:val="20"/>
                <w:szCs w:val="20"/>
                <w:color w:val="auto"/>
              </w:rPr>
            </w:pPr>
            <w:r>
              <w:rPr>
                <w:rFonts w:ascii="Arial" w:cs="Arial" w:eastAsia="Arial" w:hAnsi="Arial"/>
                <w:sz w:val="15"/>
                <w:szCs w:val="15"/>
                <w:color w:val="auto"/>
              </w:rPr>
              <w:t>73.335</w:t>
            </w:r>
          </w:p>
        </w:tc>
        <w:tc>
          <w:tcPr>
            <w:tcW w:w="840" w:type="dxa"/>
            <w:vAlign w:val="bottom"/>
          </w:tcPr>
          <w:p>
            <w:pPr>
              <w:jc w:val="right"/>
              <w:spacing w:after="0"/>
              <w:rPr>
                <w:sz w:val="20"/>
                <w:szCs w:val="20"/>
                <w:color w:val="auto"/>
              </w:rPr>
            </w:pPr>
            <w:r>
              <w:rPr>
                <w:rFonts w:ascii="Arial" w:cs="Arial" w:eastAsia="Arial" w:hAnsi="Arial"/>
                <w:sz w:val="15"/>
                <w:szCs w:val="15"/>
                <w:color w:val="auto"/>
              </w:rPr>
              <w:t>2/28/2027</w:t>
            </w:r>
          </w:p>
        </w:tc>
        <w:tc>
          <w:tcPr>
            <w:tcW w:w="14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60"/>
        </w:trPr>
        <w:tc>
          <w:tcPr>
            <w:tcW w:w="1820" w:type="dxa"/>
            <w:vAlign w:val="bottom"/>
            <w:tcBorders>
              <w:top w:val="single" w:sz="8" w:color="477157"/>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Tara J. Hemmer</w:t>
            </w:r>
          </w:p>
        </w:tc>
        <w:tc>
          <w:tcPr>
            <w:tcW w:w="860" w:type="dxa"/>
            <w:vAlign w:val="bottom"/>
            <w:tcBorders>
              <w:top w:val="single" w:sz="8" w:color="477157"/>
              <w:bottom w:val="single" w:sz="8" w:color="477157"/>
            </w:tcBorders>
          </w:tcPr>
          <w:p>
            <w:pPr>
              <w:spacing w:after="0"/>
              <w:rPr>
                <w:sz w:val="13"/>
                <w:szCs w:val="13"/>
                <w:color w:val="auto"/>
              </w:rPr>
            </w:pPr>
          </w:p>
        </w:tc>
        <w:tc>
          <w:tcPr>
            <w:tcW w:w="1120" w:type="dxa"/>
            <w:vAlign w:val="bottom"/>
            <w:tcBorders>
              <w:top w:val="single" w:sz="8" w:color="477157"/>
              <w:bottom w:val="single" w:sz="8" w:color="477157"/>
            </w:tcBorders>
          </w:tcPr>
          <w:p>
            <w:pPr>
              <w:spacing w:after="0"/>
              <w:rPr>
                <w:sz w:val="13"/>
                <w:szCs w:val="13"/>
                <w:color w:val="auto"/>
              </w:rPr>
            </w:pPr>
          </w:p>
        </w:tc>
        <w:tc>
          <w:tcPr>
            <w:tcW w:w="720" w:type="dxa"/>
            <w:vAlign w:val="bottom"/>
            <w:tcBorders>
              <w:top w:val="single" w:sz="8" w:color="477157"/>
              <w:bottom w:val="single" w:sz="8" w:color="477157"/>
            </w:tcBorders>
          </w:tcPr>
          <w:p>
            <w:pPr>
              <w:spacing w:after="0"/>
              <w:rPr>
                <w:sz w:val="13"/>
                <w:szCs w:val="13"/>
                <w:color w:val="auto"/>
              </w:rPr>
            </w:pPr>
          </w:p>
        </w:tc>
        <w:tc>
          <w:tcPr>
            <w:tcW w:w="840" w:type="dxa"/>
            <w:vAlign w:val="bottom"/>
            <w:tcBorders>
              <w:top w:val="single" w:sz="8" w:color="477157"/>
              <w:bottom w:val="single" w:sz="8" w:color="477157"/>
            </w:tcBorders>
          </w:tcPr>
          <w:p>
            <w:pPr>
              <w:spacing w:after="0"/>
              <w:rPr>
                <w:sz w:val="13"/>
                <w:szCs w:val="13"/>
                <w:color w:val="auto"/>
              </w:rPr>
            </w:pPr>
          </w:p>
        </w:tc>
        <w:tc>
          <w:tcPr>
            <w:tcW w:w="140" w:type="dxa"/>
            <w:vAlign w:val="bottom"/>
            <w:tcBorders>
              <w:top w:val="single" w:sz="8" w:color="477157"/>
              <w:bottom w:val="single" w:sz="8" w:color="477157"/>
            </w:tcBorders>
          </w:tcPr>
          <w:p>
            <w:pPr>
              <w:spacing w:after="0"/>
              <w:rPr>
                <w:sz w:val="13"/>
                <w:szCs w:val="13"/>
                <w:color w:val="auto"/>
              </w:rPr>
            </w:pPr>
          </w:p>
        </w:tc>
        <w:tc>
          <w:tcPr>
            <w:tcW w:w="800" w:type="dxa"/>
            <w:vAlign w:val="bottom"/>
            <w:tcBorders>
              <w:top w:val="single" w:sz="8" w:color="477157"/>
              <w:bottom w:val="single" w:sz="8" w:color="477157"/>
            </w:tcBorders>
          </w:tcPr>
          <w:p>
            <w:pPr>
              <w:spacing w:after="0"/>
              <w:rPr>
                <w:sz w:val="13"/>
                <w:szCs w:val="13"/>
                <w:color w:val="auto"/>
              </w:rPr>
            </w:pPr>
          </w:p>
        </w:tc>
        <w:tc>
          <w:tcPr>
            <w:tcW w:w="840" w:type="dxa"/>
            <w:vAlign w:val="bottom"/>
            <w:tcBorders>
              <w:top w:val="single" w:sz="8" w:color="477157"/>
              <w:bottom w:val="single" w:sz="8" w:color="477157"/>
            </w:tcBorders>
          </w:tcPr>
          <w:p>
            <w:pPr>
              <w:spacing w:after="0"/>
              <w:rPr>
                <w:sz w:val="13"/>
                <w:szCs w:val="13"/>
                <w:color w:val="auto"/>
              </w:rPr>
            </w:pPr>
          </w:p>
        </w:tc>
        <w:tc>
          <w:tcPr>
            <w:tcW w:w="920" w:type="dxa"/>
            <w:vAlign w:val="bottom"/>
            <w:tcBorders>
              <w:top w:val="single" w:sz="8" w:color="477157"/>
              <w:bottom w:val="single" w:sz="8" w:color="477157"/>
            </w:tcBorders>
          </w:tcPr>
          <w:p>
            <w:pPr>
              <w:spacing w:after="0"/>
              <w:rPr>
                <w:sz w:val="13"/>
                <w:szCs w:val="13"/>
                <w:color w:val="auto"/>
              </w:rPr>
            </w:pPr>
          </w:p>
        </w:tc>
        <w:tc>
          <w:tcPr>
            <w:tcW w:w="920" w:type="dxa"/>
            <w:vAlign w:val="bottom"/>
            <w:tcBorders>
              <w:top w:val="single" w:sz="8" w:color="477157"/>
              <w:bottom w:val="single" w:sz="8" w:color="477157"/>
            </w:tcBorders>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27,005</w:t>
            </w:r>
            <w:r>
              <w:rPr>
                <w:rFonts w:ascii="Arial" w:cs="Arial" w:eastAsia="Arial" w:hAnsi="Arial"/>
                <w:sz w:val="19"/>
                <w:szCs w:val="19"/>
                <w:color w:val="auto"/>
                <w:vertAlign w:val="superscript"/>
              </w:rPr>
              <w:t>(3)</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98.898</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2/19/2029</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1,331</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151,681</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23,090</w:t>
            </w:r>
          </w:p>
        </w:tc>
        <w:tc>
          <w:tcPr>
            <w:tcW w:w="92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5,262,673</w:t>
            </w:r>
          </w:p>
        </w:tc>
        <w:tc>
          <w:tcPr>
            <w:tcW w:w="20" w:type="dxa"/>
            <w:vAlign w:val="bottom"/>
            <w:tcBorders>
              <w:bottom w:val="single" w:sz="8" w:color="477157"/>
            </w:tcBorders>
          </w:tcPr>
          <w:p>
            <w:pPr>
              <w:spacing w:after="0"/>
              <w:rPr>
                <w:sz w:val="14"/>
                <w:szCs w:val="14"/>
                <w:color w:val="auto"/>
              </w:rPr>
            </w:pP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4,111</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12,336</w:t>
            </w:r>
            <w:r>
              <w:rPr>
                <w:rFonts w:ascii="Arial" w:cs="Arial" w:eastAsia="Arial" w:hAnsi="Arial"/>
                <w:sz w:val="19"/>
                <w:szCs w:val="19"/>
                <w:color w:val="auto"/>
                <w:vertAlign w:val="superscript"/>
              </w:rPr>
              <w:t>(4)</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85.34</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2/20/2028</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2,969</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2,969</w:t>
            </w:r>
            <w:r>
              <w:rPr>
                <w:rFonts w:ascii="Arial" w:cs="Arial" w:eastAsia="Arial" w:hAnsi="Arial"/>
                <w:sz w:val="19"/>
                <w:szCs w:val="19"/>
                <w:color w:val="auto"/>
                <w:vertAlign w:val="superscript"/>
              </w:rPr>
              <w:t>(5)</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73.335</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2/28/2027</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Pr>
          <w:p>
            <w:pPr>
              <w:spacing w:after="0"/>
              <w:rPr>
                <w:sz w:val="14"/>
                <w:szCs w:val="14"/>
                <w:color w:val="auto"/>
              </w:rPr>
            </w:pPr>
          </w:p>
        </w:tc>
        <w:tc>
          <w:tcPr>
            <w:tcW w:w="860" w:type="dxa"/>
            <w:vAlign w:val="bottom"/>
          </w:tcPr>
          <w:p>
            <w:pPr>
              <w:jc w:val="right"/>
              <w:ind w:right="30"/>
              <w:spacing w:after="0"/>
              <w:rPr>
                <w:sz w:val="20"/>
                <w:szCs w:val="20"/>
                <w:color w:val="auto"/>
              </w:rPr>
            </w:pPr>
            <w:r>
              <w:rPr>
                <w:rFonts w:ascii="Arial" w:cs="Arial" w:eastAsia="Arial" w:hAnsi="Arial"/>
                <w:sz w:val="15"/>
                <w:szCs w:val="15"/>
                <w:color w:val="auto"/>
              </w:rPr>
              <w:t>6,530</w:t>
            </w:r>
          </w:p>
        </w:tc>
        <w:tc>
          <w:tcPr>
            <w:tcW w:w="1120" w:type="dxa"/>
            <w:vAlign w:val="bottom"/>
          </w:tcPr>
          <w:p>
            <w:pPr>
              <w:jc w:val="right"/>
              <w:ind w:right="157"/>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9"/>
              <w:spacing w:after="0"/>
              <w:rPr>
                <w:sz w:val="20"/>
                <w:szCs w:val="20"/>
                <w:color w:val="auto"/>
              </w:rPr>
            </w:pPr>
            <w:r>
              <w:rPr>
                <w:rFonts w:ascii="Arial" w:cs="Arial" w:eastAsia="Arial" w:hAnsi="Arial"/>
                <w:sz w:val="15"/>
                <w:szCs w:val="15"/>
                <w:color w:val="auto"/>
              </w:rPr>
              <w:t>56.235</w:t>
            </w:r>
          </w:p>
        </w:tc>
        <w:tc>
          <w:tcPr>
            <w:tcW w:w="840" w:type="dxa"/>
            <w:vAlign w:val="bottom"/>
          </w:tcPr>
          <w:p>
            <w:pPr>
              <w:jc w:val="right"/>
              <w:spacing w:after="0"/>
              <w:rPr>
                <w:sz w:val="20"/>
                <w:szCs w:val="20"/>
                <w:color w:val="auto"/>
              </w:rPr>
            </w:pPr>
            <w:r>
              <w:rPr>
                <w:rFonts w:ascii="Arial" w:cs="Arial" w:eastAsia="Arial" w:hAnsi="Arial"/>
                <w:sz w:val="15"/>
                <w:szCs w:val="15"/>
                <w:color w:val="auto"/>
              </w:rPr>
              <w:t>2/26/2026</w:t>
            </w:r>
          </w:p>
        </w:tc>
        <w:tc>
          <w:tcPr>
            <w:tcW w:w="140" w:type="dxa"/>
            <w:vAlign w:val="bottom"/>
          </w:tcPr>
          <w:p>
            <w:pPr>
              <w:spacing w:after="0"/>
              <w:rPr>
                <w:sz w:val="14"/>
                <w:szCs w:val="14"/>
                <w:color w:val="auto"/>
              </w:rPr>
            </w:pPr>
          </w:p>
        </w:tc>
        <w:tc>
          <w:tcPr>
            <w:tcW w:w="8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60"/>
        </w:trPr>
        <w:tc>
          <w:tcPr>
            <w:tcW w:w="1820" w:type="dxa"/>
            <w:vAlign w:val="bottom"/>
            <w:tcBorders>
              <w:top w:val="single" w:sz="8" w:color="477157"/>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Steven R. Batchelor</w:t>
            </w:r>
          </w:p>
        </w:tc>
        <w:tc>
          <w:tcPr>
            <w:tcW w:w="860" w:type="dxa"/>
            <w:vAlign w:val="bottom"/>
            <w:tcBorders>
              <w:top w:val="single" w:sz="8" w:color="477157"/>
              <w:bottom w:val="single" w:sz="8" w:color="477157"/>
            </w:tcBorders>
          </w:tcPr>
          <w:p>
            <w:pPr>
              <w:spacing w:after="0"/>
              <w:rPr>
                <w:sz w:val="13"/>
                <w:szCs w:val="13"/>
                <w:color w:val="auto"/>
              </w:rPr>
            </w:pPr>
          </w:p>
        </w:tc>
        <w:tc>
          <w:tcPr>
            <w:tcW w:w="1120" w:type="dxa"/>
            <w:vAlign w:val="bottom"/>
            <w:tcBorders>
              <w:top w:val="single" w:sz="8" w:color="477157"/>
              <w:bottom w:val="single" w:sz="8" w:color="477157"/>
            </w:tcBorders>
          </w:tcPr>
          <w:p>
            <w:pPr>
              <w:spacing w:after="0"/>
              <w:rPr>
                <w:sz w:val="13"/>
                <w:szCs w:val="13"/>
                <w:color w:val="auto"/>
              </w:rPr>
            </w:pPr>
          </w:p>
        </w:tc>
        <w:tc>
          <w:tcPr>
            <w:tcW w:w="720" w:type="dxa"/>
            <w:vAlign w:val="bottom"/>
            <w:tcBorders>
              <w:top w:val="single" w:sz="8" w:color="477157"/>
              <w:bottom w:val="single" w:sz="8" w:color="477157"/>
            </w:tcBorders>
          </w:tcPr>
          <w:p>
            <w:pPr>
              <w:spacing w:after="0"/>
              <w:rPr>
                <w:sz w:val="13"/>
                <w:szCs w:val="13"/>
                <w:color w:val="auto"/>
              </w:rPr>
            </w:pPr>
          </w:p>
        </w:tc>
        <w:tc>
          <w:tcPr>
            <w:tcW w:w="840" w:type="dxa"/>
            <w:vAlign w:val="bottom"/>
            <w:tcBorders>
              <w:top w:val="single" w:sz="8" w:color="477157"/>
              <w:bottom w:val="single" w:sz="8" w:color="477157"/>
            </w:tcBorders>
          </w:tcPr>
          <w:p>
            <w:pPr>
              <w:spacing w:after="0"/>
              <w:rPr>
                <w:sz w:val="13"/>
                <w:szCs w:val="13"/>
                <w:color w:val="auto"/>
              </w:rPr>
            </w:pPr>
          </w:p>
        </w:tc>
        <w:tc>
          <w:tcPr>
            <w:tcW w:w="140" w:type="dxa"/>
            <w:vAlign w:val="bottom"/>
            <w:tcBorders>
              <w:top w:val="single" w:sz="8" w:color="477157"/>
              <w:bottom w:val="single" w:sz="8" w:color="477157"/>
            </w:tcBorders>
          </w:tcPr>
          <w:p>
            <w:pPr>
              <w:spacing w:after="0"/>
              <w:rPr>
                <w:sz w:val="13"/>
                <w:szCs w:val="13"/>
                <w:color w:val="auto"/>
              </w:rPr>
            </w:pPr>
          </w:p>
        </w:tc>
        <w:tc>
          <w:tcPr>
            <w:tcW w:w="800" w:type="dxa"/>
            <w:vAlign w:val="bottom"/>
            <w:tcBorders>
              <w:top w:val="single" w:sz="8" w:color="477157"/>
              <w:bottom w:val="single" w:sz="8" w:color="477157"/>
            </w:tcBorders>
          </w:tcPr>
          <w:p>
            <w:pPr>
              <w:spacing w:after="0"/>
              <w:rPr>
                <w:sz w:val="13"/>
                <w:szCs w:val="13"/>
                <w:color w:val="auto"/>
              </w:rPr>
            </w:pPr>
          </w:p>
        </w:tc>
        <w:tc>
          <w:tcPr>
            <w:tcW w:w="840" w:type="dxa"/>
            <w:vAlign w:val="bottom"/>
            <w:tcBorders>
              <w:top w:val="single" w:sz="8" w:color="477157"/>
              <w:bottom w:val="single" w:sz="8" w:color="477157"/>
            </w:tcBorders>
          </w:tcPr>
          <w:p>
            <w:pPr>
              <w:spacing w:after="0"/>
              <w:rPr>
                <w:sz w:val="13"/>
                <w:szCs w:val="13"/>
                <w:color w:val="auto"/>
              </w:rPr>
            </w:pPr>
          </w:p>
        </w:tc>
        <w:tc>
          <w:tcPr>
            <w:tcW w:w="920" w:type="dxa"/>
            <w:vAlign w:val="bottom"/>
            <w:tcBorders>
              <w:top w:val="single" w:sz="8" w:color="477157"/>
              <w:bottom w:val="single" w:sz="8" w:color="477157"/>
            </w:tcBorders>
          </w:tcPr>
          <w:p>
            <w:pPr>
              <w:spacing w:after="0"/>
              <w:rPr>
                <w:sz w:val="13"/>
                <w:szCs w:val="13"/>
                <w:color w:val="auto"/>
              </w:rPr>
            </w:pPr>
          </w:p>
        </w:tc>
        <w:tc>
          <w:tcPr>
            <w:tcW w:w="920" w:type="dxa"/>
            <w:vAlign w:val="bottom"/>
            <w:tcBorders>
              <w:top w:val="single" w:sz="8" w:color="477157"/>
              <w:bottom w:val="single" w:sz="8" w:color="477157"/>
            </w:tcBorders>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27,005</w:t>
            </w:r>
            <w:r>
              <w:rPr>
                <w:rFonts w:ascii="Arial" w:cs="Arial" w:eastAsia="Arial" w:hAnsi="Arial"/>
                <w:sz w:val="19"/>
                <w:szCs w:val="19"/>
                <w:color w:val="auto"/>
                <w:vertAlign w:val="superscript"/>
              </w:rPr>
              <w:t>(3)</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98.898</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2/19/2029</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1,107</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126,154</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15,438</w:t>
            </w:r>
          </w:p>
        </w:tc>
        <w:tc>
          <w:tcPr>
            <w:tcW w:w="92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3,518,629</w:t>
            </w:r>
          </w:p>
        </w:tc>
        <w:tc>
          <w:tcPr>
            <w:tcW w:w="20" w:type="dxa"/>
            <w:vAlign w:val="bottom"/>
            <w:tcBorders>
              <w:bottom w:val="single" w:sz="8" w:color="477157"/>
            </w:tcBorders>
          </w:tcPr>
          <w:p>
            <w:pPr>
              <w:spacing w:after="0"/>
              <w:rPr>
                <w:sz w:val="14"/>
                <w:szCs w:val="14"/>
                <w:color w:val="auto"/>
              </w:rPr>
            </w:pP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921</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2,763</w:t>
            </w:r>
            <w:r>
              <w:rPr>
                <w:rFonts w:ascii="Arial" w:cs="Arial" w:eastAsia="Arial" w:hAnsi="Arial"/>
                <w:sz w:val="19"/>
                <w:szCs w:val="19"/>
                <w:color w:val="auto"/>
                <w:vertAlign w:val="superscript"/>
              </w:rPr>
              <w:t>(4)</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85.34</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2/20/2028</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2,721</w:t>
            </w:r>
          </w:p>
        </w:tc>
        <w:tc>
          <w:tcPr>
            <w:tcW w:w="1120" w:type="dxa"/>
            <w:vAlign w:val="bottom"/>
            <w:tcBorders>
              <w:bottom w:val="single" w:sz="8" w:color="477157"/>
            </w:tcBorders>
          </w:tcPr>
          <w:p>
            <w:pPr>
              <w:jc w:val="right"/>
              <w:ind w:right="17"/>
              <w:spacing w:after="0" w:line="172" w:lineRule="exact"/>
              <w:rPr>
                <w:sz w:val="20"/>
                <w:szCs w:val="20"/>
                <w:color w:val="auto"/>
              </w:rPr>
            </w:pPr>
            <w:r>
              <w:rPr>
                <w:rFonts w:ascii="Arial" w:cs="Arial" w:eastAsia="Arial" w:hAnsi="Arial"/>
                <w:sz w:val="12"/>
                <w:szCs w:val="12"/>
                <w:color w:val="auto"/>
              </w:rPr>
              <w:t>2,722</w:t>
            </w:r>
            <w:r>
              <w:rPr>
                <w:rFonts w:ascii="Arial" w:cs="Arial" w:eastAsia="Arial" w:hAnsi="Arial"/>
                <w:sz w:val="19"/>
                <w:szCs w:val="19"/>
                <w:color w:val="auto"/>
                <w:vertAlign w:val="superscript"/>
              </w:rPr>
              <w:t>(5)</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73.335</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2/28/2027</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6,530</w:t>
            </w:r>
          </w:p>
        </w:tc>
        <w:tc>
          <w:tcPr>
            <w:tcW w:w="1120" w:type="dxa"/>
            <w:vAlign w:val="bottom"/>
            <w:tcBorders>
              <w:bottom w:val="single" w:sz="8" w:color="477157"/>
            </w:tcBorders>
          </w:tcPr>
          <w:p>
            <w:pPr>
              <w:jc w:val="right"/>
              <w:ind w:right="15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56.235</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2/26/2026</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7,342</w:t>
            </w:r>
          </w:p>
        </w:tc>
        <w:tc>
          <w:tcPr>
            <w:tcW w:w="1120" w:type="dxa"/>
            <w:vAlign w:val="bottom"/>
            <w:tcBorders>
              <w:bottom w:val="single" w:sz="8" w:color="477157"/>
            </w:tcBorders>
          </w:tcPr>
          <w:p>
            <w:pPr>
              <w:jc w:val="right"/>
              <w:ind w:right="15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54.635</w:t>
            </w:r>
          </w:p>
        </w:tc>
        <w:tc>
          <w:tcPr>
            <w:tcW w:w="84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2/25/2025</w:t>
            </w:r>
          </w:p>
        </w:tc>
        <w:tc>
          <w:tcPr>
            <w:tcW w:w="140" w:type="dxa"/>
            <w:vAlign w:val="bottom"/>
            <w:tcBorders>
              <w:bottom w:val="single" w:sz="8" w:color="477157"/>
            </w:tcBorders>
          </w:tcPr>
          <w:p>
            <w:pPr>
              <w:spacing w:after="0"/>
              <w:rPr>
                <w:sz w:val="14"/>
                <w:szCs w:val="14"/>
                <w:color w:val="auto"/>
              </w:rPr>
            </w:pP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9,146</w:t>
            </w:r>
          </w:p>
        </w:tc>
        <w:tc>
          <w:tcPr>
            <w:tcW w:w="1120" w:type="dxa"/>
            <w:vAlign w:val="bottom"/>
            <w:tcBorders>
              <w:bottom w:val="single" w:sz="8" w:color="477157"/>
            </w:tcBorders>
          </w:tcPr>
          <w:p>
            <w:pPr>
              <w:jc w:val="right"/>
              <w:ind w:right="15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41.37</w:t>
            </w:r>
          </w:p>
        </w:tc>
        <w:tc>
          <w:tcPr>
            <w:tcW w:w="980" w:type="dxa"/>
            <w:vAlign w:val="bottom"/>
            <w:tcBorders>
              <w:bottom w:val="single" w:sz="8" w:color="477157"/>
            </w:tcBorders>
            <w:gridSpan w:val="2"/>
          </w:tcPr>
          <w:p>
            <w:pPr>
              <w:jc w:val="right"/>
              <w:ind w:right="140"/>
              <w:spacing w:after="0"/>
              <w:rPr>
                <w:sz w:val="20"/>
                <w:szCs w:val="20"/>
                <w:color w:val="auto"/>
              </w:rPr>
            </w:pPr>
            <w:r>
              <w:rPr>
                <w:rFonts w:ascii="Arial" w:cs="Arial" w:eastAsia="Arial" w:hAnsi="Arial"/>
                <w:sz w:val="15"/>
                <w:szCs w:val="15"/>
                <w:color w:val="auto"/>
              </w:rPr>
              <w:t>3/7/2024</w:t>
            </w: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10,442</w:t>
            </w:r>
          </w:p>
        </w:tc>
        <w:tc>
          <w:tcPr>
            <w:tcW w:w="1120" w:type="dxa"/>
            <w:vAlign w:val="bottom"/>
            <w:tcBorders>
              <w:bottom w:val="single" w:sz="8" w:color="477157"/>
            </w:tcBorders>
          </w:tcPr>
          <w:p>
            <w:pPr>
              <w:jc w:val="right"/>
              <w:ind w:right="15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36.885</w:t>
            </w:r>
          </w:p>
        </w:tc>
        <w:tc>
          <w:tcPr>
            <w:tcW w:w="980" w:type="dxa"/>
            <w:vAlign w:val="bottom"/>
            <w:tcBorders>
              <w:bottom w:val="single" w:sz="8" w:color="477157"/>
            </w:tcBorders>
            <w:gridSpan w:val="2"/>
          </w:tcPr>
          <w:p>
            <w:pPr>
              <w:jc w:val="right"/>
              <w:ind w:right="140"/>
              <w:spacing w:after="0"/>
              <w:rPr>
                <w:sz w:val="20"/>
                <w:szCs w:val="20"/>
                <w:color w:val="auto"/>
              </w:rPr>
            </w:pPr>
            <w:r>
              <w:rPr>
                <w:rFonts w:ascii="Arial" w:cs="Arial" w:eastAsia="Arial" w:hAnsi="Arial"/>
                <w:sz w:val="15"/>
                <w:szCs w:val="15"/>
                <w:color w:val="auto"/>
              </w:rPr>
              <w:t>3/8/2023</w:t>
            </w: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72"/>
        </w:trPr>
        <w:tc>
          <w:tcPr>
            <w:tcW w:w="1820" w:type="dxa"/>
            <w:vAlign w:val="bottom"/>
            <w:tcBorders>
              <w:bottom w:val="single" w:sz="8" w:color="477157"/>
            </w:tcBorders>
          </w:tcPr>
          <w:p>
            <w:pPr>
              <w:spacing w:after="0"/>
              <w:rPr>
                <w:sz w:val="14"/>
                <w:szCs w:val="14"/>
                <w:color w:val="auto"/>
              </w:rPr>
            </w:pPr>
          </w:p>
        </w:tc>
        <w:tc>
          <w:tcPr>
            <w:tcW w:w="86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8,003</w:t>
            </w:r>
          </w:p>
        </w:tc>
        <w:tc>
          <w:tcPr>
            <w:tcW w:w="1120" w:type="dxa"/>
            <w:vAlign w:val="bottom"/>
            <w:tcBorders>
              <w:bottom w:val="single" w:sz="8" w:color="477157"/>
            </w:tcBorders>
          </w:tcPr>
          <w:p>
            <w:pPr>
              <w:jc w:val="right"/>
              <w:ind w:right="15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477157"/>
            </w:tcBorders>
          </w:tcPr>
          <w:p>
            <w:pPr>
              <w:jc w:val="right"/>
              <w:ind w:right="109"/>
              <w:spacing w:after="0"/>
              <w:rPr>
                <w:sz w:val="20"/>
                <w:szCs w:val="20"/>
                <w:color w:val="auto"/>
              </w:rPr>
            </w:pPr>
            <w:r>
              <w:rPr>
                <w:rFonts w:ascii="Arial" w:cs="Arial" w:eastAsia="Arial" w:hAnsi="Arial"/>
                <w:sz w:val="15"/>
                <w:szCs w:val="15"/>
                <w:color w:val="auto"/>
              </w:rPr>
              <w:t>34.935</w:t>
            </w:r>
          </w:p>
        </w:tc>
        <w:tc>
          <w:tcPr>
            <w:tcW w:w="980" w:type="dxa"/>
            <w:vAlign w:val="bottom"/>
            <w:tcBorders>
              <w:bottom w:val="single" w:sz="8" w:color="477157"/>
            </w:tcBorders>
            <w:gridSpan w:val="2"/>
          </w:tcPr>
          <w:p>
            <w:pPr>
              <w:jc w:val="right"/>
              <w:ind w:right="140"/>
              <w:spacing w:after="0"/>
              <w:rPr>
                <w:sz w:val="20"/>
                <w:szCs w:val="20"/>
                <w:color w:val="auto"/>
              </w:rPr>
            </w:pPr>
            <w:r>
              <w:rPr>
                <w:rFonts w:ascii="Arial" w:cs="Arial" w:eastAsia="Arial" w:hAnsi="Arial"/>
                <w:sz w:val="15"/>
                <w:szCs w:val="15"/>
                <w:color w:val="auto"/>
              </w:rPr>
              <w:t>3/9/2022</w:t>
            </w:r>
          </w:p>
        </w:tc>
        <w:tc>
          <w:tcPr>
            <w:tcW w:w="800" w:type="dxa"/>
            <w:vAlign w:val="bottom"/>
            <w:tcBorders>
              <w:bottom w:val="single" w:sz="8" w:color="477157"/>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477157"/>
            </w:tcBorders>
          </w:tcPr>
          <w:p>
            <w:pPr>
              <w:jc w:val="right"/>
              <w:ind w:right="5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132"/>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gridSpan w:val="2"/>
          </w:tcPr>
          <w:p>
            <w:pPr>
              <w:jc w:val="right"/>
              <w:ind w:right="20"/>
              <w:spacing w:after="0"/>
              <w:rPr>
                <w:sz w:val="20"/>
                <w:szCs w:val="20"/>
                <w:color w:val="auto"/>
              </w:rPr>
            </w:pPr>
            <w:r>
              <w:rPr>
                <w:rFonts w:ascii="Arial" w:cs="Arial" w:eastAsia="Arial" w:hAnsi="Arial"/>
                <w:sz w:val="15"/>
                <w:szCs w:val="15"/>
                <w:color w:val="auto"/>
              </w:rPr>
              <w:t>—</w:t>
            </w:r>
          </w:p>
        </w:tc>
      </w:tr>
    </w:tbl>
    <w:p>
      <w:pPr>
        <w:spacing w:after="0" w:line="183" w:lineRule="exact"/>
        <w:rPr>
          <w:sz w:val="20"/>
          <w:szCs w:val="20"/>
          <w:color w:val="auto"/>
        </w:rPr>
      </w:pPr>
    </w:p>
    <w:p>
      <w:pPr>
        <w:ind w:left="1560" w:hanging="443"/>
        <w:spacing w:after="0"/>
        <w:tabs>
          <w:tab w:leader="none" w:pos="15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Values are based on the closing price of our Common Stock on December 31, 2019 of $113.96.</w:t>
      </w:r>
    </w:p>
    <w:p>
      <w:pPr>
        <w:spacing w:after="0" w:line="176" w:lineRule="exact"/>
        <w:rPr>
          <w:rFonts w:ascii="Arial" w:cs="Arial" w:eastAsia="Arial" w:hAnsi="Arial"/>
          <w:sz w:val="15"/>
          <w:szCs w:val="15"/>
          <w:color w:val="auto"/>
        </w:rPr>
      </w:pPr>
    </w:p>
    <w:p>
      <w:pPr>
        <w:jc w:val="both"/>
        <w:ind w:left="1560" w:hanging="443"/>
        <w:spacing w:after="0" w:line="238" w:lineRule="auto"/>
        <w:tabs>
          <w:tab w:leader="none" w:pos="15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vested stock options granted on March 9, 2012, March 8, 2013 and March 7, 2014 pursuant to our 2009 Stock Incentive Plan and vested stock options granted on February 25, 2015, February 26, 2016, February 28, 2017 and February 20, 2018 pursuant to our 2014 Stock Incentive Plan.</w:t>
      </w:r>
    </w:p>
    <w:p>
      <w:pPr>
        <w:spacing w:after="0" w:line="144"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1560" w:right="20" w:hanging="443"/>
        <w:spacing w:after="0"/>
        <w:tabs>
          <w:tab w:leader="none" w:pos="15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Includes stock options granted on February 19, 2019 that vest 25% on the first and second anniversary of the date of grant and 50% on the third anniversary of the date of grant.</w:t>
      </w:r>
    </w:p>
    <w:p>
      <w:pPr>
        <w:spacing w:after="0" w:line="173" w:lineRule="exact"/>
        <w:rPr>
          <w:rFonts w:ascii="Arial" w:cs="Arial" w:eastAsia="Arial" w:hAnsi="Arial"/>
          <w:sz w:val="15"/>
          <w:szCs w:val="15"/>
          <w:color w:val="auto"/>
        </w:rPr>
      </w:pPr>
    </w:p>
    <w:p>
      <w:pPr>
        <w:ind w:left="1560" w:right="20" w:hanging="443"/>
        <w:spacing w:after="0"/>
        <w:tabs>
          <w:tab w:leader="none" w:pos="15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Includes stock options granted on February 20, 2018 that vested 25% on the first anniversary of the date of grant. An additional 25% will vest on the second anniversary of the date of grant and 50% will vest on the third anniversary of the date of grant.</w:t>
      </w:r>
    </w:p>
    <w:p>
      <w:pPr>
        <w:spacing w:after="0" w:line="162" w:lineRule="exact"/>
        <w:rPr>
          <w:rFonts w:ascii="Arial" w:cs="Arial" w:eastAsia="Arial" w:hAnsi="Arial"/>
          <w:sz w:val="15"/>
          <w:szCs w:val="15"/>
          <w:color w:val="auto"/>
        </w:rPr>
      </w:pPr>
    </w:p>
    <w:p>
      <w:pPr>
        <w:ind w:left="1560" w:hanging="443"/>
        <w:spacing w:after="0"/>
        <w:tabs>
          <w:tab w:leader="none" w:pos="15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Includes stock options granted on February 28, 2017 that vested 25% on the first and second anniversary of the date of grant. The remaining 50% will vest on the third anniversary of the date of grant.</w:t>
      </w:r>
    </w:p>
    <w:p>
      <w:pPr>
        <w:spacing w:after="0" w:line="162" w:lineRule="exact"/>
        <w:rPr>
          <w:rFonts w:ascii="Arial" w:cs="Arial" w:eastAsia="Arial" w:hAnsi="Arial"/>
          <w:sz w:val="15"/>
          <w:szCs w:val="15"/>
          <w:color w:val="auto"/>
        </w:rPr>
      </w:pPr>
    </w:p>
    <w:p>
      <w:pPr>
        <w:jc w:val="both"/>
        <w:ind w:left="1560" w:hanging="443"/>
        <w:spacing w:after="0" w:line="237" w:lineRule="auto"/>
        <w:tabs>
          <w:tab w:leader="none" w:pos="15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Includes the following number of RSUs granted under our 2014 Stock Incentive Plan to Ms. Hemmer and Mr. Batchelor as incentive compensation prior to their promotion to the senior leadership team: Ms. Hemmer — 646 granted on February 28, 2017 and 685 granted on May 2, 2017; Mr. Batchelor — 592 granted on February 28, 2017 and 515 granted on February 20, 2018. All RSUs vest on the third anniversary of the date of grant.</w:t>
      </w:r>
    </w:p>
    <w:p>
      <w:pPr>
        <w:spacing w:after="0" w:line="175" w:lineRule="exact"/>
        <w:rPr>
          <w:rFonts w:ascii="Arial" w:cs="Arial" w:eastAsia="Arial" w:hAnsi="Arial"/>
          <w:sz w:val="15"/>
          <w:szCs w:val="15"/>
          <w:color w:val="auto"/>
        </w:rPr>
      </w:pPr>
    </w:p>
    <w:p>
      <w:pPr>
        <w:jc w:val="both"/>
        <w:ind w:left="1560" w:hanging="443"/>
        <w:spacing w:after="0" w:line="236" w:lineRule="auto"/>
        <w:tabs>
          <w:tab w:leader="none" w:pos="15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Includes PSUs with three-year performance periods ending December 31, 2020 and December 31, 2021. Payouts on PSUs are made after the Company's financial results for the performance period are reported and the MD&amp;C Committee determines achievement of performance results and corresponding vesting, typically in mid to late February of the succeeding year. The PSUs for the performance period ended December 31, 2019 are not included in the table as they are considered earned as of December 31, 2019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2019 exceeded target, the payout value of unearned awards is calculated assuming maximum performance criteria is achieved. The following number of PSUs have a performance period ending December 31, 2020: Mr. Fish — 55,172; Ms. Rankin — 15,632; Mr. Morris — 16,552; Ms. Hemmer — 9,196; and Mr. Batchelor — 1,544. The following number of PSUs have a performance period ending December 31, 2021: Mr. Fish — 58,948; Ms. Rankin — 16,842; Mr. Morris — 18,526; Ms. Hemmer — 13,894; and Mr. Batchelor — 13,894.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77157"/>
        </w:rPr>
        <w:t>OPTION EXERCISES AND STOCK VESTED</w:t>
      </w: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145"/>
        </w:trPr>
        <w:tc>
          <w:tcPr>
            <w:tcW w:w="3260" w:type="dxa"/>
            <w:vAlign w:val="bottom"/>
          </w:tcPr>
          <w:p>
            <w:pPr>
              <w:spacing w:after="0"/>
              <w:rPr>
                <w:sz w:val="12"/>
                <w:szCs w:val="12"/>
                <w:color w:val="auto"/>
              </w:rPr>
            </w:pPr>
          </w:p>
        </w:tc>
        <w:tc>
          <w:tcPr>
            <w:tcW w:w="2860" w:type="dxa"/>
            <w:vAlign w:val="bottom"/>
            <w:tcBorders>
              <w:bottom w:val="single" w:sz="8" w:color="auto"/>
            </w:tcBorders>
            <w:gridSpan w:val="2"/>
          </w:tcPr>
          <w:p>
            <w:pPr>
              <w:ind w:left="1000"/>
              <w:spacing w:after="0"/>
              <w:rPr>
                <w:sz w:val="20"/>
                <w:szCs w:val="20"/>
                <w:color w:val="auto"/>
              </w:rPr>
            </w:pPr>
            <w:r>
              <w:rPr>
                <w:rFonts w:ascii="Arial" w:cs="Arial" w:eastAsia="Arial" w:hAnsi="Arial"/>
                <w:sz w:val="12"/>
                <w:szCs w:val="12"/>
                <w:b w:val="1"/>
                <w:bCs w:val="1"/>
                <w:color w:val="477157"/>
              </w:rPr>
              <w:t>Option Awards</w:t>
            </w:r>
          </w:p>
        </w:tc>
        <w:tc>
          <w:tcPr>
            <w:tcW w:w="140" w:type="dxa"/>
            <w:vAlign w:val="bottom"/>
          </w:tcPr>
          <w:p>
            <w:pPr>
              <w:spacing w:after="0"/>
              <w:rPr>
                <w:sz w:val="12"/>
                <w:szCs w:val="12"/>
                <w:color w:val="auto"/>
              </w:rPr>
            </w:pPr>
          </w:p>
        </w:tc>
        <w:tc>
          <w:tcPr>
            <w:tcW w:w="2720" w:type="dxa"/>
            <w:vAlign w:val="bottom"/>
            <w:tcBorders>
              <w:bottom w:val="single" w:sz="8" w:color="auto"/>
            </w:tcBorders>
            <w:gridSpan w:val="2"/>
          </w:tcPr>
          <w:p>
            <w:pPr>
              <w:jc w:val="right"/>
              <w:ind w:right="891"/>
              <w:spacing w:after="0"/>
              <w:rPr>
                <w:sz w:val="20"/>
                <w:szCs w:val="20"/>
                <w:color w:val="auto"/>
              </w:rPr>
            </w:pPr>
            <w:r>
              <w:rPr>
                <w:rFonts w:ascii="Arial" w:cs="Arial" w:eastAsia="Arial" w:hAnsi="Arial"/>
                <w:sz w:val="12"/>
                <w:szCs w:val="12"/>
                <w:b w:val="1"/>
                <w:bCs w:val="1"/>
                <w:color w:val="477157"/>
              </w:rPr>
              <w:t>Stock Awards</w:t>
            </w:r>
          </w:p>
        </w:tc>
        <w:tc>
          <w:tcPr>
            <w:tcW w:w="20" w:type="dxa"/>
            <w:vAlign w:val="bottom"/>
          </w:tcPr>
          <w:p>
            <w:pPr>
              <w:spacing w:after="0"/>
              <w:rPr>
                <w:sz w:val="12"/>
                <w:szCs w:val="12"/>
                <w:color w:val="auto"/>
              </w:rPr>
            </w:pPr>
          </w:p>
        </w:tc>
      </w:tr>
      <w:tr>
        <w:trPr>
          <w:trHeight w:val="126"/>
        </w:trPr>
        <w:tc>
          <w:tcPr>
            <w:tcW w:w="3260" w:type="dxa"/>
            <w:vAlign w:val="bottom"/>
          </w:tcPr>
          <w:p>
            <w:pPr>
              <w:spacing w:after="0"/>
              <w:rPr>
                <w:sz w:val="10"/>
                <w:szCs w:val="10"/>
                <w:color w:val="auto"/>
              </w:rPr>
            </w:pPr>
          </w:p>
        </w:tc>
        <w:tc>
          <w:tcPr>
            <w:tcW w:w="1720" w:type="dxa"/>
            <w:vAlign w:val="bottom"/>
          </w:tcPr>
          <w:p>
            <w:pPr>
              <w:jc w:val="right"/>
              <w:ind w:right="217"/>
              <w:spacing w:after="0" w:line="126" w:lineRule="exact"/>
              <w:rPr>
                <w:sz w:val="20"/>
                <w:szCs w:val="20"/>
                <w:color w:val="auto"/>
              </w:rPr>
            </w:pPr>
            <w:r>
              <w:rPr>
                <w:rFonts w:ascii="Arial" w:cs="Arial" w:eastAsia="Arial" w:hAnsi="Arial"/>
                <w:sz w:val="12"/>
                <w:szCs w:val="12"/>
                <w:b w:val="1"/>
                <w:bCs w:val="1"/>
                <w:color w:val="477157"/>
              </w:rPr>
              <w:t>Number of Shares</w:t>
            </w:r>
          </w:p>
        </w:tc>
        <w:tc>
          <w:tcPr>
            <w:tcW w:w="1280" w:type="dxa"/>
            <w:vAlign w:val="bottom"/>
            <w:gridSpan w:val="2"/>
          </w:tcPr>
          <w:p>
            <w:pPr>
              <w:jc w:val="right"/>
              <w:ind w:right="140"/>
              <w:spacing w:after="0" w:line="126" w:lineRule="exact"/>
              <w:rPr>
                <w:sz w:val="20"/>
                <w:szCs w:val="20"/>
                <w:color w:val="auto"/>
              </w:rPr>
            </w:pPr>
            <w:r>
              <w:rPr>
                <w:rFonts w:ascii="Arial" w:cs="Arial" w:eastAsia="Arial" w:hAnsi="Arial"/>
                <w:sz w:val="12"/>
                <w:szCs w:val="12"/>
                <w:b w:val="1"/>
                <w:bCs w:val="1"/>
                <w:color w:val="477157"/>
              </w:rPr>
              <w:t>Value Realized on</w:t>
            </w:r>
          </w:p>
        </w:tc>
        <w:tc>
          <w:tcPr>
            <w:tcW w:w="1620" w:type="dxa"/>
            <w:vAlign w:val="bottom"/>
          </w:tcPr>
          <w:p>
            <w:pPr>
              <w:jc w:val="right"/>
              <w:ind w:right="32"/>
              <w:spacing w:after="0" w:line="126" w:lineRule="exact"/>
              <w:rPr>
                <w:sz w:val="20"/>
                <w:szCs w:val="20"/>
                <w:color w:val="auto"/>
              </w:rPr>
            </w:pPr>
            <w:r>
              <w:rPr>
                <w:rFonts w:ascii="Arial" w:cs="Arial" w:eastAsia="Arial" w:hAnsi="Arial"/>
                <w:sz w:val="12"/>
                <w:szCs w:val="12"/>
                <w:b w:val="1"/>
                <w:bCs w:val="1"/>
                <w:color w:val="477157"/>
              </w:rPr>
              <w:t>Number of Shares</w:t>
            </w:r>
          </w:p>
        </w:tc>
        <w:tc>
          <w:tcPr>
            <w:tcW w:w="1100" w:type="dxa"/>
            <w:vAlign w:val="bottom"/>
          </w:tcPr>
          <w:p>
            <w:pPr>
              <w:jc w:val="right"/>
              <w:spacing w:after="0" w:line="126" w:lineRule="exact"/>
              <w:rPr>
                <w:sz w:val="20"/>
                <w:szCs w:val="20"/>
                <w:color w:val="auto"/>
              </w:rPr>
            </w:pPr>
            <w:r>
              <w:rPr>
                <w:rFonts w:ascii="Arial" w:cs="Arial" w:eastAsia="Arial" w:hAnsi="Arial"/>
                <w:sz w:val="12"/>
                <w:szCs w:val="12"/>
                <w:b w:val="1"/>
                <w:bCs w:val="1"/>
                <w:color w:val="477157"/>
              </w:rPr>
              <w:t>Value Realized on</w:t>
            </w:r>
          </w:p>
        </w:tc>
        <w:tc>
          <w:tcPr>
            <w:tcW w:w="20" w:type="dxa"/>
            <w:vAlign w:val="bottom"/>
          </w:tcPr>
          <w:p>
            <w:pPr>
              <w:spacing w:after="0"/>
              <w:rPr>
                <w:sz w:val="10"/>
                <w:szCs w:val="10"/>
                <w:color w:val="auto"/>
              </w:rPr>
            </w:pPr>
          </w:p>
        </w:tc>
      </w:tr>
      <w:tr>
        <w:trPr>
          <w:trHeight w:val="158"/>
        </w:trPr>
        <w:tc>
          <w:tcPr>
            <w:tcW w:w="3260" w:type="dxa"/>
            <w:vAlign w:val="bottom"/>
          </w:tcPr>
          <w:p>
            <w:pPr>
              <w:spacing w:after="0"/>
              <w:rPr>
                <w:sz w:val="20"/>
                <w:szCs w:val="20"/>
                <w:color w:val="auto"/>
              </w:rPr>
            </w:pPr>
            <w:r>
              <w:rPr>
                <w:rFonts w:ascii="Arial" w:cs="Arial" w:eastAsia="Arial" w:hAnsi="Arial"/>
                <w:sz w:val="12"/>
                <w:szCs w:val="12"/>
                <w:b w:val="1"/>
                <w:bCs w:val="1"/>
                <w:color w:val="477157"/>
              </w:rPr>
              <w:t>Name</w:t>
            </w:r>
          </w:p>
        </w:tc>
        <w:tc>
          <w:tcPr>
            <w:tcW w:w="1720" w:type="dxa"/>
            <w:vAlign w:val="bottom"/>
          </w:tcPr>
          <w:p>
            <w:pPr>
              <w:jc w:val="right"/>
              <w:ind w:right="217"/>
              <w:spacing w:after="0"/>
              <w:rPr>
                <w:sz w:val="20"/>
                <w:szCs w:val="20"/>
                <w:color w:val="auto"/>
              </w:rPr>
            </w:pPr>
            <w:r>
              <w:rPr>
                <w:rFonts w:ascii="Arial" w:cs="Arial" w:eastAsia="Arial" w:hAnsi="Arial"/>
                <w:sz w:val="12"/>
                <w:szCs w:val="12"/>
                <w:b w:val="1"/>
                <w:bCs w:val="1"/>
                <w:color w:val="477157"/>
              </w:rPr>
              <w:t>Acquired on Exercise (#)</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477157"/>
              </w:rPr>
              <w:t>Exercise ($)</w:t>
            </w:r>
          </w:p>
        </w:tc>
        <w:tc>
          <w:tcPr>
            <w:tcW w:w="1620" w:type="dxa"/>
            <w:vAlign w:val="bottom"/>
          </w:tcPr>
          <w:p>
            <w:pPr>
              <w:jc w:val="right"/>
              <w:ind w:right="32"/>
              <w:spacing w:after="0" w:line="157" w:lineRule="exact"/>
              <w:rPr>
                <w:sz w:val="20"/>
                <w:szCs w:val="20"/>
                <w:color w:val="auto"/>
              </w:rPr>
            </w:pPr>
            <w:r>
              <w:rPr>
                <w:rFonts w:ascii="Arial" w:cs="Arial" w:eastAsia="Arial" w:hAnsi="Arial"/>
                <w:sz w:val="12"/>
                <w:szCs w:val="12"/>
                <w:b w:val="1"/>
                <w:bCs w:val="1"/>
                <w:color w:val="477157"/>
              </w:rPr>
              <w:t>Acquired on Vesting (#)</w:t>
            </w:r>
            <w:r>
              <w:rPr>
                <w:rFonts w:ascii="Arial" w:cs="Arial" w:eastAsia="Arial" w:hAnsi="Arial"/>
                <w:sz w:val="18"/>
                <w:szCs w:val="18"/>
                <w:b w:val="1"/>
                <w:bCs w:val="1"/>
                <w:color w:val="477157"/>
                <w:vertAlign w:val="superscript"/>
              </w:rPr>
              <w:t>(1)</w:t>
            </w:r>
          </w:p>
        </w:tc>
        <w:tc>
          <w:tcPr>
            <w:tcW w:w="1120" w:type="dxa"/>
            <w:vAlign w:val="bottom"/>
            <w:gridSpan w:val="2"/>
          </w:tcPr>
          <w:p>
            <w:pPr>
              <w:jc w:val="right"/>
              <w:ind w:right="20"/>
              <w:spacing w:after="0" w:line="157" w:lineRule="exact"/>
              <w:rPr>
                <w:sz w:val="20"/>
                <w:szCs w:val="20"/>
                <w:color w:val="auto"/>
              </w:rPr>
            </w:pPr>
            <w:r>
              <w:rPr>
                <w:rFonts w:ascii="Arial" w:cs="Arial" w:eastAsia="Arial" w:hAnsi="Arial"/>
                <w:sz w:val="12"/>
                <w:szCs w:val="12"/>
                <w:b w:val="1"/>
                <w:bCs w:val="1"/>
                <w:color w:val="477157"/>
              </w:rPr>
              <w:t>Vesting ($)</w:t>
            </w:r>
            <w:r>
              <w:rPr>
                <w:rFonts w:ascii="Arial" w:cs="Arial" w:eastAsia="Arial" w:hAnsi="Arial"/>
                <w:sz w:val="18"/>
                <w:szCs w:val="18"/>
                <w:b w:val="1"/>
                <w:bCs w:val="1"/>
                <w:color w:val="477157"/>
                <w:vertAlign w:val="superscript"/>
              </w:rPr>
              <w:t>(1)</w:t>
            </w:r>
          </w:p>
        </w:tc>
      </w:tr>
      <w:tr>
        <w:trPr>
          <w:trHeight w:val="160"/>
        </w:trPr>
        <w:tc>
          <w:tcPr>
            <w:tcW w:w="3260" w:type="dxa"/>
            <w:vAlign w:val="bottom"/>
            <w:tcBorders>
              <w:top w:val="single" w:sz="8" w:color="477157"/>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James C. Fish, Jr.</w:t>
            </w:r>
          </w:p>
        </w:tc>
        <w:tc>
          <w:tcPr>
            <w:tcW w:w="1720" w:type="dxa"/>
            <w:vAlign w:val="bottom"/>
            <w:tcBorders>
              <w:top w:val="single" w:sz="8" w:color="477157"/>
              <w:bottom w:val="single" w:sz="8" w:color="477157"/>
            </w:tcBorders>
          </w:tcPr>
          <w:p>
            <w:pPr>
              <w:jc w:val="right"/>
              <w:ind w:right="77"/>
              <w:spacing w:after="0" w:line="160" w:lineRule="exact"/>
              <w:rPr>
                <w:sz w:val="20"/>
                <w:szCs w:val="20"/>
                <w:color w:val="auto"/>
              </w:rPr>
            </w:pPr>
            <w:r>
              <w:rPr>
                <w:rFonts w:ascii="Arial" w:cs="Arial" w:eastAsia="Arial" w:hAnsi="Arial"/>
                <w:sz w:val="12"/>
                <w:szCs w:val="12"/>
                <w:color w:val="auto"/>
              </w:rPr>
              <w:t>84,314</w:t>
            </w:r>
            <w:r>
              <w:rPr>
                <w:rFonts w:ascii="Arial" w:cs="Arial" w:eastAsia="Arial" w:hAnsi="Arial"/>
                <w:sz w:val="18"/>
                <w:szCs w:val="18"/>
                <w:color w:val="auto"/>
                <w:vertAlign w:val="superscript"/>
              </w:rPr>
              <w:t>(2)</w:t>
            </w:r>
          </w:p>
        </w:tc>
        <w:tc>
          <w:tcPr>
            <w:tcW w:w="1280" w:type="dxa"/>
            <w:vAlign w:val="bottom"/>
            <w:tcBorders>
              <w:top w:val="single" w:sz="8" w:color="477157"/>
              <w:bottom w:val="single" w:sz="8" w:color="477157"/>
            </w:tcBorders>
            <w:gridSpan w:val="2"/>
          </w:tcPr>
          <w:p>
            <w:pPr>
              <w:jc w:val="right"/>
              <w:ind w:right="140"/>
              <w:spacing w:after="0" w:line="161" w:lineRule="exact"/>
              <w:rPr>
                <w:sz w:val="20"/>
                <w:szCs w:val="20"/>
                <w:color w:val="auto"/>
              </w:rPr>
            </w:pPr>
            <w:r>
              <w:rPr>
                <w:rFonts w:ascii="Arial" w:cs="Arial" w:eastAsia="Arial" w:hAnsi="Arial"/>
                <w:sz w:val="15"/>
                <w:szCs w:val="15"/>
                <w:color w:val="auto"/>
              </w:rPr>
              <w:t>3,810,206</w:t>
            </w:r>
          </w:p>
        </w:tc>
        <w:tc>
          <w:tcPr>
            <w:tcW w:w="1620" w:type="dxa"/>
            <w:vAlign w:val="bottom"/>
            <w:tcBorders>
              <w:top w:val="single" w:sz="8" w:color="477157"/>
              <w:bottom w:val="single" w:sz="8" w:color="477157"/>
            </w:tcBorders>
          </w:tcPr>
          <w:p>
            <w:pPr>
              <w:jc w:val="right"/>
              <w:ind w:right="32"/>
              <w:spacing w:after="0" w:line="161" w:lineRule="exact"/>
              <w:rPr>
                <w:sz w:val="20"/>
                <w:szCs w:val="20"/>
                <w:color w:val="auto"/>
              </w:rPr>
            </w:pPr>
            <w:r>
              <w:rPr>
                <w:rFonts w:ascii="Arial" w:cs="Arial" w:eastAsia="Arial" w:hAnsi="Arial"/>
                <w:sz w:val="15"/>
                <w:szCs w:val="15"/>
                <w:color w:val="auto"/>
              </w:rPr>
              <w:t>116,391</w:t>
            </w:r>
          </w:p>
        </w:tc>
        <w:tc>
          <w:tcPr>
            <w:tcW w:w="1100" w:type="dxa"/>
            <w:vAlign w:val="bottom"/>
            <w:tcBorders>
              <w:top w:val="single" w:sz="8" w:color="477157"/>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14,369,680</w:t>
            </w:r>
          </w:p>
        </w:tc>
        <w:tc>
          <w:tcPr>
            <w:tcW w:w="20" w:type="dxa"/>
            <w:vAlign w:val="bottom"/>
          </w:tcPr>
          <w:p>
            <w:pPr>
              <w:spacing w:after="0"/>
              <w:rPr>
                <w:sz w:val="13"/>
                <w:szCs w:val="13"/>
                <w:color w:val="auto"/>
              </w:rPr>
            </w:pPr>
          </w:p>
        </w:tc>
      </w:tr>
      <w:tr>
        <w:trPr>
          <w:trHeight w:val="160"/>
        </w:trPr>
        <w:tc>
          <w:tcPr>
            <w:tcW w:w="32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Devina A. Rankin</w:t>
            </w:r>
          </w:p>
        </w:tc>
        <w:tc>
          <w:tcPr>
            <w:tcW w:w="1720" w:type="dxa"/>
            <w:vAlign w:val="bottom"/>
            <w:tcBorders>
              <w:bottom w:val="single" w:sz="8" w:color="477157"/>
            </w:tcBorders>
          </w:tcPr>
          <w:p>
            <w:pPr>
              <w:jc w:val="right"/>
              <w:ind w:right="217"/>
              <w:spacing w:after="0" w:line="161"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477157"/>
            </w:tcBorders>
            <w:gridSpan w:val="2"/>
          </w:tcPr>
          <w:p>
            <w:pPr>
              <w:jc w:val="right"/>
              <w:ind w:right="140"/>
              <w:spacing w:after="0" w:line="161" w:lineRule="exact"/>
              <w:rPr>
                <w:sz w:val="20"/>
                <w:szCs w:val="20"/>
                <w:color w:val="auto"/>
              </w:rPr>
            </w:pPr>
            <w:r>
              <w:rPr>
                <w:rFonts w:ascii="Arial" w:cs="Arial" w:eastAsia="Arial" w:hAnsi="Arial"/>
                <w:sz w:val="15"/>
                <w:szCs w:val="15"/>
                <w:color w:val="auto"/>
              </w:rPr>
              <w:t>—</w:t>
            </w:r>
          </w:p>
        </w:tc>
        <w:tc>
          <w:tcPr>
            <w:tcW w:w="1620" w:type="dxa"/>
            <w:vAlign w:val="bottom"/>
            <w:tcBorders>
              <w:bottom w:val="single" w:sz="8" w:color="477157"/>
            </w:tcBorders>
          </w:tcPr>
          <w:p>
            <w:pPr>
              <w:jc w:val="right"/>
              <w:ind w:right="32"/>
              <w:spacing w:after="0" w:line="161" w:lineRule="exact"/>
              <w:rPr>
                <w:sz w:val="20"/>
                <w:szCs w:val="20"/>
                <w:color w:val="auto"/>
              </w:rPr>
            </w:pPr>
            <w:r>
              <w:rPr>
                <w:rFonts w:ascii="Arial" w:cs="Arial" w:eastAsia="Arial" w:hAnsi="Arial"/>
                <w:sz w:val="15"/>
                <w:szCs w:val="15"/>
                <w:color w:val="auto"/>
              </w:rPr>
              <w:t>22,996</w:t>
            </w:r>
          </w:p>
        </w:tc>
        <w:tc>
          <w:tcPr>
            <w:tcW w:w="1120" w:type="dxa"/>
            <w:vAlign w:val="bottom"/>
            <w:tcBorders>
              <w:bottom w:val="single" w:sz="8" w:color="477157"/>
            </w:tcBorders>
            <w:gridSpan w:val="2"/>
          </w:tcPr>
          <w:p>
            <w:pPr>
              <w:jc w:val="right"/>
              <w:ind w:right="20"/>
              <w:spacing w:after="0" w:line="161" w:lineRule="exact"/>
              <w:rPr>
                <w:sz w:val="20"/>
                <w:szCs w:val="20"/>
                <w:color w:val="auto"/>
              </w:rPr>
            </w:pPr>
            <w:r>
              <w:rPr>
                <w:rFonts w:ascii="Arial" w:cs="Arial" w:eastAsia="Arial" w:hAnsi="Arial"/>
                <w:sz w:val="15"/>
                <w:szCs w:val="15"/>
                <w:color w:val="auto"/>
              </w:rPr>
              <w:t>2,834,311</w:t>
            </w:r>
          </w:p>
        </w:tc>
      </w:tr>
      <w:tr>
        <w:trPr>
          <w:trHeight w:val="160"/>
        </w:trPr>
        <w:tc>
          <w:tcPr>
            <w:tcW w:w="32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John J. Morris, Jr.</w:t>
            </w:r>
          </w:p>
        </w:tc>
        <w:tc>
          <w:tcPr>
            <w:tcW w:w="1720" w:type="dxa"/>
            <w:vAlign w:val="bottom"/>
            <w:tcBorders>
              <w:bottom w:val="single" w:sz="8" w:color="477157"/>
            </w:tcBorders>
          </w:tcPr>
          <w:p>
            <w:pPr>
              <w:jc w:val="right"/>
              <w:ind w:right="77"/>
              <w:spacing w:after="0" w:line="160" w:lineRule="exact"/>
              <w:rPr>
                <w:sz w:val="20"/>
                <w:szCs w:val="20"/>
                <w:color w:val="auto"/>
              </w:rPr>
            </w:pPr>
            <w:r>
              <w:rPr>
                <w:rFonts w:ascii="Arial" w:cs="Arial" w:eastAsia="Arial" w:hAnsi="Arial"/>
                <w:sz w:val="12"/>
                <w:szCs w:val="12"/>
                <w:color w:val="auto"/>
              </w:rPr>
              <w:t>42,795</w:t>
            </w:r>
            <w:r>
              <w:rPr>
                <w:rFonts w:ascii="Arial" w:cs="Arial" w:eastAsia="Arial" w:hAnsi="Arial"/>
                <w:sz w:val="18"/>
                <w:szCs w:val="18"/>
                <w:color w:val="auto"/>
                <w:vertAlign w:val="superscript"/>
              </w:rPr>
              <w:t>(3)</w:t>
            </w:r>
          </w:p>
        </w:tc>
        <w:tc>
          <w:tcPr>
            <w:tcW w:w="1280" w:type="dxa"/>
            <w:vAlign w:val="bottom"/>
            <w:tcBorders>
              <w:bottom w:val="single" w:sz="8" w:color="477157"/>
            </w:tcBorders>
            <w:gridSpan w:val="2"/>
          </w:tcPr>
          <w:p>
            <w:pPr>
              <w:jc w:val="right"/>
              <w:ind w:right="140"/>
              <w:spacing w:after="0" w:line="161" w:lineRule="exact"/>
              <w:rPr>
                <w:sz w:val="20"/>
                <w:szCs w:val="20"/>
                <w:color w:val="auto"/>
              </w:rPr>
            </w:pPr>
            <w:r>
              <w:rPr>
                <w:rFonts w:ascii="Arial" w:cs="Arial" w:eastAsia="Arial" w:hAnsi="Arial"/>
                <w:sz w:val="15"/>
                <w:szCs w:val="15"/>
                <w:color w:val="auto"/>
              </w:rPr>
              <w:t>1,813,700</w:t>
            </w:r>
          </w:p>
        </w:tc>
        <w:tc>
          <w:tcPr>
            <w:tcW w:w="1620" w:type="dxa"/>
            <w:vAlign w:val="bottom"/>
            <w:tcBorders>
              <w:bottom w:val="single" w:sz="8" w:color="477157"/>
            </w:tcBorders>
          </w:tcPr>
          <w:p>
            <w:pPr>
              <w:jc w:val="right"/>
              <w:ind w:right="32"/>
              <w:spacing w:after="0" w:line="161" w:lineRule="exact"/>
              <w:rPr>
                <w:sz w:val="20"/>
                <w:szCs w:val="20"/>
                <w:color w:val="auto"/>
              </w:rPr>
            </w:pPr>
            <w:r>
              <w:rPr>
                <w:rFonts w:ascii="Arial" w:cs="Arial" w:eastAsia="Arial" w:hAnsi="Arial"/>
                <w:sz w:val="15"/>
                <w:szCs w:val="15"/>
                <w:color w:val="auto"/>
              </w:rPr>
              <w:t>33,356</w:t>
            </w:r>
          </w:p>
        </w:tc>
        <w:tc>
          <w:tcPr>
            <w:tcW w:w="1120" w:type="dxa"/>
            <w:vAlign w:val="bottom"/>
            <w:tcBorders>
              <w:bottom w:val="single" w:sz="8" w:color="477157"/>
            </w:tcBorders>
            <w:gridSpan w:val="2"/>
          </w:tcPr>
          <w:p>
            <w:pPr>
              <w:jc w:val="right"/>
              <w:ind w:right="20"/>
              <w:spacing w:after="0" w:line="161" w:lineRule="exact"/>
              <w:rPr>
                <w:sz w:val="20"/>
                <w:szCs w:val="20"/>
                <w:color w:val="auto"/>
              </w:rPr>
            </w:pPr>
            <w:r>
              <w:rPr>
                <w:rFonts w:ascii="Arial" w:cs="Arial" w:eastAsia="Arial" w:hAnsi="Arial"/>
                <w:sz w:val="15"/>
                <w:szCs w:val="15"/>
                <w:color w:val="auto"/>
              </w:rPr>
              <w:t>4,138,145</w:t>
            </w:r>
          </w:p>
        </w:tc>
      </w:tr>
      <w:tr>
        <w:trPr>
          <w:trHeight w:val="160"/>
        </w:trPr>
        <w:tc>
          <w:tcPr>
            <w:tcW w:w="32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Tara J. Hemmer</w:t>
            </w:r>
          </w:p>
        </w:tc>
        <w:tc>
          <w:tcPr>
            <w:tcW w:w="1720" w:type="dxa"/>
            <w:vAlign w:val="bottom"/>
            <w:tcBorders>
              <w:bottom w:val="single" w:sz="8" w:color="477157"/>
            </w:tcBorders>
          </w:tcPr>
          <w:p>
            <w:pPr>
              <w:jc w:val="right"/>
              <w:ind w:right="77"/>
              <w:spacing w:after="0" w:line="160" w:lineRule="exact"/>
              <w:rPr>
                <w:sz w:val="20"/>
                <w:szCs w:val="20"/>
                <w:color w:val="auto"/>
              </w:rPr>
            </w:pPr>
            <w:r>
              <w:rPr>
                <w:rFonts w:ascii="Arial" w:cs="Arial" w:eastAsia="Arial" w:hAnsi="Arial"/>
                <w:sz w:val="12"/>
                <w:szCs w:val="12"/>
                <w:color w:val="auto"/>
              </w:rPr>
              <w:t>14,539</w:t>
            </w:r>
            <w:r>
              <w:rPr>
                <w:rFonts w:ascii="Arial" w:cs="Arial" w:eastAsia="Arial" w:hAnsi="Arial"/>
                <w:sz w:val="18"/>
                <w:szCs w:val="18"/>
                <w:color w:val="auto"/>
                <w:vertAlign w:val="superscript"/>
              </w:rPr>
              <w:t>(4)</w:t>
            </w:r>
          </w:p>
        </w:tc>
        <w:tc>
          <w:tcPr>
            <w:tcW w:w="1280" w:type="dxa"/>
            <w:vAlign w:val="bottom"/>
            <w:tcBorders>
              <w:bottom w:val="single" w:sz="8" w:color="477157"/>
            </w:tcBorders>
            <w:gridSpan w:val="2"/>
          </w:tcPr>
          <w:p>
            <w:pPr>
              <w:jc w:val="right"/>
              <w:ind w:right="140"/>
              <w:spacing w:after="0" w:line="161" w:lineRule="exact"/>
              <w:rPr>
                <w:sz w:val="20"/>
                <w:szCs w:val="20"/>
                <w:color w:val="auto"/>
              </w:rPr>
            </w:pPr>
            <w:r>
              <w:rPr>
                <w:rFonts w:ascii="Arial" w:cs="Arial" w:eastAsia="Arial" w:hAnsi="Arial"/>
                <w:sz w:val="15"/>
                <w:szCs w:val="15"/>
                <w:color w:val="auto"/>
              </w:rPr>
              <w:t>974,903</w:t>
            </w:r>
          </w:p>
        </w:tc>
        <w:tc>
          <w:tcPr>
            <w:tcW w:w="1620" w:type="dxa"/>
            <w:vAlign w:val="bottom"/>
            <w:tcBorders>
              <w:bottom w:val="single" w:sz="8" w:color="477157"/>
            </w:tcBorders>
          </w:tcPr>
          <w:p>
            <w:pPr>
              <w:jc w:val="right"/>
              <w:ind w:right="32"/>
              <w:spacing w:after="0" w:line="161" w:lineRule="exact"/>
              <w:rPr>
                <w:sz w:val="20"/>
                <w:szCs w:val="20"/>
                <w:color w:val="auto"/>
              </w:rPr>
            </w:pPr>
            <w:r>
              <w:rPr>
                <w:rFonts w:ascii="Arial" w:cs="Arial" w:eastAsia="Arial" w:hAnsi="Arial"/>
                <w:sz w:val="15"/>
                <w:szCs w:val="15"/>
                <w:color w:val="auto"/>
              </w:rPr>
              <w:t>4,597</w:t>
            </w:r>
          </w:p>
        </w:tc>
        <w:tc>
          <w:tcPr>
            <w:tcW w:w="1120" w:type="dxa"/>
            <w:vAlign w:val="bottom"/>
            <w:tcBorders>
              <w:bottom w:val="single" w:sz="8" w:color="477157"/>
            </w:tcBorders>
            <w:gridSpan w:val="2"/>
          </w:tcPr>
          <w:p>
            <w:pPr>
              <w:jc w:val="right"/>
              <w:ind w:right="20"/>
              <w:spacing w:after="0" w:line="161" w:lineRule="exact"/>
              <w:rPr>
                <w:sz w:val="20"/>
                <w:szCs w:val="20"/>
                <w:color w:val="auto"/>
              </w:rPr>
            </w:pPr>
            <w:r>
              <w:rPr>
                <w:rFonts w:ascii="Arial" w:cs="Arial" w:eastAsia="Arial" w:hAnsi="Arial"/>
                <w:sz w:val="15"/>
                <w:szCs w:val="15"/>
                <w:color w:val="auto"/>
              </w:rPr>
              <w:t>551,315</w:t>
            </w:r>
          </w:p>
        </w:tc>
      </w:tr>
      <w:tr>
        <w:trPr>
          <w:trHeight w:val="160"/>
        </w:trPr>
        <w:tc>
          <w:tcPr>
            <w:tcW w:w="326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Steven R. Batchelor</w:t>
            </w:r>
          </w:p>
        </w:tc>
        <w:tc>
          <w:tcPr>
            <w:tcW w:w="1720" w:type="dxa"/>
            <w:vAlign w:val="bottom"/>
            <w:tcBorders>
              <w:bottom w:val="single" w:sz="8" w:color="477157"/>
            </w:tcBorders>
          </w:tcPr>
          <w:p>
            <w:pPr>
              <w:jc w:val="right"/>
              <w:ind w:right="217"/>
              <w:spacing w:after="0" w:line="161"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477157"/>
            </w:tcBorders>
            <w:gridSpan w:val="2"/>
          </w:tcPr>
          <w:p>
            <w:pPr>
              <w:jc w:val="right"/>
              <w:ind w:right="140"/>
              <w:spacing w:after="0" w:line="161" w:lineRule="exact"/>
              <w:rPr>
                <w:sz w:val="20"/>
                <w:szCs w:val="20"/>
                <w:color w:val="auto"/>
              </w:rPr>
            </w:pPr>
            <w:r>
              <w:rPr>
                <w:rFonts w:ascii="Arial" w:cs="Arial" w:eastAsia="Arial" w:hAnsi="Arial"/>
                <w:sz w:val="15"/>
                <w:szCs w:val="15"/>
                <w:color w:val="auto"/>
              </w:rPr>
              <w:t>—</w:t>
            </w:r>
          </w:p>
        </w:tc>
        <w:tc>
          <w:tcPr>
            <w:tcW w:w="1620" w:type="dxa"/>
            <w:vAlign w:val="bottom"/>
            <w:tcBorders>
              <w:bottom w:val="single" w:sz="8" w:color="477157"/>
            </w:tcBorders>
          </w:tcPr>
          <w:p>
            <w:pPr>
              <w:jc w:val="right"/>
              <w:ind w:right="32"/>
              <w:spacing w:after="0" w:line="161" w:lineRule="exact"/>
              <w:rPr>
                <w:sz w:val="20"/>
                <w:szCs w:val="20"/>
                <w:color w:val="auto"/>
              </w:rPr>
            </w:pPr>
            <w:r>
              <w:rPr>
                <w:rFonts w:ascii="Arial" w:cs="Arial" w:eastAsia="Arial" w:hAnsi="Arial"/>
                <w:sz w:val="15"/>
                <w:szCs w:val="15"/>
                <w:color w:val="auto"/>
              </w:rPr>
              <w:t>4,281</w:t>
            </w:r>
          </w:p>
        </w:tc>
        <w:tc>
          <w:tcPr>
            <w:tcW w:w="1120" w:type="dxa"/>
            <w:vAlign w:val="bottom"/>
            <w:tcBorders>
              <w:bottom w:val="single" w:sz="8" w:color="477157"/>
            </w:tcBorders>
            <w:gridSpan w:val="2"/>
          </w:tcPr>
          <w:p>
            <w:pPr>
              <w:jc w:val="right"/>
              <w:ind w:right="20"/>
              <w:spacing w:after="0" w:line="161" w:lineRule="exact"/>
              <w:rPr>
                <w:sz w:val="20"/>
                <w:szCs w:val="20"/>
                <w:color w:val="auto"/>
              </w:rPr>
            </w:pPr>
            <w:r>
              <w:rPr>
                <w:rFonts w:ascii="Arial" w:cs="Arial" w:eastAsia="Arial" w:hAnsi="Arial"/>
                <w:sz w:val="15"/>
                <w:szCs w:val="15"/>
                <w:color w:val="auto"/>
              </w:rPr>
              <w:t>512,112</w:t>
            </w:r>
          </w:p>
        </w:tc>
      </w:tr>
    </w:tbl>
    <w:p>
      <w:pPr>
        <w:spacing w:after="0" w:line="183" w:lineRule="exact"/>
        <w:rPr>
          <w:sz w:val="20"/>
          <w:szCs w:val="20"/>
          <w:color w:val="auto"/>
        </w:rPr>
      </w:pPr>
    </w:p>
    <w:p>
      <w:pPr>
        <w:jc w:val="both"/>
        <w:ind w:left="1560" w:hanging="443"/>
        <w:spacing w:after="0" w:line="236" w:lineRule="auto"/>
        <w:tabs>
          <w:tab w:leader="none" w:pos="15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shares of the Company's Common Stock issued on account of PSUs granted in 2017 with a performance period ended December 31, 2019. The determination of achievement of performance results and corresponding vesting of such PSUs was performed by the MD&amp;C Committee in February 2020. Following such determination, shares of the Company's Common Stock earned under this award were issued on February 13, 2020, based on the average of the high and low market price of our Common Stock on that date. Also includes the following number of RSUs that vested in 2019: Mr. Fish — 5,208; Ms. Rankin — 759; Ms. Hemmer — 776; and Mr. Batchelor — 776. The value of RSUs realized on vesting was calculated using the average of the high and low market price of our Common Stock on the date of vesting.</w:t>
      </w:r>
    </w:p>
    <w:p>
      <w:pPr>
        <w:spacing w:after="0" w:line="165" w:lineRule="exact"/>
        <w:rPr>
          <w:rFonts w:ascii="Arial" w:cs="Arial" w:eastAsia="Arial" w:hAnsi="Arial"/>
          <w:sz w:val="15"/>
          <w:szCs w:val="15"/>
          <w:color w:val="auto"/>
        </w:rPr>
      </w:pPr>
    </w:p>
    <w:p>
      <w:pPr>
        <w:ind w:left="1560" w:hanging="443"/>
        <w:spacing w:after="0"/>
        <w:tabs>
          <w:tab w:leader="none" w:pos="15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Mr. Fish received 19,834 net shares after withholdings and the sale of shares to cover option costs and taxes.</w:t>
      </w:r>
    </w:p>
    <w:p>
      <w:pPr>
        <w:spacing w:after="0" w:line="176" w:lineRule="exact"/>
        <w:rPr>
          <w:rFonts w:ascii="Arial" w:cs="Arial" w:eastAsia="Arial" w:hAnsi="Arial"/>
          <w:sz w:val="15"/>
          <w:szCs w:val="15"/>
          <w:color w:val="auto"/>
        </w:rPr>
      </w:pPr>
    </w:p>
    <w:p>
      <w:pPr>
        <w:ind w:left="1560" w:hanging="443"/>
        <w:spacing w:after="0"/>
        <w:tabs>
          <w:tab w:leader="none" w:pos="15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Mr. Morris received 10,340 net shares after withholdings and the sale of shares to cover option costs and taxes.</w:t>
      </w:r>
    </w:p>
    <w:p>
      <w:pPr>
        <w:spacing w:after="0" w:line="165" w:lineRule="exact"/>
        <w:rPr>
          <w:rFonts w:ascii="Arial" w:cs="Arial" w:eastAsia="Arial" w:hAnsi="Arial"/>
          <w:sz w:val="15"/>
          <w:szCs w:val="15"/>
          <w:color w:val="auto"/>
        </w:rPr>
      </w:pPr>
    </w:p>
    <w:p>
      <w:pPr>
        <w:ind w:left="1560" w:hanging="443"/>
        <w:spacing w:after="0"/>
        <w:tabs>
          <w:tab w:leader="none" w:pos="15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Ms. Hemmer received 5,161 net shares after withholdings and the sale of shares to cover option costs and taxes.</w:t>
      </w:r>
    </w:p>
    <w:p>
      <w:pPr>
        <w:spacing w:after="0" w:line="158"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477157"/>
        </w:rPr>
        <w:t>Nonqualified Deferred Compensation in 2019</w:t>
      </w:r>
    </w:p>
    <w:p>
      <w:pPr>
        <w:sectPr>
          <w:pgSz w:w="11900" w:h="16838" w:orient="portrait"/>
          <w:cols w:equalWidth="0" w:num="1">
            <w:col w:w="11260"/>
          </w:cols>
          <w:pgMar w:left="320" w:top="142" w:right="319" w:bottom="1440" w:gutter="0" w:footer="0" w:header="0"/>
        </w:sectPr>
      </w:pPr>
    </w:p>
    <w:p>
      <w:pPr>
        <w:spacing w:after="0" w:line="387"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Each of our named executive officers is eligible to participate in our 409A Deferral Plan and may elect to defer receipt of portions of their base salary and cash incentives in excess of the annual compensation threshold established under Section 401(a)(17) of the IRC, referred to as the "Threshold." As of 2019, the Threshold was $280,000. The plan provides that eligible employees may defer for payment at a future date (i) up to 25% of base salary and up to 100% of annual cash incentives payable after the aggregate of such compensation components reaches the Threshold; (ii) receipt of any RSUs and (iii) receipt of any PSUs. The Company match provided under the 409A Deferral Plan is dollar for dollar on the employee's 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Participating employees generally can elect to receive distributions 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158"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tbl>
      <w:tblPr>
        <w:tblLayout w:type="fixed"/>
        <w:tblInd w:w="112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1740" w:type="dxa"/>
            <w:vAlign w:val="bottom"/>
          </w:tcPr>
          <w:p>
            <w:pPr>
              <w:jc w:val="right"/>
              <w:ind w:right="13"/>
              <w:spacing w:after="0"/>
              <w:rPr>
                <w:sz w:val="20"/>
                <w:szCs w:val="20"/>
                <w:color w:val="auto"/>
              </w:rPr>
            </w:pPr>
            <w:r>
              <w:rPr>
                <w:rFonts w:ascii="Arial" w:cs="Arial" w:eastAsia="Arial" w:hAnsi="Arial"/>
                <w:sz w:val="12"/>
                <w:szCs w:val="12"/>
                <w:b w:val="1"/>
                <w:bCs w:val="1"/>
                <w:color w:val="477157"/>
              </w:rPr>
              <w:t>Executive</w:t>
            </w:r>
          </w:p>
        </w:tc>
        <w:tc>
          <w:tcPr>
            <w:tcW w:w="1360" w:type="dxa"/>
            <w:vAlign w:val="bottom"/>
          </w:tcPr>
          <w:p>
            <w:pPr>
              <w:jc w:val="right"/>
              <w:ind w:right="413"/>
              <w:spacing w:after="0"/>
              <w:rPr>
                <w:sz w:val="20"/>
                <w:szCs w:val="20"/>
                <w:color w:val="auto"/>
              </w:rPr>
            </w:pPr>
            <w:r>
              <w:rPr>
                <w:rFonts w:ascii="Arial" w:cs="Arial" w:eastAsia="Arial" w:hAnsi="Arial"/>
                <w:sz w:val="12"/>
                <w:szCs w:val="12"/>
                <w:b w:val="1"/>
                <w:bCs w:val="1"/>
                <w:color w:val="477157"/>
              </w:rPr>
              <w:t>Registrant</w:t>
            </w:r>
          </w:p>
        </w:tc>
        <w:tc>
          <w:tcPr>
            <w:tcW w:w="1260" w:type="dxa"/>
            <w:vAlign w:val="bottom"/>
          </w:tcPr>
          <w:p>
            <w:pPr>
              <w:jc w:val="right"/>
              <w:ind w:right="53"/>
              <w:spacing w:after="0"/>
              <w:rPr>
                <w:sz w:val="20"/>
                <w:szCs w:val="20"/>
                <w:color w:val="auto"/>
              </w:rPr>
            </w:pPr>
            <w:r>
              <w:rPr>
                <w:rFonts w:ascii="Arial" w:cs="Arial" w:eastAsia="Arial" w:hAnsi="Arial"/>
                <w:sz w:val="12"/>
                <w:szCs w:val="12"/>
                <w:b w:val="1"/>
                <w:bCs w:val="1"/>
                <w:color w:val="477157"/>
              </w:rPr>
              <w:t>Aggregate</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5"/>
        </w:trPr>
        <w:tc>
          <w:tcPr>
            <w:tcW w:w="2240" w:type="dxa"/>
            <w:vAlign w:val="bottom"/>
          </w:tcPr>
          <w:p>
            <w:pPr>
              <w:spacing w:after="0"/>
              <w:rPr>
                <w:sz w:val="11"/>
                <w:szCs w:val="11"/>
                <w:color w:val="auto"/>
              </w:rPr>
            </w:pPr>
          </w:p>
        </w:tc>
        <w:tc>
          <w:tcPr>
            <w:tcW w:w="1740" w:type="dxa"/>
            <w:vAlign w:val="bottom"/>
          </w:tcPr>
          <w:p>
            <w:pPr>
              <w:jc w:val="right"/>
              <w:ind w:right="13"/>
              <w:spacing w:after="0" w:line="136" w:lineRule="exact"/>
              <w:rPr>
                <w:sz w:val="20"/>
                <w:szCs w:val="20"/>
                <w:color w:val="auto"/>
              </w:rPr>
            </w:pPr>
            <w:r>
              <w:rPr>
                <w:rFonts w:ascii="Arial" w:cs="Arial" w:eastAsia="Arial" w:hAnsi="Arial"/>
                <w:sz w:val="12"/>
                <w:szCs w:val="12"/>
                <w:b w:val="1"/>
                <w:bCs w:val="1"/>
                <w:color w:val="477157"/>
              </w:rPr>
              <w:t>Contributions</w:t>
            </w:r>
          </w:p>
        </w:tc>
        <w:tc>
          <w:tcPr>
            <w:tcW w:w="1360" w:type="dxa"/>
            <w:vAlign w:val="bottom"/>
          </w:tcPr>
          <w:p>
            <w:pPr>
              <w:jc w:val="right"/>
              <w:ind w:right="413"/>
              <w:spacing w:after="0" w:line="136" w:lineRule="exact"/>
              <w:rPr>
                <w:sz w:val="20"/>
                <w:szCs w:val="20"/>
                <w:color w:val="auto"/>
              </w:rPr>
            </w:pPr>
            <w:r>
              <w:rPr>
                <w:rFonts w:ascii="Arial" w:cs="Arial" w:eastAsia="Arial" w:hAnsi="Arial"/>
                <w:sz w:val="12"/>
                <w:szCs w:val="12"/>
                <w:b w:val="1"/>
                <w:bCs w:val="1"/>
                <w:color w:val="477157"/>
              </w:rPr>
              <w:t>Contributions</w:t>
            </w:r>
          </w:p>
        </w:tc>
        <w:tc>
          <w:tcPr>
            <w:tcW w:w="1260" w:type="dxa"/>
            <w:vAlign w:val="bottom"/>
          </w:tcPr>
          <w:p>
            <w:pPr>
              <w:jc w:val="right"/>
              <w:ind w:right="53"/>
              <w:spacing w:after="0" w:line="136" w:lineRule="exact"/>
              <w:rPr>
                <w:sz w:val="20"/>
                <w:szCs w:val="20"/>
                <w:color w:val="auto"/>
              </w:rPr>
            </w:pPr>
            <w:r>
              <w:rPr>
                <w:rFonts w:ascii="Arial" w:cs="Arial" w:eastAsia="Arial" w:hAnsi="Arial"/>
                <w:sz w:val="12"/>
                <w:szCs w:val="12"/>
                <w:b w:val="1"/>
                <w:bCs w:val="1"/>
                <w:color w:val="477157"/>
              </w:rPr>
              <w:t>Earnings</w:t>
            </w:r>
          </w:p>
        </w:tc>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2240" w:type="dxa"/>
            <w:vAlign w:val="bottom"/>
          </w:tcPr>
          <w:p>
            <w:pPr>
              <w:spacing w:after="0"/>
              <w:rPr>
                <w:sz w:val="11"/>
                <w:szCs w:val="11"/>
                <w:color w:val="auto"/>
              </w:rPr>
            </w:pPr>
          </w:p>
        </w:tc>
        <w:tc>
          <w:tcPr>
            <w:tcW w:w="1740" w:type="dxa"/>
            <w:vAlign w:val="bottom"/>
          </w:tcPr>
          <w:p>
            <w:pPr>
              <w:jc w:val="right"/>
              <w:ind w:right="13"/>
              <w:spacing w:after="0" w:line="136" w:lineRule="exact"/>
              <w:rPr>
                <w:sz w:val="20"/>
                <w:szCs w:val="20"/>
                <w:color w:val="auto"/>
              </w:rPr>
            </w:pPr>
            <w:r>
              <w:rPr>
                <w:rFonts w:ascii="Arial" w:cs="Arial" w:eastAsia="Arial" w:hAnsi="Arial"/>
                <w:sz w:val="12"/>
                <w:szCs w:val="12"/>
                <w:b w:val="1"/>
                <w:bCs w:val="1"/>
                <w:color w:val="477157"/>
              </w:rPr>
              <w:t>in Last</w:t>
            </w:r>
          </w:p>
        </w:tc>
        <w:tc>
          <w:tcPr>
            <w:tcW w:w="1360" w:type="dxa"/>
            <w:vAlign w:val="bottom"/>
          </w:tcPr>
          <w:p>
            <w:pPr>
              <w:jc w:val="right"/>
              <w:ind w:right="413"/>
              <w:spacing w:after="0" w:line="136" w:lineRule="exact"/>
              <w:rPr>
                <w:sz w:val="20"/>
                <w:szCs w:val="20"/>
                <w:color w:val="auto"/>
              </w:rPr>
            </w:pPr>
            <w:r>
              <w:rPr>
                <w:rFonts w:ascii="Arial" w:cs="Arial" w:eastAsia="Arial" w:hAnsi="Arial"/>
                <w:sz w:val="12"/>
                <w:szCs w:val="12"/>
                <w:b w:val="1"/>
                <w:bCs w:val="1"/>
                <w:color w:val="477157"/>
              </w:rPr>
              <w:t>in Last</w:t>
            </w:r>
          </w:p>
        </w:tc>
        <w:tc>
          <w:tcPr>
            <w:tcW w:w="1260" w:type="dxa"/>
            <w:vAlign w:val="bottom"/>
          </w:tcPr>
          <w:p>
            <w:pPr>
              <w:jc w:val="right"/>
              <w:ind w:right="53"/>
              <w:spacing w:after="0" w:line="136" w:lineRule="exact"/>
              <w:rPr>
                <w:sz w:val="20"/>
                <w:szCs w:val="20"/>
                <w:color w:val="auto"/>
              </w:rPr>
            </w:pPr>
            <w:r>
              <w:rPr>
                <w:rFonts w:ascii="Arial" w:cs="Arial" w:eastAsia="Arial" w:hAnsi="Arial"/>
                <w:sz w:val="12"/>
                <w:szCs w:val="12"/>
                <w:b w:val="1"/>
                <w:bCs w:val="1"/>
                <w:color w:val="477157"/>
              </w:rPr>
              <w:t>in Last</w:t>
            </w:r>
          </w:p>
        </w:tc>
        <w:tc>
          <w:tcPr>
            <w:tcW w:w="1220" w:type="dxa"/>
            <w:vAlign w:val="bottom"/>
          </w:tcPr>
          <w:p>
            <w:pPr>
              <w:jc w:val="right"/>
              <w:ind w:right="12"/>
              <w:spacing w:after="0" w:line="136" w:lineRule="exact"/>
              <w:rPr>
                <w:sz w:val="20"/>
                <w:szCs w:val="20"/>
                <w:color w:val="auto"/>
              </w:rPr>
            </w:pPr>
            <w:r>
              <w:rPr>
                <w:rFonts w:ascii="Arial" w:cs="Arial" w:eastAsia="Arial" w:hAnsi="Arial"/>
                <w:sz w:val="12"/>
                <w:szCs w:val="12"/>
                <w:b w:val="1"/>
                <w:bCs w:val="1"/>
                <w:color w:val="477157"/>
              </w:rPr>
              <w:t>Aggregate</w:t>
            </w:r>
          </w:p>
        </w:tc>
        <w:tc>
          <w:tcPr>
            <w:tcW w:w="1160" w:type="dxa"/>
            <w:vAlign w:val="bottom"/>
          </w:tcPr>
          <w:p>
            <w:pPr>
              <w:jc w:val="right"/>
              <w:spacing w:after="0" w:line="136" w:lineRule="exact"/>
              <w:rPr>
                <w:sz w:val="20"/>
                <w:szCs w:val="20"/>
                <w:color w:val="auto"/>
              </w:rPr>
            </w:pPr>
            <w:r>
              <w:rPr>
                <w:rFonts w:ascii="Arial" w:cs="Arial" w:eastAsia="Arial" w:hAnsi="Arial"/>
                <w:sz w:val="12"/>
                <w:szCs w:val="12"/>
                <w:b w:val="1"/>
                <w:bCs w:val="1"/>
                <w:color w:val="477157"/>
              </w:rPr>
              <w:t>Aggregate Balance</w:t>
            </w:r>
          </w:p>
        </w:tc>
      </w:tr>
      <w:tr>
        <w:trPr>
          <w:trHeight w:val="133"/>
        </w:trPr>
        <w:tc>
          <w:tcPr>
            <w:tcW w:w="2240" w:type="dxa"/>
            <w:vAlign w:val="bottom"/>
          </w:tcPr>
          <w:p>
            <w:pPr>
              <w:spacing w:after="0"/>
              <w:rPr>
                <w:sz w:val="11"/>
                <w:szCs w:val="11"/>
                <w:color w:val="auto"/>
              </w:rPr>
            </w:pPr>
          </w:p>
        </w:tc>
        <w:tc>
          <w:tcPr>
            <w:tcW w:w="1740" w:type="dxa"/>
            <w:vAlign w:val="bottom"/>
          </w:tcPr>
          <w:p>
            <w:pPr>
              <w:jc w:val="right"/>
              <w:ind w:right="13"/>
              <w:spacing w:after="0" w:line="133" w:lineRule="exact"/>
              <w:rPr>
                <w:sz w:val="20"/>
                <w:szCs w:val="20"/>
                <w:color w:val="auto"/>
              </w:rPr>
            </w:pPr>
            <w:r>
              <w:rPr>
                <w:rFonts w:ascii="Arial" w:cs="Arial" w:eastAsia="Arial" w:hAnsi="Arial"/>
                <w:sz w:val="12"/>
                <w:szCs w:val="12"/>
                <w:b w:val="1"/>
                <w:bCs w:val="1"/>
                <w:color w:val="477157"/>
              </w:rPr>
              <w:t>Fiscal</w:t>
            </w:r>
          </w:p>
        </w:tc>
        <w:tc>
          <w:tcPr>
            <w:tcW w:w="1360" w:type="dxa"/>
            <w:vAlign w:val="bottom"/>
          </w:tcPr>
          <w:p>
            <w:pPr>
              <w:jc w:val="right"/>
              <w:ind w:right="413"/>
              <w:spacing w:after="0" w:line="133" w:lineRule="exact"/>
              <w:rPr>
                <w:sz w:val="20"/>
                <w:szCs w:val="20"/>
                <w:color w:val="auto"/>
              </w:rPr>
            </w:pPr>
            <w:r>
              <w:rPr>
                <w:rFonts w:ascii="Arial" w:cs="Arial" w:eastAsia="Arial" w:hAnsi="Arial"/>
                <w:sz w:val="12"/>
                <w:szCs w:val="12"/>
                <w:b w:val="1"/>
                <w:bCs w:val="1"/>
                <w:color w:val="477157"/>
              </w:rPr>
              <w:t>Fiscal</w:t>
            </w:r>
          </w:p>
        </w:tc>
        <w:tc>
          <w:tcPr>
            <w:tcW w:w="1260" w:type="dxa"/>
            <w:vAlign w:val="bottom"/>
          </w:tcPr>
          <w:p>
            <w:pPr>
              <w:jc w:val="right"/>
              <w:ind w:right="53"/>
              <w:spacing w:after="0" w:line="133" w:lineRule="exact"/>
              <w:rPr>
                <w:sz w:val="20"/>
                <w:szCs w:val="20"/>
                <w:color w:val="auto"/>
              </w:rPr>
            </w:pPr>
            <w:r>
              <w:rPr>
                <w:rFonts w:ascii="Arial" w:cs="Arial" w:eastAsia="Arial" w:hAnsi="Arial"/>
                <w:sz w:val="12"/>
                <w:szCs w:val="12"/>
                <w:b w:val="1"/>
                <w:bCs w:val="1"/>
                <w:color w:val="477157"/>
              </w:rPr>
              <w:t>Fiscal</w:t>
            </w:r>
          </w:p>
        </w:tc>
        <w:tc>
          <w:tcPr>
            <w:tcW w:w="1220" w:type="dxa"/>
            <w:vAlign w:val="bottom"/>
          </w:tcPr>
          <w:p>
            <w:pPr>
              <w:jc w:val="right"/>
              <w:ind w:right="12"/>
              <w:spacing w:after="0" w:line="133" w:lineRule="exact"/>
              <w:rPr>
                <w:sz w:val="20"/>
                <w:szCs w:val="20"/>
                <w:color w:val="auto"/>
              </w:rPr>
            </w:pPr>
            <w:r>
              <w:rPr>
                <w:rFonts w:ascii="Arial" w:cs="Arial" w:eastAsia="Arial" w:hAnsi="Arial"/>
                <w:sz w:val="12"/>
                <w:szCs w:val="12"/>
                <w:b w:val="1"/>
                <w:bCs w:val="1"/>
                <w:color w:val="477157"/>
              </w:rPr>
              <w:t>Withdrawals/</w:t>
            </w:r>
          </w:p>
        </w:tc>
        <w:tc>
          <w:tcPr>
            <w:tcW w:w="1160" w:type="dxa"/>
            <w:vAlign w:val="bottom"/>
          </w:tcPr>
          <w:p>
            <w:pPr>
              <w:jc w:val="right"/>
              <w:spacing w:after="0" w:line="133" w:lineRule="exact"/>
              <w:rPr>
                <w:sz w:val="20"/>
                <w:szCs w:val="20"/>
                <w:color w:val="auto"/>
              </w:rPr>
            </w:pPr>
            <w:r>
              <w:rPr>
                <w:rFonts w:ascii="Arial" w:cs="Arial" w:eastAsia="Arial" w:hAnsi="Arial"/>
                <w:sz w:val="12"/>
                <w:szCs w:val="12"/>
                <w:b w:val="1"/>
                <w:bCs w:val="1"/>
                <w:color w:val="477157"/>
              </w:rPr>
              <w:t>at Last Fiscal</w:t>
            </w:r>
          </w:p>
        </w:tc>
      </w:tr>
      <w:tr>
        <w:trPr>
          <w:trHeight w:val="170"/>
        </w:trPr>
        <w:tc>
          <w:tcPr>
            <w:tcW w:w="224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w:t>
            </w:r>
          </w:p>
        </w:tc>
        <w:tc>
          <w:tcPr>
            <w:tcW w:w="1740" w:type="dxa"/>
            <w:vAlign w:val="bottom"/>
            <w:tcBorders>
              <w:bottom w:val="single" w:sz="8" w:color="477157"/>
            </w:tcBorders>
          </w:tcPr>
          <w:p>
            <w:pPr>
              <w:jc w:val="right"/>
              <w:ind w:right="13"/>
              <w:spacing w:after="0" w:line="170" w:lineRule="exact"/>
              <w:rPr>
                <w:sz w:val="20"/>
                <w:szCs w:val="20"/>
                <w:color w:val="auto"/>
              </w:rPr>
            </w:pPr>
            <w:r>
              <w:rPr>
                <w:rFonts w:ascii="Arial" w:cs="Arial" w:eastAsia="Arial" w:hAnsi="Arial"/>
                <w:sz w:val="12"/>
                <w:szCs w:val="12"/>
                <w:b w:val="1"/>
                <w:bCs w:val="1"/>
                <w:color w:val="477157"/>
              </w:rPr>
              <w:t>Year ($)</w:t>
            </w:r>
            <w:r>
              <w:rPr>
                <w:rFonts w:ascii="Arial" w:cs="Arial" w:eastAsia="Arial" w:hAnsi="Arial"/>
                <w:sz w:val="18"/>
                <w:szCs w:val="18"/>
                <w:b w:val="1"/>
                <w:bCs w:val="1"/>
                <w:color w:val="477157"/>
                <w:vertAlign w:val="superscript"/>
              </w:rPr>
              <w:t>(1)</w:t>
            </w:r>
          </w:p>
        </w:tc>
        <w:tc>
          <w:tcPr>
            <w:tcW w:w="1360" w:type="dxa"/>
            <w:vAlign w:val="bottom"/>
            <w:tcBorders>
              <w:bottom w:val="single" w:sz="8" w:color="477157"/>
            </w:tcBorders>
          </w:tcPr>
          <w:p>
            <w:pPr>
              <w:jc w:val="right"/>
              <w:ind w:right="413"/>
              <w:spacing w:after="0" w:line="170" w:lineRule="exact"/>
              <w:rPr>
                <w:sz w:val="20"/>
                <w:szCs w:val="20"/>
                <w:color w:val="auto"/>
              </w:rPr>
            </w:pPr>
            <w:r>
              <w:rPr>
                <w:rFonts w:ascii="Arial" w:cs="Arial" w:eastAsia="Arial" w:hAnsi="Arial"/>
                <w:sz w:val="12"/>
                <w:szCs w:val="12"/>
                <w:b w:val="1"/>
                <w:bCs w:val="1"/>
                <w:color w:val="477157"/>
              </w:rPr>
              <w:t>Year ($)</w:t>
            </w:r>
            <w:r>
              <w:rPr>
                <w:rFonts w:ascii="Arial" w:cs="Arial" w:eastAsia="Arial" w:hAnsi="Arial"/>
                <w:sz w:val="18"/>
                <w:szCs w:val="18"/>
                <w:b w:val="1"/>
                <w:bCs w:val="1"/>
                <w:color w:val="477157"/>
                <w:vertAlign w:val="superscript"/>
              </w:rPr>
              <w:t>(2)</w:t>
            </w:r>
          </w:p>
        </w:tc>
        <w:tc>
          <w:tcPr>
            <w:tcW w:w="1260" w:type="dxa"/>
            <w:vAlign w:val="bottom"/>
            <w:tcBorders>
              <w:bottom w:val="single" w:sz="8" w:color="477157"/>
            </w:tcBorders>
          </w:tcPr>
          <w:p>
            <w:pPr>
              <w:jc w:val="right"/>
              <w:ind w:right="53"/>
              <w:spacing w:after="0" w:line="170" w:lineRule="exact"/>
              <w:rPr>
                <w:sz w:val="20"/>
                <w:szCs w:val="20"/>
                <w:color w:val="auto"/>
              </w:rPr>
            </w:pPr>
            <w:r>
              <w:rPr>
                <w:rFonts w:ascii="Arial" w:cs="Arial" w:eastAsia="Arial" w:hAnsi="Arial"/>
                <w:sz w:val="12"/>
                <w:szCs w:val="12"/>
                <w:b w:val="1"/>
                <w:bCs w:val="1"/>
                <w:color w:val="477157"/>
              </w:rPr>
              <w:t>Year ($)</w:t>
            </w:r>
            <w:r>
              <w:rPr>
                <w:rFonts w:ascii="Arial" w:cs="Arial" w:eastAsia="Arial" w:hAnsi="Arial"/>
                <w:sz w:val="18"/>
                <w:szCs w:val="18"/>
                <w:b w:val="1"/>
                <w:bCs w:val="1"/>
                <w:color w:val="477157"/>
                <w:vertAlign w:val="superscript"/>
              </w:rPr>
              <w:t>(3)</w:t>
            </w:r>
          </w:p>
        </w:tc>
        <w:tc>
          <w:tcPr>
            <w:tcW w:w="1220" w:type="dxa"/>
            <w:vAlign w:val="bottom"/>
            <w:tcBorders>
              <w:bottom w:val="single" w:sz="8" w:color="477157"/>
            </w:tcBorders>
          </w:tcPr>
          <w:p>
            <w:pPr>
              <w:jc w:val="right"/>
              <w:ind w:right="12"/>
              <w:spacing w:after="0" w:line="170" w:lineRule="exact"/>
              <w:rPr>
                <w:sz w:val="20"/>
                <w:szCs w:val="20"/>
                <w:color w:val="auto"/>
              </w:rPr>
            </w:pPr>
            <w:r>
              <w:rPr>
                <w:rFonts w:ascii="Arial" w:cs="Arial" w:eastAsia="Arial" w:hAnsi="Arial"/>
                <w:sz w:val="12"/>
                <w:szCs w:val="12"/>
                <w:b w:val="1"/>
                <w:bCs w:val="1"/>
                <w:color w:val="477157"/>
              </w:rPr>
              <w:t>Distributions ($)</w:t>
            </w:r>
            <w:r>
              <w:rPr>
                <w:rFonts w:ascii="Arial" w:cs="Arial" w:eastAsia="Arial" w:hAnsi="Arial"/>
                <w:sz w:val="18"/>
                <w:szCs w:val="18"/>
                <w:b w:val="1"/>
                <w:bCs w:val="1"/>
                <w:color w:val="477157"/>
                <w:vertAlign w:val="superscript"/>
              </w:rPr>
              <w:t>(4)</w:t>
            </w:r>
          </w:p>
        </w:tc>
        <w:tc>
          <w:tcPr>
            <w:tcW w:w="1160" w:type="dxa"/>
            <w:vAlign w:val="bottom"/>
            <w:tcBorders>
              <w:bottom w:val="single" w:sz="8" w:color="477157"/>
            </w:tcBorders>
          </w:tcPr>
          <w:p>
            <w:pPr>
              <w:jc w:val="right"/>
              <w:spacing w:after="0" w:line="170" w:lineRule="exact"/>
              <w:rPr>
                <w:sz w:val="20"/>
                <w:szCs w:val="20"/>
                <w:color w:val="auto"/>
              </w:rPr>
            </w:pPr>
            <w:r>
              <w:rPr>
                <w:rFonts w:ascii="Arial" w:cs="Arial" w:eastAsia="Arial" w:hAnsi="Arial"/>
                <w:sz w:val="12"/>
                <w:szCs w:val="12"/>
                <w:b w:val="1"/>
                <w:bCs w:val="1"/>
                <w:color w:val="477157"/>
              </w:rPr>
              <w:t>Year End ($)</w:t>
            </w:r>
            <w:r>
              <w:rPr>
                <w:rFonts w:ascii="Arial" w:cs="Arial" w:eastAsia="Arial" w:hAnsi="Arial"/>
                <w:sz w:val="18"/>
                <w:szCs w:val="18"/>
                <w:b w:val="1"/>
                <w:bCs w:val="1"/>
                <w:color w:val="477157"/>
                <w:vertAlign w:val="superscript"/>
              </w:rPr>
              <w:t>(5)</w:t>
            </w:r>
          </w:p>
        </w:tc>
      </w:tr>
      <w:tr>
        <w:trPr>
          <w:trHeight w:val="160"/>
        </w:trPr>
        <w:tc>
          <w:tcPr>
            <w:tcW w:w="22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James C. Fish, Jr.</w:t>
            </w:r>
          </w:p>
        </w:tc>
        <w:tc>
          <w:tcPr>
            <w:tcW w:w="1740" w:type="dxa"/>
            <w:vAlign w:val="bottom"/>
            <w:tcBorders>
              <w:bottom w:val="single" w:sz="8" w:color="477157"/>
            </w:tcBorders>
          </w:tcPr>
          <w:p>
            <w:pPr>
              <w:jc w:val="right"/>
              <w:ind w:right="13"/>
              <w:spacing w:after="0" w:line="161" w:lineRule="exact"/>
              <w:rPr>
                <w:sz w:val="20"/>
                <w:szCs w:val="20"/>
                <w:color w:val="auto"/>
              </w:rPr>
            </w:pPr>
            <w:r>
              <w:rPr>
                <w:rFonts w:ascii="Arial" w:cs="Arial" w:eastAsia="Arial" w:hAnsi="Arial"/>
                <w:sz w:val="15"/>
                <w:szCs w:val="15"/>
                <w:color w:val="auto"/>
              </w:rPr>
              <w:t>4,784,171</w:t>
            </w:r>
          </w:p>
        </w:tc>
        <w:tc>
          <w:tcPr>
            <w:tcW w:w="1360" w:type="dxa"/>
            <w:vAlign w:val="bottom"/>
            <w:tcBorders>
              <w:bottom w:val="single" w:sz="8" w:color="477157"/>
            </w:tcBorders>
          </w:tcPr>
          <w:p>
            <w:pPr>
              <w:jc w:val="right"/>
              <w:ind w:right="413"/>
              <w:spacing w:after="0" w:line="161" w:lineRule="exact"/>
              <w:rPr>
                <w:sz w:val="20"/>
                <w:szCs w:val="20"/>
                <w:color w:val="auto"/>
              </w:rPr>
            </w:pPr>
            <w:r>
              <w:rPr>
                <w:rFonts w:ascii="Arial" w:cs="Arial" w:eastAsia="Arial" w:hAnsi="Arial"/>
                <w:sz w:val="15"/>
                <w:szCs w:val="15"/>
                <w:color w:val="auto"/>
              </w:rPr>
              <w:t>92,945</w:t>
            </w:r>
          </w:p>
        </w:tc>
        <w:tc>
          <w:tcPr>
            <w:tcW w:w="1260" w:type="dxa"/>
            <w:vAlign w:val="bottom"/>
            <w:tcBorders>
              <w:bottom w:val="single" w:sz="8" w:color="477157"/>
            </w:tcBorders>
          </w:tcPr>
          <w:p>
            <w:pPr>
              <w:jc w:val="right"/>
              <w:ind w:right="53"/>
              <w:spacing w:after="0" w:line="161" w:lineRule="exact"/>
              <w:rPr>
                <w:sz w:val="20"/>
                <w:szCs w:val="20"/>
                <w:color w:val="auto"/>
              </w:rPr>
            </w:pPr>
            <w:r>
              <w:rPr>
                <w:rFonts w:ascii="Arial" w:cs="Arial" w:eastAsia="Arial" w:hAnsi="Arial"/>
                <w:sz w:val="15"/>
                <w:szCs w:val="15"/>
                <w:color w:val="auto"/>
              </w:rPr>
              <w:t>2,751,463</w:t>
            </w:r>
          </w:p>
        </w:tc>
        <w:tc>
          <w:tcPr>
            <w:tcW w:w="1220" w:type="dxa"/>
            <w:vAlign w:val="bottom"/>
            <w:tcBorders>
              <w:bottom w:val="single" w:sz="8" w:color="477157"/>
            </w:tcBorders>
          </w:tcPr>
          <w:p>
            <w:pPr>
              <w:jc w:val="right"/>
              <w:ind w:right="12"/>
              <w:spacing w:after="0" w:line="161" w:lineRule="exact"/>
              <w:rPr>
                <w:sz w:val="20"/>
                <w:szCs w:val="20"/>
                <w:color w:val="auto"/>
              </w:rPr>
            </w:pPr>
            <w:r>
              <w:rPr>
                <w:rFonts w:ascii="Arial" w:cs="Arial" w:eastAsia="Arial" w:hAnsi="Arial"/>
                <w:sz w:val="15"/>
                <w:szCs w:val="15"/>
                <w:color w:val="auto"/>
              </w:rPr>
              <w:t>194,430</w:t>
            </w:r>
          </w:p>
        </w:tc>
        <w:tc>
          <w:tcPr>
            <w:tcW w:w="11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12,478,644</w:t>
            </w:r>
          </w:p>
        </w:tc>
      </w:tr>
      <w:tr>
        <w:trPr>
          <w:trHeight w:val="160"/>
        </w:trPr>
        <w:tc>
          <w:tcPr>
            <w:tcW w:w="22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Devina A. Rankin</w:t>
            </w:r>
          </w:p>
        </w:tc>
        <w:tc>
          <w:tcPr>
            <w:tcW w:w="1740" w:type="dxa"/>
            <w:vAlign w:val="bottom"/>
            <w:tcBorders>
              <w:bottom w:val="single" w:sz="8" w:color="477157"/>
            </w:tcBorders>
          </w:tcPr>
          <w:p>
            <w:pPr>
              <w:jc w:val="right"/>
              <w:ind w:right="13"/>
              <w:spacing w:after="0" w:line="161" w:lineRule="exact"/>
              <w:rPr>
                <w:sz w:val="20"/>
                <w:szCs w:val="20"/>
                <w:color w:val="auto"/>
              </w:rPr>
            </w:pPr>
            <w:r>
              <w:rPr>
                <w:rFonts w:ascii="Arial" w:cs="Arial" w:eastAsia="Arial" w:hAnsi="Arial"/>
                <w:sz w:val="15"/>
                <w:szCs w:val="15"/>
                <w:color w:val="auto"/>
              </w:rPr>
              <w:t>39,921</w:t>
            </w:r>
          </w:p>
        </w:tc>
        <w:tc>
          <w:tcPr>
            <w:tcW w:w="1360" w:type="dxa"/>
            <w:vAlign w:val="bottom"/>
            <w:tcBorders>
              <w:bottom w:val="single" w:sz="8" w:color="477157"/>
            </w:tcBorders>
          </w:tcPr>
          <w:p>
            <w:pPr>
              <w:jc w:val="right"/>
              <w:ind w:right="413"/>
              <w:spacing w:after="0" w:line="161" w:lineRule="exact"/>
              <w:rPr>
                <w:sz w:val="20"/>
                <w:szCs w:val="20"/>
                <w:color w:val="auto"/>
              </w:rPr>
            </w:pPr>
            <w:r>
              <w:rPr>
                <w:rFonts w:ascii="Arial" w:cs="Arial" w:eastAsia="Arial" w:hAnsi="Arial"/>
                <w:sz w:val="15"/>
                <w:szCs w:val="15"/>
                <w:color w:val="auto"/>
              </w:rPr>
              <w:t>32,867</w:t>
            </w:r>
          </w:p>
        </w:tc>
        <w:tc>
          <w:tcPr>
            <w:tcW w:w="1260" w:type="dxa"/>
            <w:vAlign w:val="bottom"/>
            <w:tcBorders>
              <w:bottom w:val="single" w:sz="8" w:color="477157"/>
            </w:tcBorders>
          </w:tcPr>
          <w:p>
            <w:pPr>
              <w:jc w:val="right"/>
              <w:ind w:right="53"/>
              <w:spacing w:after="0" w:line="161" w:lineRule="exact"/>
              <w:rPr>
                <w:sz w:val="20"/>
                <w:szCs w:val="20"/>
                <w:color w:val="auto"/>
              </w:rPr>
            </w:pPr>
            <w:r>
              <w:rPr>
                <w:rFonts w:ascii="Arial" w:cs="Arial" w:eastAsia="Arial" w:hAnsi="Arial"/>
                <w:sz w:val="15"/>
                <w:szCs w:val="15"/>
                <w:color w:val="auto"/>
              </w:rPr>
              <w:t>19,319</w:t>
            </w:r>
          </w:p>
        </w:tc>
        <w:tc>
          <w:tcPr>
            <w:tcW w:w="1220" w:type="dxa"/>
            <w:vAlign w:val="bottom"/>
            <w:tcBorders>
              <w:bottom w:val="single" w:sz="8" w:color="477157"/>
            </w:tcBorders>
          </w:tcPr>
          <w:p>
            <w:pPr>
              <w:jc w:val="right"/>
              <w:ind w:right="12"/>
              <w:spacing w:after="0" w:line="161"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299,840</w:t>
            </w:r>
          </w:p>
        </w:tc>
      </w:tr>
      <w:tr>
        <w:trPr>
          <w:trHeight w:val="160"/>
        </w:trPr>
        <w:tc>
          <w:tcPr>
            <w:tcW w:w="22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John J. Morris, Jr.</w:t>
            </w:r>
          </w:p>
        </w:tc>
        <w:tc>
          <w:tcPr>
            <w:tcW w:w="1740" w:type="dxa"/>
            <w:vAlign w:val="bottom"/>
            <w:tcBorders>
              <w:bottom w:val="single" w:sz="8" w:color="477157"/>
            </w:tcBorders>
          </w:tcPr>
          <w:p>
            <w:pPr>
              <w:jc w:val="right"/>
              <w:ind w:right="13"/>
              <w:spacing w:after="0" w:line="161" w:lineRule="exact"/>
              <w:rPr>
                <w:sz w:val="20"/>
                <w:szCs w:val="20"/>
                <w:color w:val="auto"/>
              </w:rPr>
            </w:pPr>
            <w:r>
              <w:rPr>
                <w:rFonts w:ascii="Arial" w:cs="Arial" w:eastAsia="Arial" w:hAnsi="Arial"/>
                <w:sz w:val="15"/>
                <w:szCs w:val="15"/>
                <w:color w:val="auto"/>
              </w:rPr>
              <w:t>47,945</w:t>
            </w:r>
          </w:p>
        </w:tc>
        <w:tc>
          <w:tcPr>
            <w:tcW w:w="1360" w:type="dxa"/>
            <w:vAlign w:val="bottom"/>
            <w:tcBorders>
              <w:bottom w:val="single" w:sz="8" w:color="477157"/>
            </w:tcBorders>
          </w:tcPr>
          <w:p>
            <w:pPr>
              <w:jc w:val="right"/>
              <w:ind w:right="413"/>
              <w:spacing w:after="0" w:line="161" w:lineRule="exact"/>
              <w:rPr>
                <w:sz w:val="20"/>
                <w:szCs w:val="20"/>
                <w:color w:val="auto"/>
              </w:rPr>
            </w:pPr>
            <w:r>
              <w:rPr>
                <w:rFonts w:ascii="Arial" w:cs="Arial" w:eastAsia="Arial" w:hAnsi="Arial"/>
                <w:sz w:val="15"/>
                <w:szCs w:val="15"/>
                <w:color w:val="auto"/>
              </w:rPr>
              <w:t>38,546</w:t>
            </w:r>
          </w:p>
        </w:tc>
        <w:tc>
          <w:tcPr>
            <w:tcW w:w="1260" w:type="dxa"/>
            <w:vAlign w:val="bottom"/>
            <w:tcBorders>
              <w:bottom w:val="single" w:sz="8" w:color="477157"/>
            </w:tcBorders>
          </w:tcPr>
          <w:p>
            <w:pPr>
              <w:jc w:val="right"/>
              <w:ind w:right="53"/>
              <w:spacing w:after="0" w:line="161" w:lineRule="exact"/>
              <w:rPr>
                <w:sz w:val="20"/>
                <w:szCs w:val="20"/>
                <w:color w:val="auto"/>
              </w:rPr>
            </w:pPr>
            <w:r>
              <w:rPr>
                <w:rFonts w:ascii="Arial" w:cs="Arial" w:eastAsia="Arial" w:hAnsi="Arial"/>
                <w:sz w:val="15"/>
                <w:szCs w:val="15"/>
                <w:color w:val="auto"/>
              </w:rPr>
              <w:t>348,607</w:t>
            </w:r>
          </w:p>
        </w:tc>
        <w:tc>
          <w:tcPr>
            <w:tcW w:w="1220" w:type="dxa"/>
            <w:vAlign w:val="bottom"/>
            <w:tcBorders>
              <w:bottom w:val="single" w:sz="8" w:color="477157"/>
            </w:tcBorders>
          </w:tcPr>
          <w:p>
            <w:pPr>
              <w:jc w:val="right"/>
              <w:ind w:right="12"/>
              <w:spacing w:after="0" w:line="161"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1,722,192</w:t>
            </w:r>
          </w:p>
        </w:tc>
      </w:tr>
      <w:tr>
        <w:trPr>
          <w:trHeight w:val="160"/>
        </w:trPr>
        <w:tc>
          <w:tcPr>
            <w:tcW w:w="22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Tara J. Hemmer</w:t>
            </w:r>
          </w:p>
        </w:tc>
        <w:tc>
          <w:tcPr>
            <w:tcW w:w="1740" w:type="dxa"/>
            <w:vAlign w:val="bottom"/>
            <w:tcBorders>
              <w:bottom w:val="single" w:sz="8" w:color="477157"/>
            </w:tcBorders>
          </w:tcPr>
          <w:p>
            <w:pPr>
              <w:jc w:val="right"/>
              <w:ind w:right="13"/>
              <w:spacing w:after="0" w:line="161" w:lineRule="exact"/>
              <w:rPr>
                <w:sz w:val="20"/>
                <w:szCs w:val="20"/>
                <w:color w:val="auto"/>
              </w:rPr>
            </w:pPr>
            <w:r>
              <w:rPr>
                <w:rFonts w:ascii="Arial" w:cs="Arial" w:eastAsia="Arial" w:hAnsi="Arial"/>
                <w:sz w:val="15"/>
                <w:szCs w:val="15"/>
                <w:color w:val="auto"/>
              </w:rPr>
              <w:t>46,457</w:t>
            </w:r>
          </w:p>
        </w:tc>
        <w:tc>
          <w:tcPr>
            <w:tcW w:w="1360" w:type="dxa"/>
            <w:vAlign w:val="bottom"/>
            <w:tcBorders>
              <w:bottom w:val="single" w:sz="8" w:color="477157"/>
            </w:tcBorders>
          </w:tcPr>
          <w:p>
            <w:pPr>
              <w:jc w:val="right"/>
              <w:ind w:right="413"/>
              <w:spacing w:after="0" w:line="161" w:lineRule="exact"/>
              <w:rPr>
                <w:sz w:val="20"/>
                <w:szCs w:val="20"/>
                <w:color w:val="auto"/>
              </w:rPr>
            </w:pPr>
            <w:r>
              <w:rPr>
                <w:rFonts w:ascii="Arial" w:cs="Arial" w:eastAsia="Arial" w:hAnsi="Arial"/>
                <w:sz w:val="15"/>
                <w:szCs w:val="15"/>
                <w:color w:val="auto"/>
              </w:rPr>
              <w:t>25,028</w:t>
            </w:r>
          </w:p>
        </w:tc>
        <w:tc>
          <w:tcPr>
            <w:tcW w:w="1260" w:type="dxa"/>
            <w:vAlign w:val="bottom"/>
            <w:tcBorders>
              <w:bottom w:val="single" w:sz="8" w:color="477157"/>
            </w:tcBorders>
          </w:tcPr>
          <w:p>
            <w:pPr>
              <w:jc w:val="right"/>
              <w:ind w:right="53"/>
              <w:spacing w:after="0" w:line="161" w:lineRule="exact"/>
              <w:rPr>
                <w:sz w:val="20"/>
                <w:szCs w:val="20"/>
                <w:color w:val="auto"/>
              </w:rPr>
            </w:pPr>
            <w:r>
              <w:rPr>
                <w:rFonts w:ascii="Arial" w:cs="Arial" w:eastAsia="Arial" w:hAnsi="Arial"/>
                <w:sz w:val="15"/>
                <w:szCs w:val="15"/>
                <w:color w:val="auto"/>
              </w:rPr>
              <w:t>39,447</w:t>
            </w:r>
          </w:p>
        </w:tc>
        <w:tc>
          <w:tcPr>
            <w:tcW w:w="1220" w:type="dxa"/>
            <w:vAlign w:val="bottom"/>
            <w:tcBorders>
              <w:bottom w:val="single" w:sz="8" w:color="477157"/>
            </w:tcBorders>
          </w:tcPr>
          <w:p>
            <w:pPr>
              <w:jc w:val="right"/>
              <w:ind w:right="12"/>
              <w:spacing w:after="0" w:line="161"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264,218</w:t>
            </w:r>
          </w:p>
        </w:tc>
      </w:tr>
      <w:tr>
        <w:trPr>
          <w:trHeight w:val="160"/>
        </w:trPr>
        <w:tc>
          <w:tcPr>
            <w:tcW w:w="224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Steven R. Batchelor</w:t>
            </w:r>
          </w:p>
        </w:tc>
        <w:tc>
          <w:tcPr>
            <w:tcW w:w="1740" w:type="dxa"/>
            <w:vAlign w:val="bottom"/>
            <w:tcBorders>
              <w:bottom w:val="single" w:sz="8" w:color="477157"/>
            </w:tcBorders>
          </w:tcPr>
          <w:p>
            <w:pPr>
              <w:jc w:val="right"/>
              <w:ind w:right="13"/>
              <w:spacing w:after="0" w:line="161" w:lineRule="exact"/>
              <w:rPr>
                <w:sz w:val="20"/>
                <w:szCs w:val="20"/>
                <w:color w:val="auto"/>
              </w:rPr>
            </w:pPr>
            <w:r>
              <w:rPr>
                <w:rFonts w:ascii="Arial" w:cs="Arial" w:eastAsia="Arial" w:hAnsi="Arial"/>
                <w:sz w:val="15"/>
                <w:szCs w:val="15"/>
                <w:color w:val="auto"/>
              </w:rPr>
              <w:t>50,860</w:t>
            </w:r>
          </w:p>
        </w:tc>
        <w:tc>
          <w:tcPr>
            <w:tcW w:w="1360" w:type="dxa"/>
            <w:vAlign w:val="bottom"/>
            <w:tcBorders>
              <w:bottom w:val="single" w:sz="8" w:color="477157"/>
            </w:tcBorders>
          </w:tcPr>
          <w:p>
            <w:pPr>
              <w:jc w:val="right"/>
              <w:ind w:right="413"/>
              <w:spacing w:after="0" w:line="161" w:lineRule="exact"/>
              <w:rPr>
                <w:sz w:val="20"/>
                <w:szCs w:val="20"/>
                <w:color w:val="auto"/>
              </w:rPr>
            </w:pPr>
            <w:r>
              <w:rPr>
                <w:rFonts w:ascii="Arial" w:cs="Arial" w:eastAsia="Arial" w:hAnsi="Arial"/>
                <w:sz w:val="15"/>
                <w:szCs w:val="15"/>
                <w:color w:val="auto"/>
              </w:rPr>
              <w:t>15,816</w:t>
            </w:r>
          </w:p>
        </w:tc>
        <w:tc>
          <w:tcPr>
            <w:tcW w:w="1260" w:type="dxa"/>
            <w:vAlign w:val="bottom"/>
            <w:tcBorders>
              <w:bottom w:val="single" w:sz="8" w:color="477157"/>
            </w:tcBorders>
          </w:tcPr>
          <w:p>
            <w:pPr>
              <w:jc w:val="right"/>
              <w:ind w:right="53"/>
              <w:spacing w:after="0" w:line="161" w:lineRule="exact"/>
              <w:rPr>
                <w:sz w:val="20"/>
                <w:szCs w:val="20"/>
                <w:color w:val="auto"/>
              </w:rPr>
            </w:pPr>
            <w:r>
              <w:rPr>
                <w:rFonts w:ascii="Arial" w:cs="Arial" w:eastAsia="Arial" w:hAnsi="Arial"/>
                <w:sz w:val="15"/>
                <w:szCs w:val="15"/>
                <w:color w:val="auto"/>
              </w:rPr>
              <w:t>351,166</w:t>
            </w:r>
          </w:p>
        </w:tc>
        <w:tc>
          <w:tcPr>
            <w:tcW w:w="1220" w:type="dxa"/>
            <w:vAlign w:val="bottom"/>
            <w:tcBorders>
              <w:bottom w:val="single" w:sz="8" w:color="477157"/>
            </w:tcBorders>
          </w:tcPr>
          <w:p>
            <w:pPr>
              <w:jc w:val="right"/>
              <w:ind w:right="12"/>
              <w:spacing w:after="0" w:line="161" w:lineRule="exact"/>
              <w:rPr>
                <w:sz w:val="20"/>
                <w:szCs w:val="20"/>
                <w:color w:val="auto"/>
              </w:rPr>
            </w:pPr>
            <w:r>
              <w:rPr>
                <w:rFonts w:ascii="Arial" w:cs="Arial" w:eastAsia="Arial" w:hAnsi="Arial"/>
                <w:sz w:val="15"/>
                <w:szCs w:val="15"/>
                <w:color w:val="auto"/>
              </w:rPr>
              <w:t>168,626</w:t>
            </w:r>
          </w:p>
        </w:tc>
        <w:tc>
          <w:tcPr>
            <w:tcW w:w="11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1,890,487</w:t>
            </w:r>
          </w:p>
        </w:tc>
      </w:tr>
    </w:tbl>
    <w:p>
      <w:pPr>
        <w:spacing w:after="0" w:line="183" w:lineRule="exact"/>
        <w:rPr>
          <w:sz w:val="20"/>
          <w:szCs w:val="20"/>
          <w:color w:val="auto"/>
        </w:rPr>
      </w:pPr>
    </w:p>
    <w:p>
      <w:pPr>
        <w:jc w:val="both"/>
        <w:ind w:left="1560" w:hanging="443"/>
        <w:spacing w:after="0" w:line="237" w:lineRule="auto"/>
        <w:tabs>
          <w:tab w:leader="none" w:pos="15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 Additionally, Mr. Fish deferred receipt of 51,852 shares of Common Stock in 2019 that were earned on account of PSUs with the performance period ended December 31, 2018. The grant date fair value of such PSUs was included in the Stock Awards column of the Summary Compensation Table when granted in 2016.</w:t>
      </w:r>
    </w:p>
    <w:p>
      <w:pPr>
        <w:spacing w:after="0" w:line="173" w:lineRule="exact"/>
        <w:rPr>
          <w:rFonts w:ascii="Arial" w:cs="Arial" w:eastAsia="Arial" w:hAnsi="Arial"/>
          <w:sz w:val="15"/>
          <w:szCs w:val="15"/>
          <w:color w:val="auto"/>
        </w:rPr>
      </w:pPr>
    </w:p>
    <w:p>
      <w:pPr>
        <w:ind w:left="1560" w:hanging="443"/>
        <w:spacing w:after="0"/>
        <w:tabs>
          <w:tab w:leader="none" w:pos="15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Company contributions to the executives' 409A Deferral Plan accounts are included in the All Other Compensation column in the Summary Compensation Table.</w:t>
      </w:r>
    </w:p>
    <w:p>
      <w:pPr>
        <w:spacing w:after="0" w:line="162" w:lineRule="exact"/>
        <w:rPr>
          <w:rFonts w:ascii="Arial" w:cs="Arial" w:eastAsia="Arial" w:hAnsi="Arial"/>
          <w:sz w:val="15"/>
          <w:szCs w:val="15"/>
          <w:color w:val="auto"/>
        </w:rPr>
      </w:pPr>
    </w:p>
    <w:p>
      <w:pPr>
        <w:jc w:val="both"/>
        <w:ind w:left="1560" w:hanging="443"/>
        <w:spacing w:after="0" w:line="236" w:lineRule="auto"/>
        <w:tabs>
          <w:tab w:leader="none" w:pos="15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case of Mr. Fish, who has deferred receipt of 94,844 shares of Common Stock, earnings also include the change in the closing price per share of the Company's Common Stock from December 31, 2018 to December 31, 2019, plus $2.05 of dividends paid per share of Common Stock in 2019, multiplied by the number of shares deferred. The value of such deferred shares was included in the Option Exercises and Stock Vested table for the year of vesting.</w:t>
      </w:r>
    </w:p>
    <w:p>
      <w:pPr>
        <w:spacing w:after="0" w:line="165" w:lineRule="exact"/>
        <w:rPr>
          <w:rFonts w:ascii="Arial" w:cs="Arial" w:eastAsia="Arial" w:hAnsi="Arial"/>
          <w:sz w:val="15"/>
          <w:szCs w:val="15"/>
          <w:color w:val="auto"/>
        </w:rPr>
      </w:pPr>
    </w:p>
    <w:p>
      <w:pPr>
        <w:ind w:left="1560" w:hanging="443"/>
        <w:spacing w:after="0"/>
        <w:tabs>
          <w:tab w:leader="none" w:pos="15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 shown in this column for Mr. Fish consists of dividend equivalents paid on deferred shares. The amount shown in this column for Mr. Batchelor reflects a distribution that was automatically made pursuant to his prior election for a date-specific withdrawal to occur on May 1, 2019.</w:t>
      </w:r>
    </w:p>
    <w:p>
      <w:pPr>
        <w:spacing w:after="0" w:line="173" w:lineRule="exact"/>
        <w:rPr>
          <w:rFonts w:ascii="Arial" w:cs="Arial" w:eastAsia="Arial" w:hAnsi="Arial"/>
          <w:sz w:val="15"/>
          <w:szCs w:val="15"/>
          <w:color w:val="auto"/>
        </w:rPr>
      </w:pPr>
    </w:p>
    <w:p>
      <w:pPr>
        <w:jc w:val="both"/>
        <w:ind w:left="1560" w:hanging="443"/>
        <w:spacing w:after="0" w:line="237" w:lineRule="auto"/>
        <w:tabs>
          <w:tab w:leader="none" w:pos="15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Amounts shown in this column include the following amounts that were reported as compensation to the named executive in the Summary Compensation Table for 2017-2019: Mr. Fish — $848,765; Ms. Rankin — $211,989; Mr. Morris — $330,978; Ms. Hemmer — $71,485 and Mr. Batchelor — $66,676. Because Ms. Hemmer and Mr. Batchelor became named executives in 2019, such amounts only include 2019 compensation for those individuals.</w:t>
      </w:r>
    </w:p>
    <w:p>
      <w:pPr>
        <w:spacing w:after="0" w:line="145"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49" w:name="page50"/>
    <w:bookmarkEnd w:id="49"/>
    <w:p>
      <w:pPr>
        <w:ind w:left="1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5518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EXECUTIVE COMPENSATION</w:t>
      </w:r>
    </w:p>
    <w:p>
      <w:pPr>
        <w:sectPr>
          <w:pgSz w:w="11900" w:h="16838" w:orient="portrait"/>
          <w:cols w:equalWidth="0" w:num="1">
            <w:col w:w="11270"/>
          </w:cols>
          <w:pgMar w:left="310" w:top="142" w:right="319" w:bottom="1440" w:gutter="0" w:footer="0" w:header="0"/>
        </w:sectPr>
      </w:pPr>
    </w:p>
    <w:p>
      <w:pPr>
        <w:spacing w:after="0" w:line="17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477157"/>
        </w:rPr>
        <w:t>Potential Payments Upon Termination or Change in Control</w:t>
      </w:r>
    </w:p>
    <w:p>
      <w:pPr>
        <w:spacing w:after="0" w:line="181" w:lineRule="exact"/>
        <w:rPr>
          <w:sz w:val="20"/>
          <w:szCs w:val="20"/>
          <w:color w:val="auto"/>
        </w:rPr>
      </w:pPr>
    </w:p>
    <w:p>
      <w:pPr>
        <w:jc w:val="both"/>
        <w:ind w:left="10"/>
        <w:spacing w:after="0" w:line="236" w:lineRule="auto"/>
        <w:rPr>
          <w:sz w:val="20"/>
          <w:szCs w:val="20"/>
          <w:color w:val="auto"/>
        </w:rPr>
      </w:pPr>
      <w:r>
        <w:rPr>
          <w:rFonts w:ascii="Arial" w:cs="Arial" w:eastAsia="Arial" w:hAnsi="Arial"/>
          <w:sz w:val="15"/>
          <w:szCs w:val="15"/>
          <w:i w:val="1"/>
          <w:iCs w:val="1"/>
          <w:color w:val="auto"/>
        </w:rPr>
        <w:t xml:space="preserve">Change in Control. </w:t>
      </w:r>
      <w:r>
        <w:rPr>
          <w:rFonts w:ascii="Arial" w:cs="Arial" w:eastAsia="Arial" w:hAnsi="Arial"/>
          <w:sz w:val="15"/>
          <w:szCs w:val="15"/>
          <w:color w:val="auto"/>
        </w:rPr>
        <w:t>The post-employment compensation our named executives</w:t>
      </w:r>
      <w:r>
        <w:rPr>
          <w:rFonts w:ascii="Arial" w:cs="Arial" w:eastAsia="Arial" w:hAnsi="Arial"/>
          <w:sz w:val="15"/>
          <w:szCs w:val="15"/>
          <w:i w:val="1"/>
          <w:iCs w:val="1"/>
          <w:color w:val="auto"/>
        </w:rPr>
        <w:t xml:space="preserve"> </w:t>
      </w:r>
      <w:r>
        <w:rPr>
          <w:rFonts w:ascii="Arial" w:cs="Arial" w:eastAsia="Arial" w:hAnsi="Arial"/>
          <w:sz w:val="15"/>
          <w:szCs w:val="15"/>
          <w:color w:val="auto"/>
        </w:rPr>
        <w:t>receive is based on provisions included 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which are not routinely a component of our named executive officer compensation,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165" w:lineRule="exact"/>
        <w:rPr>
          <w:sz w:val="20"/>
          <w:szCs w:val="20"/>
          <w:color w:val="auto"/>
        </w:rPr>
      </w:pPr>
    </w:p>
    <w:p>
      <w:pPr>
        <w:jc w:val="both"/>
        <w:ind w:left="10"/>
        <w:spacing w:after="0" w:line="257" w:lineRule="auto"/>
        <w:rPr>
          <w:sz w:val="20"/>
          <w:szCs w:val="20"/>
          <w:color w:val="auto"/>
        </w:rPr>
      </w:pPr>
      <w:r>
        <w:rPr>
          <w:rFonts w:ascii="Arial" w:cs="Arial" w:eastAsia="Arial" w:hAnsi="Arial"/>
          <w:sz w:val="14"/>
          <w:szCs w:val="14"/>
          <w:i w:val="1"/>
          <w:iCs w:val="1"/>
          <w:color w:val="auto"/>
        </w:rPr>
        <w:t xml:space="preserve">Involuntary Termination or Resignation for Good Reason. </w:t>
      </w:r>
      <w:r>
        <w:rPr>
          <w:rFonts w:ascii="Arial" w:cs="Arial" w:eastAsia="Arial" w:hAnsi="Arial"/>
          <w:sz w:val="14"/>
          <w:szCs w:val="14"/>
          <w:color w:val="auto"/>
        </w:rPr>
        <w:t>Under the Severance</w:t>
      </w:r>
      <w:r>
        <w:rPr>
          <w:rFonts w:ascii="Arial" w:cs="Arial" w:eastAsia="Arial" w:hAnsi="Arial"/>
          <w:sz w:val="14"/>
          <w:szCs w:val="14"/>
          <w:i w:val="1"/>
          <w:iCs w:val="1"/>
          <w:color w:val="auto"/>
        </w:rPr>
        <w:t xml:space="preserve"> </w:t>
      </w:r>
      <w:r>
        <w:rPr>
          <w:rFonts w:ascii="Arial" w:cs="Arial" w:eastAsia="Arial" w:hAnsi="Arial"/>
          <w:sz w:val="14"/>
          <w:szCs w:val="14"/>
          <w:color w:val="auto"/>
        </w:rPr>
        <w:t>Protection Plan, in the event a participant is terminated without cause or resigns for good reason, subject to execution of a release of claims and continued compliance with all restrictive covenants, he or she will be entitled to receive:</w:t>
      </w:r>
    </w:p>
    <w:p>
      <w:pPr>
        <w:jc w:val="both"/>
        <w:ind w:left="10" w:hanging="10"/>
        <w:spacing w:after="0" w:line="255" w:lineRule="auto"/>
        <w:tabs>
          <w:tab w:leader="none" w:pos="249"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cash severance in an aggregate amount equal to two times the sum of the participant's base salary and target annual bonus (with one half payable in a lump sum at termination, and the remaining half payable in installments over a two-year period); (b) continuation of group health benefits over a two-year period following termination and (c)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164" w:lineRule="exact"/>
        <w:rPr>
          <w:sz w:val="20"/>
          <w:szCs w:val="20"/>
          <w:color w:val="auto"/>
        </w:rPr>
      </w:pPr>
    </w:p>
    <w:p>
      <w:pPr>
        <w:jc w:val="both"/>
        <w:ind w:left="10"/>
        <w:spacing w:after="0" w:line="238" w:lineRule="auto"/>
        <w:rPr>
          <w:sz w:val="20"/>
          <w:szCs w:val="20"/>
          <w:color w:val="auto"/>
        </w:rPr>
      </w:pPr>
      <w:r>
        <w:rPr>
          <w:rFonts w:ascii="Arial" w:cs="Arial" w:eastAsia="Arial" w:hAnsi="Arial"/>
          <w:sz w:val="15"/>
          <w:szCs w:val="15"/>
          <w:color w:val="auto"/>
        </w:rPr>
        <w:t>The terms "cause," "good reason," and "change in control" are defined in the executives' employment agreements, the Severance Protection Plan and equity award plans and agreements, as applicable, but such terms have the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meanings generally described below. You should refer to the applicable documentation, accessible through the Company's Form 10-K Exhibit List, for the actual definitions.</w:t>
      </w:r>
    </w:p>
    <w:p>
      <w:pPr>
        <w:spacing w:after="0" w:line="174" w:lineRule="exact"/>
        <w:rPr>
          <w:sz w:val="20"/>
          <w:szCs w:val="20"/>
          <w:color w:val="auto"/>
        </w:rPr>
      </w:pPr>
    </w:p>
    <w:p>
      <w:pPr>
        <w:jc w:val="both"/>
        <w:ind w:left="460"/>
        <w:spacing w:after="0" w:line="257" w:lineRule="auto"/>
        <w:rPr>
          <w:sz w:val="20"/>
          <w:szCs w:val="20"/>
          <w:color w:val="auto"/>
        </w:rPr>
      </w:pPr>
      <w:r>
        <w:rPr>
          <w:rFonts w:ascii="Arial" w:cs="Arial" w:eastAsia="Arial" w:hAnsi="Arial"/>
          <w:sz w:val="14"/>
          <w:szCs w:val="14"/>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163" w:lineRule="exact"/>
        <w:rPr>
          <w:sz w:val="20"/>
          <w:szCs w:val="20"/>
          <w:color w:val="auto"/>
        </w:rPr>
      </w:pPr>
    </w:p>
    <w:p>
      <w:pPr>
        <w:jc w:val="both"/>
        <w:ind w:left="460"/>
        <w:spacing w:after="0" w:line="236" w:lineRule="auto"/>
        <w:rPr>
          <w:sz w:val="20"/>
          <w:szCs w:val="20"/>
          <w:color w:val="auto"/>
        </w:rPr>
      </w:pPr>
      <w:r>
        <w:rPr>
          <w:rFonts w:ascii="Arial" w:cs="Arial" w:eastAsia="Arial" w:hAnsi="Arial"/>
          <w:sz w:val="15"/>
          <w:szCs w:val="15"/>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176" w:lineRule="exact"/>
        <w:rPr>
          <w:sz w:val="20"/>
          <w:szCs w:val="20"/>
          <w:color w:val="auto"/>
        </w:rPr>
      </w:pPr>
    </w:p>
    <w:p>
      <w:pPr>
        <w:jc w:val="both"/>
        <w:ind w:left="460"/>
        <w:spacing w:after="0" w:line="236" w:lineRule="auto"/>
        <w:rPr>
          <w:sz w:val="20"/>
          <w:szCs w:val="20"/>
          <w:color w:val="auto"/>
        </w:rPr>
      </w:pPr>
      <w:r>
        <w:rPr>
          <w:rFonts w:ascii="Arial" w:cs="Arial" w:eastAsia="Arial" w:hAnsi="Arial"/>
          <w:sz w:val="15"/>
          <w:szCs w:val="15"/>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5"/>
          <w:szCs w:val="15"/>
          <w:i w:val="1"/>
          <w:iCs w:val="1"/>
          <w:color w:val="auto"/>
        </w:rPr>
        <w:t xml:space="preserve">Voluntary Termination; Retirement. </w:t>
      </w:r>
      <w:r>
        <w:rPr>
          <w:rFonts w:ascii="Arial" w:cs="Arial" w:eastAsia="Arial" w:hAnsi="Arial"/>
          <w:sz w:val="15"/>
          <w:szCs w:val="15"/>
          <w:color w:val="auto"/>
        </w:rPr>
        <w:t>Our equity award agreements generally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provide that an executive forfeits unvested awards if he or she voluntarily terminates employment. RSUs and PSUs generally vest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upon involuntary termination other than for cause. RSUs generally vest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upon an employee's qualifying retirement; however, PSUs and stock options generally continue to vest following a qualifying retirement as if the employee had remained employed until the end of the performance period. If the recipient is terminated by the Company without cause or voluntarily resigns, the recipient is entitled to exercise all stock options outstanding and exercisable within a specified time frame after such termination.</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i w:val="1"/>
          <w:iCs w:val="1"/>
          <w:color w:val="auto"/>
        </w:rPr>
        <w:t xml:space="preserve">Explanation of Tabular Disclosure. </w:t>
      </w:r>
      <w:r>
        <w:rPr>
          <w:rFonts w:ascii="Arial" w:cs="Arial" w:eastAsia="Arial" w:hAnsi="Arial"/>
          <w:sz w:val="15"/>
          <w:szCs w:val="15"/>
          <w:color w:val="auto"/>
        </w:rPr>
        <w:t>The following table presents potential</w:t>
      </w:r>
      <w:r>
        <w:rPr>
          <w:rFonts w:ascii="Arial" w:cs="Arial" w:eastAsia="Arial" w:hAnsi="Arial"/>
          <w:sz w:val="15"/>
          <w:szCs w:val="15"/>
          <w:i w:val="1"/>
          <w:iCs w:val="1"/>
          <w:color w:val="auto"/>
        </w:rPr>
        <w:t xml:space="preserve"> </w:t>
      </w:r>
      <w:r>
        <w:rPr>
          <w:rFonts w:ascii="Arial" w:cs="Arial" w:eastAsia="Arial" w:hAnsi="Arial"/>
          <w:sz w:val="15"/>
          <w:szCs w:val="15"/>
          <w:color w:val="auto"/>
        </w:rPr>
        <w:t>payouts to our named executives at</w:t>
      </w:r>
    </w:p>
    <w:p>
      <w:pPr>
        <w:spacing w:after="0" w:line="200" w:lineRule="exact"/>
        <w:rPr>
          <w:sz w:val="20"/>
          <w:szCs w:val="20"/>
          <w:color w:val="auto"/>
        </w:rPr>
      </w:pPr>
    </w:p>
    <w:p>
      <w:pPr>
        <w:sectPr>
          <w:pgSz w:w="11900" w:h="16838" w:orient="portrait"/>
          <w:cols w:equalWidth="0" w:num="2">
            <w:col w:w="5290" w:space="680"/>
            <w:col w:w="5300"/>
          </w:cols>
          <w:pgMar w:left="310" w:top="142" w:right="319" w:bottom="1440" w:gutter="0" w:footer="0" w:header="0"/>
          <w:type w:val="continuous"/>
        </w:sectPr>
      </w:pPr>
    </w:p>
    <w:p>
      <w:pPr>
        <w:spacing w:after="0" w:line="120" w:lineRule="exact"/>
        <w:rPr>
          <w:sz w:val="20"/>
          <w:szCs w:val="20"/>
          <w:color w:val="auto"/>
        </w:rPr>
      </w:pPr>
    </w:p>
    <w:p>
      <w:pPr>
        <w:ind w:left="9230"/>
        <w:spacing w:after="0"/>
        <w:tabs>
          <w:tab w:leader="none" w:pos="10869" w:val="left"/>
          <w:tab w:leader="none" w:pos="11089"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160260" cy="19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-99060</wp:posOffset>
            </wp:positionV>
            <wp:extent cx="429260" cy="1143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70"/>
          </w:cols>
          <w:pgMar w:left="310" w:top="142" w:right="31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715518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jc w:val="both"/>
        <w:ind w:right="413"/>
        <w:spacing w:after="0" w:line="236" w:lineRule="auto"/>
        <w:rPr>
          <w:sz w:val="20"/>
          <w:szCs w:val="20"/>
          <w:color w:val="auto"/>
        </w:rPr>
      </w:pPr>
      <w:r>
        <w:rPr>
          <w:rFonts w:ascii="Arial" w:cs="Arial" w:eastAsia="Arial" w:hAnsi="Arial"/>
          <w:sz w:val="15"/>
          <w:szCs w:val="15"/>
          <w:color w:val="auto"/>
        </w:rPr>
        <w:t>year-end upon termination of employment in the circumstances indicated pursuant to the terms of applicable plans and agreements. The payouts set forth below assume the triggering event indicated occurred on December 31, 2019, when the closing price of our Common Stock was $113.96 per share. These payouts are calculated for SEC disclosure purposes and are not necessarily indicative of the actual amounts the named executive would receive. Please note the following when reviewing the payouts set forth below:</w:t>
      </w:r>
    </w:p>
    <w:p>
      <w:pPr>
        <w:spacing w:after="0" w:line="176" w:lineRule="exact"/>
        <w:rPr>
          <w:sz w:val="20"/>
          <w:szCs w:val="20"/>
          <w:color w:val="auto"/>
        </w:rPr>
      </w:pPr>
    </w:p>
    <w:p>
      <w:pPr>
        <w:jc w:val="both"/>
        <w:ind w:left="900" w:right="413" w:hanging="459"/>
        <w:spacing w:after="0" w:line="237" w:lineRule="auto"/>
        <w:tabs>
          <w:tab w:leader="none" w:pos="900" w:val="left"/>
        </w:tabs>
        <w:numPr>
          <w:ilvl w:val="0"/>
          <w:numId w:val="49"/>
        </w:numPr>
        <w:rPr>
          <w:rFonts w:ascii="Arial" w:cs="Arial" w:eastAsia="Arial" w:hAnsi="Arial"/>
          <w:sz w:val="15"/>
          <w:szCs w:val="15"/>
          <w:color w:val="477157"/>
        </w:rPr>
      </w:pPr>
      <w:r>
        <w:rPr>
          <w:rFonts w:ascii="Arial" w:cs="Arial" w:eastAsia="Arial" w:hAnsi="Arial"/>
          <w:sz w:val="15"/>
          <w:szCs w:val="15"/>
          <w:color w:val="auto"/>
        </w:rPr>
        <w:t>The compensation component set forth below for accelerated vesting of stock options is comprised of the unvested stock options granted in 2017, 2018 and 2019, which vest 25% on the first and second anniversary of the date of grant and 50% on the third anniversary of the date of grant.</w:t>
      </w:r>
    </w:p>
    <w:p>
      <w:pPr>
        <w:spacing w:after="0" w:line="173" w:lineRule="exact"/>
        <w:rPr>
          <w:rFonts w:ascii="Arial" w:cs="Arial" w:eastAsia="Arial" w:hAnsi="Arial"/>
          <w:sz w:val="15"/>
          <w:szCs w:val="15"/>
          <w:color w:val="477157"/>
        </w:rPr>
      </w:pPr>
    </w:p>
    <w:p>
      <w:pPr>
        <w:jc w:val="both"/>
        <w:ind w:left="900" w:right="413" w:hanging="459"/>
        <w:spacing w:after="0" w:line="237" w:lineRule="auto"/>
        <w:tabs>
          <w:tab w:leader="none" w:pos="900" w:val="left"/>
        </w:tabs>
        <w:numPr>
          <w:ilvl w:val="0"/>
          <w:numId w:val="49"/>
        </w:numPr>
        <w:rPr>
          <w:rFonts w:ascii="Arial" w:cs="Arial" w:eastAsia="Arial" w:hAnsi="Arial"/>
          <w:sz w:val="15"/>
          <w:szCs w:val="15"/>
          <w:color w:val="477157"/>
        </w:rPr>
      </w:pPr>
      <w:r>
        <w:rPr>
          <w:rFonts w:ascii="Arial" w:cs="Arial" w:eastAsia="Arial" w:hAnsi="Arial"/>
          <w:sz w:val="15"/>
          <w:szCs w:val="15"/>
          <w:color w:val="auto"/>
        </w:rPr>
        <w:t>For purposes of calculating the payout of performance share unit awards outstanding as of December 31, 2019, we have assumed that target performance was achieved; any actual performance share unit payouts will be based on actual performance of the Company during the performance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both"/>
        <w:ind w:left="447" w:hanging="447"/>
        <w:spacing w:after="0" w:line="236" w:lineRule="auto"/>
        <w:tabs>
          <w:tab w:leader="none" w:pos="447" w:val="left"/>
        </w:tabs>
        <w:numPr>
          <w:ilvl w:val="0"/>
          <w:numId w:val="50"/>
        </w:numPr>
        <w:rPr>
          <w:rFonts w:ascii="Arial" w:cs="Arial" w:eastAsia="Arial" w:hAnsi="Arial"/>
          <w:sz w:val="15"/>
          <w:szCs w:val="15"/>
          <w:color w:val="477157"/>
        </w:rPr>
      </w:pPr>
      <w:r>
        <w:rPr>
          <w:rFonts w:ascii="Arial" w:cs="Arial" w:eastAsia="Arial" w:hAnsi="Arial"/>
          <w:sz w:val="15"/>
          <w:szCs w:val="15"/>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2019.</w:t>
      </w:r>
    </w:p>
    <w:p>
      <w:pPr>
        <w:spacing w:after="0" w:line="176" w:lineRule="exact"/>
        <w:rPr>
          <w:rFonts w:ascii="Arial" w:cs="Arial" w:eastAsia="Arial" w:hAnsi="Arial"/>
          <w:sz w:val="15"/>
          <w:szCs w:val="15"/>
          <w:color w:val="477157"/>
        </w:rPr>
      </w:pPr>
    </w:p>
    <w:p>
      <w:pPr>
        <w:ind w:left="447" w:hanging="447"/>
        <w:spacing w:after="0"/>
        <w:tabs>
          <w:tab w:leader="none" w:pos="447" w:val="left"/>
        </w:tabs>
        <w:numPr>
          <w:ilvl w:val="0"/>
          <w:numId w:val="50"/>
        </w:numPr>
        <w:rPr>
          <w:rFonts w:ascii="Arial" w:cs="Arial" w:eastAsia="Arial" w:hAnsi="Arial"/>
          <w:sz w:val="15"/>
          <w:szCs w:val="15"/>
          <w:color w:val="477157"/>
        </w:rPr>
      </w:pPr>
      <w:r>
        <w:rPr>
          <w:rFonts w:ascii="Arial" w:cs="Arial" w:eastAsia="Arial" w:hAnsi="Arial"/>
          <w:sz w:val="15"/>
          <w:szCs w:val="15"/>
          <w:color w:val="auto"/>
        </w:rPr>
        <w:t>The payout for continuation of benefits is an estimate of the cost the Company would incur to continue those benefits.</w:t>
      </w:r>
    </w:p>
    <w:p>
      <w:pPr>
        <w:spacing w:after="0" w:line="162" w:lineRule="exact"/>
        <w:rPr>
          <w:rFonts w:ascii="Arial" w:cs="Arial" w:eastAsia="Arial" w:hAnsi="Arial"/>
          <w:sz w:val="15"/>
          <w:szCs w:val="15"/>
          <w:color w:val="477157"/>
        </w:rPr>
      </w:pPr>
    </w:p>
    <w:p>
      <w:pPr>
        <w:jc w:val="both"/>
        <w:ind w:left="447" w:hanging="447"/>
        <w:spacing w:after="0" w:line="237" w:lineRule="auto"/>
        <w:tabs>
          <w:tab w:leader="none" w:pos="447" w:val="left"/>
        </w:tabs>
        <w:numPr>
          <w:ilvl w:val="0"/>
          <w:numId w:val="50"/>
        </w:numPr>
        <w:rPr>
          <w:rFonts w:ascii="Arial" w:cs="Arial" w:eastAsia="Arial" w:hAnsi="Arial"/>
          <w:sz w:val="15"/>
          <w:szCs w:val="15"/>
          <w:color w:val="477157"/>
        </w:rPr>
      </w:pPr>
      <w:r>
        <w:rPr>
          <w:rFonts w:ascii="Arial" w:cs="Arial" w:eastAsia="Arial" w:hAnsi="Arial"/>
          <w:sz w:val="15"/>
          <w:szCs w:val="15"/>
          <w:color w:val="auto"/>
        </w:rPr>
        <w:t>The Company's practice is to provide all benefits eligible employees with life insurance that pays one times annual base salary upon death. The insurance benefit is a payment by an insurance company, not the Company, and is payable under the terms of the insurance policy.</w:t>
      </w:r>
    </w:p>
    <w:p>
      <w:pPr>
        <w:spacing w:after="0" w:line="162" w:lineRule="exact"/>
        <w:rPr>
          <w:rFonts w:ascii="Arial" w:cs="Arial" w:eastAsia="Arial" w:hAnsi="Arial"/>
          <w:sz w:val="15"/>
          <w:szCs w:val="15"/>
          <w:color w:val="477157"/>
        </w:rPr>
      </w:pPr>
    </w:p>
    <w:p>
      <w:pPr>
        <w:jc w:val="both"/>
        <w:ind w:left="447" w:hanging="447"/>
        <w:spacing w:after="0" w:line="237" w:lineRule="auto"/>
        <w:tabs>
          <w:tab w:leader="none" w:pos="447" w:val="left"/>
        </w:tabs>
        <w:numPr>
          <w:ilvl w:val="0"/>
          <w:numId w:val="50"/>
        </w:numPr>
        <w:rPr>
          <w:rFonts w:ascii="Arial" w:cs="Arial" w:eastAsia="Arial" w:hAnsi="Arial"/>
          <w:sz w:val="15"/>
          <w:szCs w:val="15"/>
          <w:color w:val="477157"/>
        </w:rPr>
      </w:pPr>
      <w:r>
        <w:rPr>
          <w:rFonts w:ascii="Arial" w:cs="Arial" w:eastAsia="Arial" w:hAnsi="Arial"/>
          <w:sz w:val="15"/>
          <w:szCs w:val="15"/>
          <w:color w:val="auto"/>
        </w:rPr>
        <w:t>Refer to the Nonqualified Deferred Compensation in 2019 table above for aggregate balances payable to the named executives under our 409A Deferral Plan pursuant to the named executive's distribution elections.</w:t>
      </w:r>
    </w:p>
    <w:p>
      <w:pPr>
        <w:spacing w:after="0" w:line="200" w:lineRule="exact"/>
        <w:rPr>
          <w:sz w:val="20"/>
          <w:szCs w:val="20"/>
          <w:color w:val="auto"/>
        </w:rPr>
      </w:pPr>
    </w:p>
    <w:p>
      <w:pPr>
        <w:sectPr>
          <w:pgSz w:w="11900" w:h="16838" w:orient="portrait"/>
          <w:cols w:equalWidth="0" w:num="2">
            <w:col w:w="5693" w:space="720"/>
            <w:col w:w="4847"/>
          </w:cols>
          <w:pgMar w:left="320" w:top="142" w:right="319" w:bottom="1440" w:gutter="0" w:footer="0" w:header="0"/>
          <w:type w:val="continuous"/>
        </w:sectPr>
      </w:pPr>
    </w:p>
    <w:p>
      <w:pPr>
        <w:spacing w:after="0" w:line="137"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48</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51" w:name="page52"/>
    <w:bookmarkEnd w:id="5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Potential Consideration Upon Termination of Employment</w:t>
      </w:r>
    </w:p>
    <w:p>
      <w:pPr>
        <w:spacing w:after="0" w:line="182" w:lineRule="exact"/>
        <w:rPr>
          <w:sz w:val="20"/>
          <w:szCs w:val="20"/>
          <w:color w:val="auto"/>
        </w:rPr>
      </w:pPr>
    </w:p>
    <w:tbl>
      <w:tblPr>
        <w:tblLayout w:type="fixed"/>
        <w:tblInd w:w="1120" w:type="dxa"/>
        <w:tblCellMar>
          <w:top w:w="0" w:type="dxa"/>
          <w:left w:w="0" w:type="dxa"/>
          <w:bottom w:w="0" w:type="dxa"/>
          <w:right w:w="0" w:type="dxa"/>
        </w:tblCellMar>
      </w:tblPr>
      <w:tr>
        <w:trPr>
          <w:trHeight w:val="145"/>
        </w:trPr>
        <w:tc>
          <w:tcPr>
            <w:tcW w:w="100" w:type="dxa"/>
            <w:vAlign w:val="bottom"/>
            <w:tcBorders>
              <w:bottom w:val="single" w:sz="8" w:color="477157"/>
            </w:tcBorders>
          </w:tcPr>
          <w:p>
            <w:pPr>
              <w:spacing w:after="0"/>
              <w:rPr>
                <w:sz w:val="12"/>
                <w:szCs w:val="12"/>
                <w:color w:val="auto"/>
              </w:rPr>
            </w:pPr>
          </w:p>
        </w:tc>
        <w:tc>
          <w:tcPr>
            <w:tcW w:w="4240" w:type="dxa"/>
            <w:vAlign w:val="bottom"/>
            <w:tcBorders>
              <w:bottom w:val="single" w:sz="8" w:color="477157"/>
            </w:tcBorders>
          </w:tcPr>
          <w:p>
            <w:pPr>
              <w:spacing w:after="0"/>
              <w:rPr>
                <w:sz w:val="12"/>
                <w:szCs w:val="12"/>
                <w:color w:val="auto"/>
              </w:rPr>
            </w:pPr>
          </w:p>
        </w:tc>
        <w:tc>
          <w:tcPr>
            <w:tcW w:w="980" w:type="dxa"/>
            <w:vAlign w:val="bottom"/>
            <w:tcBorders>
              <w:bottom w:val="single" w:sz="8" w:color="477157"/>
            </w:tcBorders>
          </w:tcPr>
          <w:p>
            <w:pPr>
              <w:jc w:val="right"/>
              <w:ind w:right="48"/>
              <w:spacing w:after="0"/>
              <w:rPr>
                <w:sz w:val="20"/>
                <w:szCs w:val="20"/>
                <w:color w:val="auto"/>
              </w:rPr>
            </w:pPr>
            <w:r>
              <w:rPr>
                <w:rFonts w:ascii="Arial" w:cs="Arial" w:eastAsia="Arial" w:hAnsi="Arial"/>
                <w:sz w:val="12"/>
                <w:szCs w:val="12"/>
                <w:b w:val="1"/>
                <w:bCs w:val="1"/>
                <w:color w:val="477157"/>
              </w:rPr>
              <w:t>Mr. Fish</w:t>
            </w:r>
          </w:p>
        </w:tc>
        <w:tc>
          <w:tcPr>
            <w:tcW w:w="900" w:type="dxa"/>
            <w:vAlign w:val="bottom"/>
            <w:tcBorders>
              <w:bottom w:val="single" w:sz="8" w:color="477157"/>
            </w:tcBorders>
          </w:tcPr>
          <w:p>
            <w:pPr>
              <w:jc w:val="right"/>
              <w:ind w:right="68"/>
              <w:spacing w:after="0"/>
              <w:rPr>
                <w:sz w:val="20"/>
                <w:szCs w:val="20"/>
                <w:color w:val="auto"/>
              </w:rPr>
            </w:pPr>
            <w:r>
              <w:rPr>
                <w:rFonts w:ascii="Arial" w:cs="Arial" w:eastAsia="Arial" w:hAnsi="Arial"/>
                <w:sz w:val="12"/>
                <w:szCs w:val="12"/>
                <w:b w:val="1"/>
                <w:bCs w:val="1"/>
                <w:color w:val="477157"/>
              </w:rPr>
              <w:t>Ms. Rankin</w:t>
            </w:r>
          </w:p>
        </w:tc>
        <w:tc>
          <w:tcPr>
            <w:tcW w:w="920" w:type="dxa"/>
            <w:vAlign w:val="bottom"/>
            <w:tcBorders>
              <w:bottom w:val="single" w:sz="8" w:color="477157"/>
            </w:tcBorders>
          </w:tcPr>
          <w:p>
            <w:pPr>
              <w:jc w:val="right"/>
              <w:ind w:right="48"/>
              <w:spacing w:after="0"/>
              <w:rPr>
                <w:sz w:val="20"/>
                <w:szCs w:val="20"/>
                <w:color w:val="auto"/>
              </w:rPr>
            </w:pPr>
            <w:r>
              <w:rPr>
                <w:rFonts w:ascii="Arial" w:cs="Arial" w:eastAsia="Arial" w:hAnsi="Arial"/>
                <w:sz w:val="12"/>
                <w:szCs w:val="12"/>
                <w:b w:val="1"/>
                <w:bCs w:val="1"/>
                <w:color w:val="477157"/>
              </w:rPr>
              <w:t>Mr. Morris</w:t>
            </w:r>
          </w:p>
        </w:tc>
        <w:tc>
          <w:tcPr>
            <w:tcW w:w="940" w:type="dxa"/>
            <w:vAlign w:val="bottom"/>
            <w:tcBorders>
              <w:bottom w:val="single" w:sz="8" w:color="477157"/>
            </w:tcBorders>
          </w:tcPr>
          <w:p>
            <w:pPr>
              <w:jc w:val="right"/>
              <w:ind w:right="48"/>
              <w:spacing w:after="0"/>
              <w:rPr>
                <w:sz w:val="20"/>
                <w:szCs w:val="20"/>
                <w:color w:val="auto"/>
              </w:rPr>
            </w:pPr>
            <w:r>
              <w:rPr>
                <w:rFonts w:ascii="Arial" w:cs="Arial" w:eastAsia="Arial" w:hAnsi="Arial"/>
                <w:sz w:val="12"/>
                <w:szCs w:val="12"/>
                <w:b w:val="1"/>
                <w:bCs w:val="1"/>
                <w:color w:val="477157"/>
              </w:rPr>
              <w:t>Ms. Hemmer</w:t>
            </w:r>
          </w:p>
        </w:tc>
        <w:tc>
          <w:tcPr>
            <w:tcW w:w="860" w:type="dxa"/>
            <w:vAlign w:val="bottom"/>
            <w:tcBorders>
              <w:bottom w:val="single" w:sz="8" w:color="477157"/>
            </w:tcBorders>
          </w:tcPr>
          <w:p>
            <w:pPr>
              <w:jc w:val="right"/>
              <w:spacing w:after="0"/>
              <w:rPr>
                <w:sz w:val="20"/>
                <w:szCs w:val="20"/>
                <w:color w:val="auto"/>
              </w:rPr>
            </w:pPr>
            <w:r>
              <w:rPr>
                <w:rFonts w:ascii="Arial" w:cs="Arial" w:eastAsia="Arial" w:hAnsi="Arial"/>
                <w:sz w:val="12"/>
                <w:szCs w:val="12"/>
                <w:b w:val="1"/>
                <w:bCs w:val="1"/>
                <w:color w:val="477157"/>
              </w:rPr>
              <w:t>Mr. Batchelor</w:t>
            </w:r>
          </w:p>
        </w:tc>
      </w:tr>
      <w:tr>
        <w:trPr>
          <w:trHeight w:val="160"/>
        </w:trPr>
        <w:tc>
          <w:tcPr>
            <w:tcW w:w="4340" w:type="dxa"/>
            <w:vAlign w:val="bottom"/>
            <w:tcBorders>
              <w:bottom w:val="single" w:sz="8" w:color="477157"/>
            </w:tcBorders>
            <w:gridSpan w:val="2"/>
          </w:tcPr>
          <w:p>
            <w:pPr>
              <w:spacing w:after="0" w:line="161" w:lineRule="exact"/>
              <w:rPr>
                <w:sz w:val="20"/>
                <w:szCs w:val="20"/>
                <w:color w:val="auto"/>
              </w:rPr>
            </w:pPr>
            <w:r>
              <w:rPr>
                <w:rFonts w:ascii="Arial" w:cs="Arial" w:eastAsia="Arial" w:hAnsi="Arial"/>
                <w:sz w:val="15"/>
                <w:szCs w:val="15"/>
                <w:b w:val="1"/>
                <w:bCs w:val="1"/>
                <w:color w:val="auto"/>
              </w:rPr>
              <w:t>Payout or Value of Compensation Components, in dollars</w:t>
            </w:r>
          </w:p>
        </w:tc>
        <w:tc>
          <w:tcPr>
            <w:tcW w:w="980" w:type="dxa"/>
            <w:vAlign w:val="bottom"/>
            <w:tcBorders>
              <w:bottom w:val="single" w:sz="8" w:color="477157"/>
            </w:tcBorders>
          </w:tcPr>
          <w:p>
            <w:pPr>
              <w:spacing w:after="0"/>
              <w:rPr>
                <w:sz w:val="13"/>
                <w:szCs w:val="13"/>
                <w:color w:val="auto"/>
              </w:rPr>
            </w:pPr>
          </w:p>
        </w:tc>
        <w:tc>
          <w:tcPr>
            <w:tcW w:w="900" w:type="dxa"/>
            <w:vAlign w:val="bottom"/>
            <w:tcBorders>
              <w:bottom w:val="single" w:sz="8" w:color="477157"/>
            </w:tcBorders>
          </w:tcPr>
          <w:p>
            <w:pPr>
              <w:spacing w:after="0"/>
              <w:rPr>
                <w:sz w:val="13"/>
                <w:szCs w:val="13"/>
                <w:color w:val="auto"/>
              </w:rPr>
            </w:pPr>
          </w:p>
        </w:tc>
        <w:tc>
          <w:tcPr>
            <w:tcW w:w="920" w:type="dxa"/>
            <w:vAlign w:val="bottom"/>
            <w:tcBorders>
              <w:bottom w:val="single" w:sz="8" w:color="477157"/>
            </w:tcBorders>
          </w:tcPr>
          <w:p>
            <w:pPr>
              <w:spacing w:after="0"/>
              <w:rPr>
                <w:sz w:val="13"/>
                <w:szCs w:val="13"/>
                <w:color w:val="auto"/>
              </w:rPr>
            </w:pPr>
          </w:p>
        </w:tc>
        <w:tc>
          <w:tcPr>
            <w:tcW w:w="940" w:type="dxa"/>
            <w:vAlign w:val="bottom"/>
            <w:tcBorders>
              <w:bottom w:val="single" w:sz="8" w:color="477157"/>
            </w:tcBorders>
          </w:tcPr>
          <w:p>
            <w:pPr>
              <w:spacing w:after="0"/>
              <w:rPr>
                <w:sz w:val="13"/>
                <w:szCs w:val="13"/>
                <w:color w:val="auto"/>
              </w:rPr>
            </w:pPr>
          </w:p>
        </w:tc>
        <w:tc>
          <w:tcPr>
            <w:tcW w:w="860" w:type="dxa"/>
            <w:vAlign w:val="bottom"/>
            <w:tcBorders>
              <w:bottom w:val="single" w:sz="8" w:color="477157"/>
            </w:tcBorders>
          </w:tcPr>
          <w:p>
            <w:pPr>
              <w:spacing w:after="0"/>
              <w:rPr>
                <w:sz w:val="13"/>
                <w:szCs w:val="13"/>
                <w:color w:val="auto"/>
              </w:rPr>
            </w:pPr>
          </w:p>
        </w:tc>
      </w:tr>
      <w:tr>
        <w:trPr>
          <w:trHeight w:val="160"/>
        </w:trPr>
        <w:tc>
          <w:tcPr>
            <w:tcW w:w="4340" w:type="dxa"/>
            <w:vAlign w:val="bottom"/>
            <w:tcBorders>
              <w:bottom w:val="single" w:sz="8" w:color="477157"/>
            </w:tcBorders>
            <w:gridSpan w:val="2"/>
          </w:tcPr>
          <w:p>
            <w:pPr>
              <w:spacing w:after="0" w:line="161" w:lineRule="exact"/>
              <w:rPr>
                <w:sz w:val="20"/>
                <w:szCs w:val="20"/>
                <w:color w:val="auto"/>
              </w:rPr>
            </w:pPr>
            <w:r>
              <w:rPr>
                <w:rFonts w:ascii="Arial" w:cs="Arial" w:eastAsia="Arial" w:hAnsi="Arial"/>
                <w:sz w:val="15"/>
                <w:szCs w:val="15"/>
                <w:b w:val="1"/>
                <w:bCs w:val="1"/>
                <w:i w:val="1"/>
                <w:iCs w:val="1"/>
                <w:color w:val="auto"/>
              </w:rPr>
              <w:t>In Event of Death or Disability</w:t>
            </w:r>
          </w:p>
        </w:tc>
        <w:tc>
          <w:tcPr>
            <w:tcW w:w="980" w:type="dxa"/>
            <w:vAlign w:val="bottom"/>
            <w:tcBorders>
              <w:bottom w:val="single" w:sz="8" w:color="477157"/>
            </w:tcBorders>
          </w:tcPr>
          <w:p>
            <w:pPr>
              <w:spacing w:after="0"/>
              <w:rPr>
                <w:sz w:val="13"/>
                <w:szCs w:val="13"/>
                <w:color w:val="auto"/>
              </w:rPr>
            </w:pPr>
          </w:p>
        </w:tc>
        <w:tc>
          <w:tcPr>
            <w:tcW w:w="900" w:type="dxa"/>
            <w:vAlign w:val="bottom"/>
            <w:tcBorders>
              <w:bottom w:val="single" w:sz="8" w:color="477157"/>
            </w:tcBorders>
          </w:tcPr>
          <w:p>
            <w:pPr>
              <w:spacing w:after="0"/>
              <w:rPr>
                <w:sz w:val="13"/>
                <w:szCs w:val="13"/>
                <w:color w:val="auto"/>
              </w:rPr>
            </w:pPr>
          </w:p>
        </w:tc>
        <w:tc>
          <w:tcPr>
            <w:tcW w:w="920" w:type="dxa"/>
            <w:vAlign w:val="bottom"/>
            <w:tcBorders>
              <w:bottom w:val="single" w:sz="8" w:color="477157"/>
            </w:tcBorders>
          </w:tcPr>
          <w:p>
            <w:pPr>
              <w:spacing w:after="0"/>
              <w:rPr>
                <w:sz w:val="13"/>
                <w:szCs w:val="13"/>
                <w:color w:val="auto"/>
              </w:rPr>
            </w:pPr>
          </w:p>
        </w:tc>
        <w:tc>
          <w:tcPr>
            <w:tcW w:w="940" w:type="dxa"/>
            <w:vAlign w:val="bottom"/>
            <w:tcBorders>
              <w:bottom w:val="single" w:sz="8" w:color="477157"/>
            </w:tcBorders>
          </w:tcPr>
          <w:p>
            <w:pPr>
              <w:spacing w:after="0"/>
              <w:rPr>
                <w:sz w:val="13"/>
                <w:szCs w:val="13"/>
                <w:color w:val="auto"/>
              </w:rPr>
            </w:pPr>
          </w:p>
        </w:tc>
        <w:tc>
          <w:tcPr>
            <w:tcW w:w="860" w:type="dxa"/>
            <w:vAlign w:val="bottom"/>
            <w:tcBorders>
              <w:bottom w:val="single" w:sz="8" w:color="477157"/>
            </w:tcBorders>
          </w:tcPr>
          <w:p>
            <w:pPr>
              <w:spacing w:after="0"/>
              <w:rPr>
                <w:sz w:val="13"/>
                <w:szCs w:val="13"/>
                <w:color w:val="auto"/>
              </w:rPr>
            </w:pPr>
          </w:p>
        </w:tc>
      </w:tr>
      <w:tr>
        <w:trPr>
          <w:trHeight w:val="152"/>
        </w:trPr>
        <w:tc>
          <w:tcPr>
            <w:tcW w:w="100" w:type="dxa"/>
            <w:vAlign w:val="bottom"/>
          </w:tcPr>
          <w:p>
            <w:pPr>
              <w:spacing w:after="0" w:line="152" w:lineRule="exact"/>
              <w:rPr>
                <w:sz w:val="20"/>
                <w:szCs w:val="20"/>
                <w:color w:val="auto"/>
              </w:rPr>
            </w:pPr>
            <w:r>
              <w:rPr>
                <w:rFonts w:ascii="Arial" w:cs="Arial" w:eastAsia="Arial" w:hAnsi="Arial"/>
                <w:sz w:val="15"/>
                <w:szCs w:val="15"/>
                <w:color w:val="477157"/>
              </w:rPr>
              <w:t>•</w:t>
            </w:r>
          </w:p>
        </w:tc>
        <w:tc>
          <w:tcPr>
            <w:tcW w:w="4240" w:type="dxa"/>
            <w:vAlign w:val="bottom"/>
          </w:tcPr>
          <w:p>
            <w:pPr>
              <w:ind w:left="40"/>
              <w:spacing w:after="0" w:line="152" w:lineRule="exact"/>
              <w:rPr>
                <w:sz w:val="20"/>
                <w:szCs w:val="20"/>
                <w:color w:val="auto"/>
              </w:rPr>
            </w:pPr>
            <w:r>
              <w:rPr>
                <w:rFonts w:ascii="Arial" w:cs="Arial" w:eastAsia="Arial" w:hAnsi="Arial"/>
                <w:sz w:val="15"/>
                <w:szCs w:val="15"/>
                <w:color w:val="auto"/>
              </w:rPr>
              <w:t>Accelerated vesting of stock options</w:t>
            </w:r>
          </w:p>
        </w:tc>
        <w:tc>
          <w:tcPr>
            <w:tcW w:w="980" w:type="dxa"/>
            <w:vAlign w:val="bottom"/>
          </w:tcPr>
          <w:p>
            <w:pPr>
              <w:jc w:val="right"/>
              <w:ind w:right="48"/>
              <w:spacing w:after="0" w:line="152" w:lineRule="exact"/>
              <w:rPr>
                <w:sz w:val="20"/>
                <w:szCs w:val="20"/>
                <w:color w:val="auto"/>
              </w:rPr>
            </w:pPr>
            <w:r>
              <w:rPr>
                <w:rFonts w:ascii="Arial" w:cs="Arial" w:eastAsia="Arial" w:hAnsi="Arial"/>
                <w:sz w:val="15"/>
                <w:szCs w:val="15"/>
                <w:color w:val="auto"/>
              </w:rPr>
              <w:t>6,475,004</w:t>
            </w:r>
          </w:p>
        </w:tc>
        <w:tc>
          <w:tcPr>
            <w:tcW w:w="900" w:type="dxa"/>
            <w:vAlign w:val="bottom"/>
          </w:tcPr>
          <w:p>
            <w:pPr>
              <w:jc w:val="right"/>
              <w:ind w:right="68"/>
              <w:spacing w:after="0" w:line="152" w:lineRule="exact"/>
              <w:rPr>
                <w:sz w:val="20"/>
                <w:szCs w:val="20"/>
                <w:color w:val="auto"/>
              </w:rPr>
            </w:pPr>
            <w:r>
              <w:rPr>
                <w:rFonts w:ascii="Arial" w:cs="Arial" w:eastAsia="Arial" w:hAnsi="Arial"/>
                <w:sz w:val="15"/>
                <w:szCs w:val="15"/>
                <w:color w:val="auto"/>
              </w:rPr>
              <w:t>1,619,470</w:t>
            </w:r>
          </w:p>
        </w:tc>
        <w:tc>
          <w:tcPr>
            <w:tcW w:w="920" w:type="dxa"/>
            <w:vAlign w:val="bottom"/>
          </w:tcPr>
          <w:p>
            <w:pPr>
              <w:jc w:val="right"/>
              <w:ind w:right="48"/>
              <w:spacing w:after="0" w:line="152" w:lineRule="exact"/>
              <w:rPr>
                <w:sz w:val="20"/>
                <w:szCs w:val="20"/>
                <w:color w:val="auto"/>
              </w:rPr>
            </w:pPr>
            <w:r>
              <w:rPr>
                <w:rFonts w:ascii="Arial" w:cs="Arial" w:eastAsia="Arial" w:hAnsi="Arial"/>
                <w:sz w:val="15"/>
                <w:szCs w:val="15"/>
                <w:color w:val="auto"/>
              </w:rPr>
              <w:t>1,967,159</w:t>
            </w:r>
          </w:p>
        </w:tc>
        <w:tc>
          <w:tcPr>
            <w:tcW w:w="940" w:type="dxa"/>
            <w:vAlign w:val="bottom"/>
          </w:tcPr>
          <w:p>
            <w:pPr>
              <w:jc w:val="right"/>
              <w:ind w:right="48"/>
              <w:spacing w:after="0" w:line="152" w:lineRule="exact"/>
              <w:rPr>
                <w:sz w:val="20"/>
                <w:szCs w:val="20"/>
                <w:color w:val="auto"/>
              </w:rPr>
            </w:pPr>
            <w:r>
              <w:rPr>
                <w:rFonts w:ascii="Arial" w:cs="Arial" w:eastAsia="Arial" w:hAnsi="Arial"/>
                <w:sz w:val="15"/>
                <w:szCs w:val="15"/>
                <w:color w:val="auto"/>
              </w:rPr>
              <w:t>880,421</w:t>
            </w:r>
          </w:p>
        </w:tc>
        <w:tc>
          <w:tcPr>
            <w:tcW w:w="860" w:type="dxa"/>
            <w:vAlign w:val="bottom"/>
          </w:tcPr>
          <w:p>
            <w:pPr>
              <w:jc w:val="right"/>
              <w:spacing w:after="0" w:line="152" w:lineRule="exact"/>
              <w:rPr>
                <w:sz w:val="20"/>
                <w:szCs w:val="20"/>
                <w:color w:val="auto"/>
              </w:rPr>
            </w:pPr>
            <w:r>
              <w:rPr>
                <w:rFonts w:ascii="Arial" w:cs="Arial" w:eastAsia="Arial" w:hAnsi="Arial"/>
                <w:sz w:val="15"/>
                <w:szCs w:val="15"/>
                <w:color w:val="auto"/>
              </w:rPr>
              <w:t>596,407</w:t>
            </w:r>
          </w:p>
        </w:tc>
      </w:tr>
      <w:tr>
        <w:trPr>
          <w:trHeight w:val="169"/>
        </w:trPr>
        <w:tc>
          <w:tcPr>
            <w:tcW w:w="100" w:type="dxa"/>
            <w:vAlign w:val="bottom"/>
          </w:tcPr>
          <w:p>
            <w:pPr>
              <w:spacing w:after="0" w:line="169" w:lineRule="exact"/>
              <w:rPr>
                <w:sz w:val="20"/>
                <w:szCs w:val="20"/>
                <w:color w:val="auto"/>
              </w:rPr>
            </w:pPr>
            <w:r>
              <w:rPr>
                <w:rFonts w:ascii="Arial" w:cs="Arial" w:eastAsia="Arial" w:hAnsi="Arial"/>
                <w:sz w:val="15"/>
                <w:szCs w:val="15"/>
                <w:color w:val="477157"/>
              </w:rPr>
              <w:t>•</w:t>
            </w:r>
          </w:p>
        </w:tc>
        <w:tc>
          <w:tcPr>
            <w:tcW w:w="4240" w:type="dxa"/>
            <w:vAlign w:val="bottom"/>
          </w:tcPr>
          <w:p>
            <w:pPr>
              <w:ind w:left="40"/>
              <w:spacing w:after="0" w:line="169" w:lineRule="exact"/>
              <w:rPr>
                <w:sz w:val="20"/>
                <w:szCs w:val="20"/>
                <w:color w:val="auto"/>
              </w:rPr>
            </w:pPr>
            <w:r>
              <w:rPr>
                <w:rFonts w:ascii="Arial" w:cs="Arial" w:eastAsia="Arial" w:hAnsi="Arial"/>
                <w:sz w:val="15"/>
                <w:szCs w:val="15"/>
                <w:color w:val="auto"/>
              </w:rPr>
              <w:t>Payment of PSUs (contingent on actual performance at end of</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9"/>
        </w:trPr>
        <w:tc>
          <w:tcPr>
            <w:tcW w:w="100" w:type="dxa"/>
            <w:vAlign w:val="bottom"/>
          </w:tcPr>
          <w:p>
            <w:pPr>
              <w:spacing w:after="0"/>
              <w:rPr>
                <w:sz w:val="14"/>
                <w:szCs w:val="14"/>
                <w:color w:val="auto"/>
              </w:rPr>
            </w:pPr>
          </w:p>
        </w:tc>
        <w:tc>
          <w:tcPr>
            <w:tcW w:w="4240" w:type="dxa"/>
            <w:vAlign w:val="bottom"/>
          </w:tcPr>
          <w:p>
            <w:pPr>
              <w:ind w:left="40"/>
              <w:spacing w:after="0" w:line="169" w:lineRule="exact"/>
              <w:rPr>
                <w:sz w:val="20"/>
                <w:szCs w:val="20"/>
                <w:color w:val="auto"/>
              </w:rPr>
            </w:pPr>
            <w:r>
              <w:rPr>
                <w:rFonts w:ascii="Arial" w:cs="Arial" w:eastAsia="Arial" w:hAnsi="Arial"/>
                <w:sz w:val="15"/>
                <w:szCs w:val="15"/>
                <w:color w:val="auto"/>
              </w:rPr>
              <w:t>performance period)</w:t>
            </w:r>
          </w:p>
        </w:tc>
        <w:tc>
          <w:tcPr>
            <w:tcW w:w="980" w:type="dxa"/>
            <w:vAlign w:val="bottom"/>
          </w:tcPr>
          <w:p>
            <w:pPr>
              <w:jc w:val="right"/>
              <w:ind w:right="48"/>
              <w:spacing w:after="0" w:line="169" w:lineRule="exact"/>
              <w:rPr>
                <w:sz w:val="20"/>
                <w:szCs w:val="20"/>
                <w:color w:val="auto"/>
              </w:rPr>
            </w:pPr>
            <w:r>
              <w:rPr>
                <w:rFonts w:ascii="Arial" w:cs="Arial" w:eastAsia="Arial" w:hAnsi="Arial"/>
                <w:sz w:val="15"/>
                <w:szCs w:val="15"/>
                <w:color w:val="auto"/>
              </w:rPr>
              <w:t>13,005,115</w:t>
            </w:r>
          </w:p>
        </w:tc>
        <w:tc>
          <w:tcPr>
            <w:tcW w:w="900" w:type="dxa"/>
            <w:vAlign w:val="bottom"/>
          </w:tcPr>
          <w:p>
            <w:pPr>
              <w:jc w:val="right"/>
              <w:ind w:right="68"/>
              <w:spacing w:after="0" w:line="169" w:lineRule="exact"/>
              <w:rPr>
                <w:sz w:val="20"/>
                <w:szCs w:val="20"/>
                <w:color w:val="auto"/>
              </w:rPr>
            </w:pPr>
            <w:r>
              <w:rPr>
                <w:rFonts w:ascii="Arial" w:cs="Arial" w:eastAsia="Arial" w:hAnsi="Arial"/>
                <w:sz w:val="15"/>
                <w:szCs w:val="15"/>
                <w:color w:val="auto"/>
              </w:rPr>
              <w:t>3,700,737</w:t>
            </w:r>
          </w:p>
        </w:tc>
        <w:tc>
          <w:tcPr>
            <w:tcW w:w="920" w:type="dxa"/>
            <w:vAlign w:val="bottom"/>
          </w:tcPr>
          <w:p>
            <w:pPr>
              <w:jc w:val="right"/>
              <w:ind w:right="48"/>
              <w:spacing w:after="0" w:line="169" w:lineRule="exact"/>
              <w:rPr>
                <w:sz w:val="20"/>
                <w:szCs w:val="20"/>
                <w:color w:val="auto"/>
              </w:rPr>
            </w:pPr>
            <w:r>
              <w:rPr>
                <w:rFonts w:ascii="Arial" w:cs="Arial" w:eastAsia="Arial" w:hAnsi="Arial"/>
                <w:sz w:val="15"/>
                <w:szCs w:val="15"/>
                <w:color w:val="auto"/>
              </w:rPr>
              <w:t>3,997,489</w:t>
            </w:r>
          </w:p>
        </w:tc>
        <w:tc>
          <w:tcPr>
            <w:tcW w:w="940" w:type="dxa"/>
            <w:vAlign w:val="bottom"/>
          </w:tcPr>
          <w:p>
            <w:pPr>
              <w:jc w:val="right"/>
              <w:ind w:right="48"/>
              <w:spacing w:after="0" w:line="169" w:lineRule="exact"/>
              <w:rPr>
                <w:sz w:val="20"/>
                <w:szCs w:val="20"/>
                <w:color w:val="auto"/>
              </w:rPr>
            </w:pPr>
            <w:r>
              <w:rPr>
                <w:rFonts w:ascii="Arial" w:cs="Arial" w:eastAsia="Arial" w:hAnsi="Arial"/>
                <w:sz w:val="15"/>
                <w:szCs w:val="15"/>
                <w:color w:val="auto"/>
              </w:rPr>
              <w:t>2,631,336</w:t>
            </w: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1,759,314</w:t>
            </w:r>
          </w:p>
        </w:tc>
      </w:tr>
      <w:tr>
        <w:trPr>
          <w:trHeight w:val="158"/>
        </w:trPr>
        <w:tc>
          <w:tcPr>
            <w:tcW w:w="100" w:type="dxa"/>
            <w:vAlign w:val="bottom"/>
          </w:tcPr>
          <w:p>
            <w:pPr>
              <w:spacing w:after="0" w:line="158" w:lineRule="exact"/>
              <w:rPr>
                <w:sz w:val="20"/>
                <w:szCs w:val="20"/>
                <w:color w:val="auto"/>
              </w:rPr>
            </w:pPr>
            <w:r>
              <w:rPr>
                <w:rFonts w:ascii="Arial" w:cs="Arial" w:eastAsia="Arial" w:hAnsi="Arial"/>
                <w:sz w:val="15"/>
                <w:szCs w:val="15"/>
                <w:color w:val="477157"/>
              </w:rPr>
              <w:t>•</w:t>
            </w:r>
          </w:p>
        </w:tc>
        <w:tc>
          <w:tcPr>
            <w:tcW w:w="4240" w:type="dxa"/>
            <w:vAlign w:val="bottom"/>
          </w:tcPr>
          <w:p>
            <w:pPr>
              <w:ind w:left="40"/>
              <w:spacing w:after="0" w:line="158" w:lineRule="exact"/>
              <w:rPr>
                <w:sz w:val="20"/>
                <w:szCs w:val="20"/>
                <w:color w:val="auto"/>
              </w:rPr>
            </w:pPr>
            <w:r>
              <w:rPr>
                <w:rFonts w:ascii="Arial" w:cs="Arial" w:eastAsia="Arial" w:hAnsi="Arial"/>
                <w:sz w:val="15"/>
                <w:szCs w:val="15"/>
                <w:color w:val="auto"/>
              </w:rPr>
              <w:t>Accelerated vesting of restricted stock units</w:t>
            </w:r>
          </w:p>
        </w:tc>
        <w:tc>
          <w:tcPr>
            <w:tcW w:w="980" w:type="dxa"/>
            <w:vAlign w:val="bottom"/>
          </w:tcPr>
          <w:p>
            <w:pPr>
              <w:jc w:val="right"/>
              <w:ind w:right="48"/>
              <w:spacing w:after="0" w:line="158"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68"/>
              <w:spacing w:after="0" w:line="158"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8"/>
              <w:spacing w:after="0" w:line="158"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8"/>
              <w:spacing w:after="0" w:line="158" w:lineRule="exact"/>
              <w:rPr>
                <w:sz w:val="20"/>
                <w:szCs w:val="20"/>
                <w:color w:val="auto"/>
              </w:rPr>
            </w:pPr>
            <w:r>
              <w:rPr>
                <w:rFonts w:ascii="Arial" w:cs="Arial" w:eastAsia="Arial" w:hAnsi="Arial"/>
                <w:sz w:val="15"/>
                <w:szCs w:val="15"/>
                <w:color w:val="auto"/>
              </w:rPr>
              <w:t>151,681</w:t>
            </w:r>
          </w:p>
        </w:tc>
        <w:tc>
          <w:tcPr>
            <w:tcW w:w="860" w:type="dxa"/>
            <w:vAlign w:val="bottom"/>
          </w:tcPr>
          <w:p>
            <w:pPr>
              <w:jc w:val="right"/>
              <w:spacing w:after="0" w:line="158" w:lineRule="exact"/>
              <w:rPr>
                <w:sz w:val="20"/>
                <w:szCs w:val="20"/>
                <w:color w:val="auto"/>
              </w:rPr>
            </w:pPr>
            <w:r>
              <w:rPr>
                <w:rFonts w:ascii="Arial" w:cs="Arial" w:eastAsia="Arial" w:hAnsi="Arial"/>
                <w:sz w:val="15"/>
                <w:szCs w:val="15"/>
                <w:color w:val="auto"/>
              </w:rPr>
              <w:t>126,154</w:t>
            </w:r>
          </w:p>
        </w:tc>
      </w:tr>
      <w:tr>
        <w:trPr>
          <w:trHeight w:val="169"/>
        </w:trPr>
        <w:tc>
          <w:tcPr>
            <w:tcW w:w="100" w:type="dxa"/>
            <w:vAlign w:val="bottom"/>
          </w:tcPr>
          <w:p>
            <w:pPr>
              <w:spacing w:after="0" w:line="169" w:lineRule="exact"/>
              <w:rPr>
                <w:sz w:val="20"/>
                <w:szCs w:val="20"/>
                <w:color w:val="auto"/>
              </w:rPr>
            </w:pPr>
            <w:r>
              <w:rPr>
                <w:rFonts w:ascii="Arial" w:cs="Arial" w:eastAsia="Arial" w:hAnsi="Arial"/>
                <w:sz w:val="15"/>
                <w:szCs w:val="15"/>
                <w:color w:val="477157"/>
              </w:rPr>
              <w:t>•</w:t>
            </w:r>
          </w:p>
        </w:tc>
        <w:tc>
          <w:tcPr>
            <w:tcW w:w="4240" w:type="dxa"/>
            <w:vAlign w:val="bottom"/>
          </w:tcPr>
          <w:p>
            <w:pPr>
              <w:ind w:left="40"/>
              <w:spacing w:after="0" w:line="169" w:lineRule="exact"/>
              <w:rPr>
                <w:sz w:val="20"/>
                <w:szCs w:val="20"/>
                <w:color w:val="auto"/>
              </w:rPr>
            </w:pPr>
            <w:r>
              <w:rPr>
                <w:rFonts w:ascii="Arial" w:cs="Arial" w:eastAsia="Arial" w:hAnsi="Arial"/>
                <w:sz w:val="15"/>
                <w:szCs w:val="15"/>
                <w:color w:val="auto"/>
              </w:rPr>
              <w:t>Life insurance benefit paid by insurance company (in the case</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 w:type="dxa"/>
            <w:vAlign w:val="bottom"/>
            <w:tcBorders>
              <w:bottom w:val="single" w:sz="8" w:color="477157"/>
            </w:tcBorders>
          </w:tcPr>
          <w:p>
            <w:pPr>
              <w:spacing w:after="0"/>
              <w:rPr>
                <w:sz w:val="14"/>
                <w:szCs w:val="14"/>
                <w:color w:val="auto"/>
              </w:rPr>
            </w:pPr>
          </w:p>
        </w:tc>
        <w:tc>
          <w:tcPr>
            <w:tcW w:w="4240" w:type="dxa"/>
            <w:vAlign w:val="bottom"/>
            <w:tcBorders>
              <w:bottom w:val="single" w:sz="8" w:color="477157"/>
            </w:tcBorders>
          </w:tcPr>
          <w:p>
            <w:pPr>
              <w:ind w:left="40"/>
              <w:spacing w:after="0" w:line="167" w:lineRule="exact"/>
              <w:rPr>
                <w:sz w:val="20"/>
                <w:szCs w:val="20"/>
                <w:color w:val="auto"/>
              </w:rPr>
            </w:pPr>
            <w:r>
              <w:rPr>
                <w:rFonts w:ascii="Arial" w:cs="Arial" w:eastAsia="Arial" w:hAnsi="Arial"/>
                <w:sz w:val="15"/>
                <w:szCs w:val="15"/>
                <w:color w:val="auto"/>
              </w:rPr>
              <w:t>of death)</w:t>
            </w:r>
          </w:p>
        </w:tc>
        <w:tc>
          <w:tcPr>
            <w:tcW w:w="98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1,125,000</w:t>
            </w:r>
          </w:p>
        </w:tc>
        <w:tc>
          <w:tcPr>
            <w:tcW w:w="900" w:type="dxa"/>
            <w:vAlign w:val="bottom"/>
            <w:tcBorders>
              <w:bottom w:val="single" w:sz="8" w:color="477157"/>
            </w:tcBorders>
          </w:tcPr>
          <w:p>
            <w:pPr>
              <w:jc w:val="right"/>
              <w:ind w:right="68"/>
              <w:spacing w:after="0" w:line="167" w:lineRule="exact"/>
              <w:rPr>
                <w:sz w:val="20"/>
                <w:szCs w:val="20"/>
                <w:color w:val="auto"/>
              </w:rPr>
            </w:pPr>
            <w:r>
              <w:rPr>
                <w:rFonts w:ascii="Arial" w:cs="Arial" w:eastAsia="Arial" w:hAnsi="Arial"/>
                <w:sz w:val="15"/>
                <w:szCs w:val="15"/>
                <w:color w:val="auto"/>
              </w:rPr>
              <w:t>552,000</w:t>
            </w:r>
          </w:p>
        </w:tc>
        <w:tc>
          <w:tcPr>
            <w:tcW w:w="92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650,000</w:t>
            </w:r>
          </w:p>
        </w:tc>
        <w:tc>
          <w:tcPr>
            <w:tcW w:w="94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461,000</w:t>
            </w:r>
          </w:p>
        </w:tc>
        <w:tc>
          <w:tcPr>
            <w:tcW w:w="860" w:type="dxa"/>
            <w:vAlign w:val="bottom"/>
            <w:tcBorders>
              <w:bottom w:val="single" w:sz="8" w:color="477157"/>
            </w:tcBorders>
          </w:tcPr>
          <w:p>
            <w:pPr>
              <w:jc w:val="right"/>
              <w:spacing w:after="0" w:line="167" w:lineRule="exact"/>
              <w:rPr>
                <w:sz w:val="20"/>
                <w:szCs w:val="20"/>
                <w:color w:val="auto"/>
              </w:rPr>
            </w:pPr>
            <w:r>
              <w:rPr>
                <w:rFonts w:ascii="Arial" w:cs="Arial" w:eastAsia="Arial" w:hAnsi="Arial"/>
                <w:sz w:val="15"/>
                <w:szCs w:val="15"/>
                <w:color w:val="auto"/>
              </w:rPr>
              <w:t>390,000</w:t>
            </w:r>
          </w:p>
        </w:tc>
      </w:tr>
      <w:tr>
        <w:trPr>
          <w:trHeight w:val="160"/>
        </w:trPr>
        <w:tc>
          <w:tcPr>
            <w:tcW w:w="4340" w:type="dxa"/>
            <w:vAlign w:val="bottom"/>
            <w:tcBorders>
              <w:bottom w:val="single" w:sz="8" w:color="477157"/>
            </w:tcBorders>
            <w:gridSpan w:val="2"/>
          </w:tcPr>
          <w:p>
            <w:pPr>
              <w:spacing w:after="0" w:line="161" w:lineRule="exact"/>
              <w:rPr>
                <w:sz w:val="20"/>
                <w:szCs w:val="20"/>
                <w:color w:val="auto"/>
              </w:rPr>
            </w:pPr>
            <w:r>
              <w:rPr>
                <w:rFonts w:ascii="Arial" w:cs="Arial" w:eastAsia="Arial" w:hAnsi="Arial"/>
                <w:sz w:val="15"/>
                <w:szCs w:val="15"/>
                <w:b w:val="1"/>
                <w:bCs w:val="1"/>
                <w:color w:val="auto"/>
              </w:rPr>
              <w:t>Total</w:t>
            </w:r>
          </w:p>
        </w:tc>
        <w:tc>
          <w:tcPr>
            <w:tcW w:w="980" w:type="dxa"/>
            <w:vAlign w:val="bottom"/>
            <w:tcBorders>
              <w:bottom w:val="single" w:sz="8" w:color="477157"/>
            </w:tcBorders>
          </w:tcPr>
          <w:p>
            <w:pPr>
              <w:jc w:val="right"/>
              <w:ind w:right="48"/>
              <w:spacing w:after="0" w:line="161" w:lineRule="exact"/>
              <w:rPr>
                <w:sz w:val="20"/>
                <w:szCs w:val="20"/>
                <w:color w:val="auto"/>
              </w:rPr>
            </w:pPr>
            <w:r>
              <w:rPr>
                <w:rFonts w:ascii="Arial" w:cs="Arial" w:eastAsia="Arial" w:hAnsi="Arial"/>
                <w:sz w:val="15"/>
                <w:szCs w:val="15"/>
                <w:b w:val="1"/>
                <w:bCs w:val="1"/>
                <w:color w:val="auto"/>
              </w:rPr>
              <w:t>20,605,119</w:t>
            </w:r>
          </w:p>
        </w:tc>
        <w:tc>
          <w:tcPr>
            <w:tcW w:w="900" w:type="dxa"/>
            <w:vAlign w:val="bottom"/>
            <w:tcBorders>
              <w:bottom w:val="single" w:sz="8" w:color="477157"/>
            </w:tcBorders>
          </w:tcPr>
          <w:p>
            <w:pPr>
              <w:jc w:val="right"/>
              <w:ind w:right="68"/>
              <w:spacing w:after="0" w:line="161" w:lineRule="exact"/>
              <w:rPr>
                <w:sz w:val="20"/>
                <w:szCs w:val="20"/>
                <w:color w:val="auto"/>
              </w:rPr>
            </w:pPr>
            <w:r>
              <w:rPr>
                <w:rFonts w:ascii="Arial" w:cs="Arial" w:eastAsia="Arial" w:hAnsi="Arial"/>
                <w:sz w:val="15"/>
                <w:szCs w:val="15"/>
                <w:b w:val="1"/>
                <w:bCs w:val="1"/>
                <w:color w:val="auto"/>
              </w:rPr>
              <w:t>5,872,207</w:t>
            </w:r>
          </w:p>
        </w:tc>
        <w:tc>
          <w:tcPr>
            <w:tcW w:w="920" w:type="dxa"/>
            <w:vAlign w:val="bottom"/>
            <w:tcBorders>
              <w:bottom w:val="single" w:sz="8" w:color="477157"/>
            </w:tcBorders>
          </w:tcPr>
          <w:p>
            <w:pPr>
              <w:jc w:val="right"/>
              <w:ind w:right="48"/>
              <w:spacing w:after="0" w:line="161" w:lineRule="exact"/>
              <w:rPr>
                <w:sz w:val="20"/>
                <w:szCs w:val="20"/>
                <w:color w:val="auto"/>
              </w:rPr>
            </w:pPr>
            <w:r>
              <w:rPr>
                <w:rFonts w:ascii="Arial" w:cs="Arial" w:eastAsia="Arial" w:hAnsi="Arial"/>
                <w:sz w:val="15"/>
                <w:szCs w:val="15"/>
                <w:b w:val="1"/>
                <w:bCs w:val="1"/>
                <w:color w:val="auto"/>
              </w:rPr>
              <w:t>6,614,648</w:t>
            </w:r>
          </w:p>
        </w:tc>
        <w:tc>
          <w:tcPr>
            <w:tcW w:w="940" w:type="dxa"/>
            <w:vAlign w:val="bottom"/>
            <w:tcBorders>
              <w:bottom w:val="single" w:sz="8" w:color="477157"/>
            </w:tcBorders>
          </w:tcPr>
          <w:p>
            <w:pPr>
              <w:jc w:val="right"/>
              <w:ind w:right="48"/>
              <w:spacing w:after="0" w:line="161" w:lineRule="exact"/>
              <w:rPr>
                <w:sz w:val="20"/>
                <w:szCs w:val="20"/>
                <w:color w:val="auto"/>
              </w:rPr>
            </w:pPr>
            <w:r>
              <w:rPr>
                <w:rFonts w:ascii="Arial" w:cs="Arial" w:eastAsia="Arial" w:hAnsi="Arial"/>
                <w:sz w:val="15"/>
                <w:szCs w:val="15"/>
                <w:b w:val="1"/>
                <w:bCs w:val="1"/>
                <w:color w:val="auto"/>
              </w:rPr>
              <w:t>4,124,438</w:t>
            </w:r>
          </w:p>
        </w:tc>
        <w:tc>
          <w:tcPr>
            <w:tcW w:w="8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b w:val="1"/>
                <w:bCs w:val="1"/>
                <w:color w:val="auto"/>
              </w:rPr>
              <w:t>2,871,875</w:t>
            </w:r>
          </w:p>
        </w:tc>
      </w:tr>
      <w:tr>
        <w:trPr>
          <w:trHeight w:val="145"/>
        </w:trPr>
        <w:tc>
          <w:tcPr>
            <w:tcW w:w="4340" w:type="dxa"/>
            <w:vAlign w:val="bottom"/>
            <w:gridSpan w:val="2"/>
          </w:tcPr>
          <w:p>
            <w:pPr>
              <w:spacing w:after="0" w:line="145" w:lineRule="exact"/>
              <w:rPr>
                <w:sz w:val="20"/>
                <w:szCs w:val="20"/>
                <w:color w:val="auto"/>
              </w:rPr>
            </w:pPr>
            <w:r>
              <w:rPr>
                <w:rFonts w:ascii="Arial" w:cs="Arial" w:eastAsia="Arial" w:hAnsi="Arial"/>
                <w:sz w:val="15"/>
                <w:szCs w:val="15"/>
                <w:b w:val="1"/>
                <w:bCs w:val="1"/>
                <w:i w:val="1"/>
                <w:iCs w:val="1"/>
                <w:color w:val="auto"/>
              </w:rPr>
              <w:t>In Event of Termination Without Cause by the Company or</w:t>
            </w: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4"/>
        </w:trPr>
        <w:tc>
          <w:tcPr>
            <w:tcW w:w="4340" w:type="dxa"/>
            <w:vAlign w:val="bottom"/>
            <w:tcBorders>
              <w:bottom w:val="single" w:sz="8" w:color="477157"/>
            </w:tcBorders>
            <w:gridSpan w:val="2"/>
          </w:tcPr>
          <w:p>
            <w:pPr>
              <w:spacing w:after="0"/>
              <w:rPr>
                <w:sz w:val="20"/>
                <w:szCs w:val="20"/>
                <w:color w:val="auto"/>
              </w:rPr>
            </w:pPr>
            <w:r>
              <w:rPr>
                <w:rFonts w:ascii="Arial" w:cs="Arial" w:eastAsia="Arial" w:hAnsi="Arial"/>
                <w:sz w:val="15"/>
                <w:szCs w:val="15"/>
                <w:b w:val="1"/>
                <w:bCs w:val="1"/>
                <w:i w:val="1"/>
                <w:iCs w:val="1"/>
                <w:color w:val="auto"/>
              </w:rPr>
              <w:t>For Good Reason by the Employee</w:t>
            </w:r>
          </w:p>
        </w:tc>
        <w:tc>
          <w:tcPr>
            <w:tcW w:w="980" w:type="dxa"/>
            <w:vAlign w:val="bottom"/>
            <w:tcBorders>
              <w:bottom w:val="single" w:sz="8" w:color="477157"/>
            </w:tcBorders>
          </w:tcPr>
          <w:p>
            <w:pPr>
              <w:spacing w:after="0"/>
              <w:rPr>
                <w:sz w:val="16"/>
                <w:szCs w:val="16"/>
                <w:color w:val="auto"/>
              </w:rPr>
            </w:pPr>
          </w:p>
        </w:tc>
        <w:tc>
          <w:tcPr>
            <w:tcW w:w="900" w:type="dxa"/>
            <w:vAlign w:val="bottom"/>
            <w:tcBorders>
              <w:bottom w:val="single" w:sz="8" w:color="477157"/>
            </w:tcBorders>
          </w:tcPr>
          <w:p>
            <w:pPr>
              <w:spacing w:after="0"/>
              <w:rPr>
                <w:sz w:val="16"/>
                <w:szCs w:val="16"/>
                <w:color w:val="auto"/>
              </w:rPr>
            </w:pPr>
          </w:p>
        </w:tc>
        <w:tc>
          <w:tcPr>
            <w:tcW w:w="920" w:type="dxa"/>
            <w:vAlign w:val="bottom"/>
            <w:tcBorders>
              <w:bottom w:val="single" w:sz="8" w:color="477157"/>
            </w:tcBorders>
          </w:tcPr>
          <w:p>
            <w:pPr>
              <w:spacing w:after="0"/>
              <w:rPr>
                <w:sz w:val="16"/>
                <w:szCs w:val="16"/>
                <w:color w:val="auto"/>
              </w:rPr>
            </w:pPr>
          </w:p>
        </w:tc>
        <w:tc>
          <w:tcPr>
            <w:tcW w:w="940" w:type="dxa"/>
            <w:vAlign w:val="bottom"/>
            <w:tcBorders>
              <w:bottom w:val="single" w:sz="8" w:color="477157"/>
            </w:tcBorders>
          </w:tcPr>
          <w:p>
            <w:pPr>
              <w:spacing w:after="0"/>
              <w:rPr>
                <w:sz w:val="16"/>
                <w:szCs w:val="16"/>
                <w:color w:val="auto"/>
              </w:rPr>
            </w:pPr>
          </w:p>
        </w:tc>
        <w:tc>
          <w:tcPr>
            <w:tcW w:w="860" w:type="dxa"/>
            <w:vAlign w:val="bottom"/>
            <w:tcBorders>
              <w:bottom w:val="single" w:sz="8" w:color="477157"/>
            </w:tcBorders>
          </w:tcPr>
          <w:p>
            <w:pPr>
              <w:spacing w:after="0"/>
              <w:rPr>
                <w:sz w:val="16"/>
                <w:szCs w:val="16"/>
                <w:color w:val="auto"/>
              </w:rPr>
            </w:pPr>
          </w:p>
        </w:tc>
      </w:tr>
      <w:tr>
        <w:trPr>
          <w:trHeight w:val="152"/>
        </w:trPr>
        <w:tc>
          <w:tcPr>
            <w:tcW w:w="100" w:type="dxa"/>
            <w:vAlign w:val="bottom"/>
          </w:tcPr>
          <w:p>
            <w:pPr>
              <w:spacing w:after="0" w:line="152" w:lineRule="exact"/>
              <w:rPr>
                <w:sz w:val="20"/>
                <w:szCs w:val="20"/>
                <w:color w:val="auto"/>
              </w:rPr>
            </w:pPr>
            <w:r>
              <w:rPr>
                <w:rFonts w:ascii="Arial" w:cs="Arial" w:eastAsia="Arial" w:hAnsi="Arial"/>
                <w:sz w:val="15"/>
                <w:szCs w:val="15"/>
                <w:color w:val="477157"/>
              </w:rPr>
              <w:t>•</w:t>
            </w:r>
          </w:p>
        </w:tc>
        <w:tc>
          <w:tcPr>
            <w:tcW w:w="4240" w:type="dxa"/>
            <w:vAlign w:val="bottom"/>
          </w:tcPr>
          <w:p>
            <w:pPr>
              <w:ind w:left="40"/>
              <w:spacing w:after="0" w:line="152" w:lineRule="exact"/>
              <w:rPr>
                <w:sz w:val="20"/>
                <w:szCs w:val="20"/>
                <w:color w:val="auto"/>
              </w:rPr>
            </w:pPr>
            <w:r>
              <w:rPr>
                <w:rFonts w:ascii="Arial" w:cs="Arial" w:eastAsia="Arial" w:hAnsi="Arial"/>
                <w:sz w:val="15"/>
                <w:szCs w:val="15"/>
                <w:color w:val="auto"/>
              </w:rPr>
              <w:t>Two times base salary plus target annual cash bonus (one-half</w:t>
            </w: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9"/>
        </w:trPr>
        <w:tc>
          <w:tcPr>
            <w:tcW w:w="100" w:type="dxa"/>
            <w:vAlign w:val="bottom"/>
          </w:tcPr>
          <w:p>
            <w:pPr>
              <w:spacing w:after="0"/>
              <w:rPr>
                <w:sz w:val="14"/>
                <w:szCs w:val="14"/>
                <w:color w:val="auto"/>
              </w:rPr>
            </w:pPr>
          </w:p>
        </w:tc>
        <w:tc>
          <w:tcPr>
            <w:tcW w:w="4240" w:type="dxa"/>
            <w:vAlign w:val="bottom"/>
          </w:tcPr>
          <w:p>
            <w:pPr>
              <w:ind w:left="40"/>
              <w:spacing w:after="0" w:line="169" w:lineRule="exact"/>
              <w:rPr>
                <w:sz w:val="20"/>
                <w:szCs w:val="20"/>
                <w:color w:val="auto"/>
              </w:rPr>
            </w:pPr>
            <w:r>
              <w:rPr>
                <w:rFonts w:ascii="Arial" w:cs="Arial" w:eastAsia="Arial" w:hAnsi="Arial"/>
                <w:sz w:val="15"/>
                <w:szCs w:val="15"/>
                <w:color w:val="auto"/>
              </w:rPr>
              <w:t>payable in lump sum; one-half payable in bi-weekly</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 w:type="dxa"/>
            <w:vAlign w:val="bottom"/>
            <w:tcBorders>
              <w:bottom w:val="single" w:sz="8" w:color="477157"/>
            </w:tcBorders>
          </w:tcPr>
          <w:p>
            <w:pPr>
              <w:spacing w:after="0"/>
              <w:rPr>
                <w:sz w:val="14"/>
                <w:szCs w:val="14"/>
                <w:color w:val="auto"/>
              </w:rPr>
            </w:pPr>
          </w:p>
        </w:tc>
        <w:tc>
          <w:tcPr>
            <w:tcW w:w="4240" w:type="dxa"/>
            <w:vAlign w:val="bottom"/>
            <w:tcBorders>
              <w:bottom w:val="single" w:sz="8" w:color="477157"/>
            </w:tcBorders>
          </w:tcPr>
          <w:p>
            <w:pPr>
              <w:ind w:left="40"/>
              <w:spacing w:after="0" w:line="167" w:lineRule="exact"/>
              <w:rPr>
                <w:sz w:val="20"/>
                <w:szCs w:val="20"/>
                <w:color w:val="auto"/>
              </w:rPr>
            </w:pPr>
            <w:r>
              <w:rPr>
                <w:rFonts w:ascii="Arial" w:cs="Arial" w:eastAsia="Arial" w:hAnsi="Arial"/>
                <w:sz w:val="15"/>
                <w:szCs w:val="15"/>
                <w:color w:val="auto"/>
              </w:rPr>
              <w:t>installments over a two-year period)</w:t>
            </w:r>
          </w:p>
        </w:tc>
        <w:tc>
          <w:tcPr>
            <w:tcW w:w="98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6,000,000</w:t>
            </w:r>
          </w:p>
        </w:tc>
        <w:tc>
          <w:tcPr>
            <w:tcW w:w="900" w:type="dxa"/>
            <w:vAlign w:val="bottom"/>
            <w:tcBorders>
              <w:bottom w:val="single" w:sz="8" w:color="477157"/>
            </w:tcBorders>
          </w:tcPr>
          <w:p>
            <w:pPr>
              <w:jc w:val="right"/>
              <w:ind w:right="68"/>
              <w:spacing w:after="0" w:line="167" w:lineRule="exact"/>
              <w:rPr>
                <w:sz w:val="20"/>
                <w:szCs w:val="20"/>
                <w:color w:val="auto"/>
              </w:rPr>
            </w:pPr>
            <w:r>
              <w:rPr>
                <w:rFonts w:ascii="Arial" w:cs="Arial" w:eastAsia="Arial" w:hAnsi="Arial"/>
                <w:sz w:val="15"/>
                <w:szCs w:val="15"/>
                <w:color w:val="auto"/>
              </w:rPr>
              <w:t>2,488,590</w:t>
            </w:r>
          </w:p>
        </w:tc>
        <w:tc>
          <w:tcPr>
            <w:tcW w:w="92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2,730,000</w:t>
            </w:r>
          </w:p>
        </w:tc>
        <w:tc>
          <w:tcPr>
            <w:tcW w:w="94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2,042,880</w:t>
            </w:r>
          </w:p>
        </w:tc>
        <w:tc>
          <w:tcPr>
            <w:tcW w:w="860" w:type="dxa"/>
            <w:vAlign w:val="bottom"/>
            <w:tcBorders>
              <w:bottom w:val="single" w:sz="8" w:color="477157"/>
            </w:tcBorders>
          </w:tcPr>
          <w:p>
            <w:pPr>
              <w:jc w:val="right"/>
              <w:spacing w:after="0" w:line="167" w:lineRule="exact"/>
              <w:rPr>
                <w:sz w:val="20"/>
                <w:szCs w:val="20"/>
                <w:color w:val="auto"/>
              </w:rPr>
            </w:pPr>
            <w:r>
              <w:rPr>
                <w:rFonts w:ascii="Arial" w:cs="Arial" w:eastAsia="Arial" w:hAnsi="Arial"/>
                <w:sz w:val="15"/>
                <w:szCs w:val="15"/>
                <w:color w:val="auto"/>
              </w:rPr>
              <w:t>2,042,880</w:t>
            </w:r>
          </w:p>
        </w:tc>
      </w:tr>
      <w:tr>
        <w:trPr>
          <w:trHeight w:val="152"/>
        </w:trPr>
        <w:tc>
          <w:tcPr>
            <w:tcW w:w="100" w:type="dxa"/>
            <w:vAlign w:val="bottom"/>
          </w:tcPr>
          <w:p>
            <w:pPr>
              <w:spacing w:after="0" w:line="152" w:lineRule="exact"/>
              <w:rPr>
                <w:sz w:val="20"/>
                <w:szCs w:val="20"/>
                <w:color w:val="auto"/>
              </w:rPr>
            </w:pPr>
            <w:r>
              <w:rPr>
                <w:rFonts w:ascii="Arial" w:cs="Arial" w:eastAsia="Arial" w:hAnsi="Arial"/>
                <w:sz w:val="15"/>
                <w:szCs w:val="15"/>
                <w:color w:val="477157"/>
              </w:rPr>
              <w:t>•</w:t>
            </w:r>
          </w:p>
        </w:tc>
        <w:tc>
          <w:tcPr>
            <w:tcW w:w="4240" w:type="dxa"/>
            <w:vAlign w:val="bottom"/>
          </w:tcPr>
          <w:p>
            <w:pPr>
              <w:ind w:left="40"/>
              <w:spacing w:after="0" w:line="152" w:lineRule="exact"/>
              <w:rPr>
                <w:sz w:val="20"/>
                <w:szCs w:val="20"/>
                <w:color w:val="auto"/>
              </w:rPr>
            </w:pPr>
            <w:r>
              <w:rPr>
                <w:rFonts w:ascii="Arial" w:cs="Arial" w:eastAsia="Arial" w:hAnsi="Arial"/>
                <w:sz w:val="15"/>
                <w:szCs w:val="15"/>
                <w:color w:val="auto"/>
              </w:rPr>
              <w:t>Continued coverage under health and welfare benefit plans for</w:t>
            </w: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6"/>
        </w:trPr>
        <w:tc>
          <w:tcPr>
            <w:tcW w:w="100" w:type="dxa"/>
            <w:vAlign w:val="bottom"/>
            <w:tcBorders>
              <w:bottom w:val="single" w:sz="8" w:color="477157"/>
            </w:tcBorders>
          </w:tcPr>
          <w:p>
            <w:pPr>
              <w:spacing w:after="0"/>
              <w:rPr>
                <w:sz w:val="14"/>
                <w:szCs w:val="14"/>
                <w:color w:val="auto"/>
              </w:rPr>
            </w:pPr>
          </w:p>
        </w:tc>
        <w:tc>
          <w:tcPr>
            <w:tcW w:w="4240" w:type="dxa"/>
            <w:vAlign w:val="bottom"/>
            <w:tcBorders>
              <w:bottom w:val="single" w:sz="8" w:color="477157"/>
            </w:tcBorders>
          </w:tcPr>
          <w:p>
            <w:pPr>
              <w:ind w:left="40"/>
              <w:spacing w:after="0" w:line="167" w:lineRule="exact"/>
              <w:rPr>
                <w:sz w:val="20"/>
                <w:szCs w:val="20"/>
                <w:color w:val="auto"/>
              </w:rPr>
            </w:pPr>
            <w:r>
              <w:rPr>
                <w:rFonts w:ascii="Arial" w:cs="Arial" w:eastAsia="Arial" w:hAnsi="Arial"/>
                <w:sz w:val="15"/>
                <w:szCs w:val="15"/>
                <w:color w:val="auto"/>
              </w:rPr>
              <w:t>two years</w:t>
            </w:r>
          </w:p>
        </w:tc>
        <w:tc>
          <w:tcPr>
            <w:tcW w:w="98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25,752</w:t>
            </w:r>
          </w:p>
        </w:tc>
        <w:tc>
          <w:tcPr>
            <w:tcW w:w="900" w:type="dxa"/>
            <w:vAlign w:val="bottom"/>
            <w:tcBorders>
              <w:bottom w:val="single" w:sz="8" w:color="477157"/>
            </w:tcBorders>
          </w:tcPr>
          <w:p>
            <w:pPr>
              <w:jc w:val="right"/>
              <w:ind w:right="68"/>
              <w:spacing w:after="0" w:line="167" w:lineRule="exact"/>
              <w:rPr>
                <w:sz w:val="20"/>
                <w:szCs w:val="20"/>
                <w:color w:val="auto"/>
              </w:rPr>
            </w:pPr>
            <w:r>
              <w:rPr>
                <w:rFonts w:ascii="Arial" w:cs="Arial" w:eastAsia="Arial" w:hAnsi="Arial"/>
                <w:sz w:val="15"/>
                <w:szCs w:val="15"/>
                <w:color w:val="auto"/>
              </w:rPr>
              <w:t>25,752</w:t>
            </w:r>
          </w:p>
        </w:tc>
        <w:tc>
          <w:tcPr>
            <w:tcW w:w="92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25,752</w:t>
            </w:r>
          </w:p>
        </w:tc>
        <w:tc>
          <w:tcPr>
            <w:tcW w:w="94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25,752</w:t>
            </w:r>
          </w:p>
        </w:tc>
        <w:tc>
          <w:tcPr>
            <w:tcW w:w="860" w:type="dxa"/>
            <w:vAlign w:val="bottom"/>
            <w:tcBorders>
              <w:bottom w:val="single" w:sz="8" w:color="477157"/>
            </w:tcBorders>
          </w:tcPr>
          <w:p>
            <w:pPr>
              <w:jc w:val="right"/>
              <w:spacing w:after="0" w:line="167" w:lineRule="exact"/>
              <w:rPr>
                <w:sz w:val="20"/>
                <w:szCs w:val="20"/>
                <w:color w:val="auto"/>
              </w:rPr>
            </w:pPr>
            <w:r>
              <w:rPr>
                <w:rFonts w:ascii="Arial" w:cs="Arial" w:eastAsia="Arial" w:hAnsi="Arial"/>
                <w:sz w:val="15"/>
                <w:szCs w:val="15"/>
                <w:color w:val="auto"/>
              </w:rPr>
              <w:t>25,752</w:t>
            </w:r>
          </w:p>
        </w:tc>
      </w:tr>
      <w:tr>
        <w:trPr>
          <w:trHeight w:val="152"/>
        </w:trPr>
        <w:tc>
          <w:tcPr>
            <w:tcW w:w="100" w:type="dxa"/>
            <w:vAlign w:val="bottom"/>
          </w:tcPr>
          <w:p>
            <w:pPr>
              <w:spacing w:after="0" w:line="152" w:lineRule="exact"/>
              <w:rPr>
                <w:sz w:val="20"/>
                <w:szCs w:val="20"/>
                <w:color w:val="auto"/>
              </w:rPr>
            </w:pPr>
            <w:r>
              <w:rPr>
                <w:rFonts w:ascii="Arial" w:cs="Arial" w:eastAsia="Arial" w:hAnsi="Arial"/>
                <w:sz w:val="15"/>
                <w:szCs w:val="15"/>
                <w:color w:val="477157"/>
              </w:rPr>
              <w:t>•</w:t>
            </w:r>
          </w:p>
        </w:tc>
        <w:tc>
          <w:tcPr>
            <w:tcW w:w="4240" w:type="dxa"/>
            <w:vAlign w:val="bottom"/>
          </w:tcPr>
          <w:p>
            <w:pPr>
              <w:ind w:left="40"/>
              <w:spacing w:after="0" w:line="152" w:lineRule="exact"/>
              <w:rPr>
                <w:sz w:val="20"/>
                <w:szCs w:val="20"/>
                <w:color w:val="auto"/>
              </w:rPr>
            </w:pPr>
            <w:r>
              <w:rPr>
                <w:rFonts w:ascii="Arial" w:cs="Arial" w:eastAsia="Arial" w:hAnsi="Arial"/>
                <w:sz w:val="15"/>
                <w:szCs w:val="15"/>
                <w:color w:val="auto"/>
              </w:rPr>
              <w:t>Prorated payment of PSUs (contingent on actual performance</w:t>
            </w: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6"/>
        </w:trPr>
        <w:tc>
          <w:tcPr>
            <w:tcW w:w="100" w:type="dxa"/>
            <w:vAlign w:val="bottom"/>
            <w:tcBorders>
              <w:bottom w:val="single" w:sz="8" w:color="477157"/>
            </w:tcBorders>
          </w:tcPr>
          <w:p>
            <w:pPr>
              <w:spacing w:after="0"/>
              <w:rPr>
                <w:sz w:val="14"/>
                <w:szCs w:val="14"/>
                <w:color w:val="auto"/>
              </w:rPr>
            </w:pPr>
          </w:p>
        </w:tc>
        <w:tc>
          <w:tcPr>
            <w:tcW w:w="4240" w:type="dxa"/>
            <w:vAlign w:val="bottom"/>
            <w:tcBorders>
              <w:bottom w:val="single" w:sz="8" w:color="477157"/>
            </w:tcBorders>
          </w:tcPr>
          <w:p>
            <w:pPr>
              <w:ind w:left="40"/>
              <w:spacing w:after="0" w:line="167" w:lineRule="exact"/>
              <w:rPr>
                <w:sz w:val="20"/>
                <w:szCs w:val="20"/>
                <w:color w:val="auto"/>
              </w:rPr>
            </w:pPr>
            <w:r>
              <w:rPr>
                <w:rFonts w:ascii="Arial" w:cs="Arial" w:eastAsia="Arial" w:hAnsi="Arial"/>
                <w:sz w:val="15"/>
                <w:szCs w:val="15"/>
                <w:color w:val="auto"/>
              </w:rPr>
              <w:t>at end of performance period)</w:t>
            </w:r>
          </w:p>
        </w:tc>
        <w:tc>
          <w:tcPr>
            <w:tcW w:w="98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6,430,839</w:t>
            </w:r>
          </w:p>
        </w:tc>
        <w:tc>
          <w:tcPr>
            <w:tcW w:w="900" w:type="dxa"/>
            <w:vAlign w:val="bottom"/>
            <w:tcBorders>
              <w:bottom w:val="single" w:sz="8" w:color="477157"/>
            </w:tcBorders>
          </w:tcPr>
          <w:p>
            <w:pPr>
              <w:jc w:val="right"/>
              <w:ind w:right="68"/>
              <w:spacing w:after="0" w:line="167" w:lineRule="exact"/>
              <w:rPr>
                <w:sz w:val="20"/>
                <w:szCs w:val="20"/>
                <w:color w:val="auto"/>
              </w:rPr>
            </w:pPr>
            <w:r>
              <w:rPr>
                <w:rFonts w:ascii="Arial" w:cs="Arial" w:eastAsia="Arial" w:hAnsi="Arial"/>
                <w:sz w:val="15"/>
                <w:szCs w:val="15"/>
                <w:color w:val="auto"/>
              </w:rPr>
              <w:t>1,827,387</w:t>
            </w:r>
          </w:p>
        </w:tc>
        <w:tc>
          <w:tcPr>
            <w:tcW w:w="92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1,961,252</w:t>
            </w:r>
          </w:p>
        </w:tc>
        <w:tc>
          <w:tcPr>
            <w:tcW w:w="940" w:type="dxa"/>
            <w:vAlign w:val="bottom"/>
            <w:tcBorders>
              <w:bottom w:val="single" w:sz="8" w:color="477157"/>
            </w:tcBorders>
          </w:tcPr>
          <w:p>
            <w:pPr>
              <w:jc w:val="right"/>
              <w:ind w:right="48"/>
              <w:spacing w:after="0" w:line="167" w:lineRule="exact"/>
              <w:rPr>
                <w:sz w:val="20"/>
                <w:szCs w:val="20"/>
                <w:color w:val="auto"/>
              </w:rPr>
            </w:pPr>
            <w:r>
              <w:rPr>
                <w:rFonts w:ascii="Arial" w:cs="Arial" w:eastAsia="Arial" w:hAnsi="Arial"/>
                <w:sz w:val="15"/>
                <w:szCs w:val="15"/>
                <w:color w:val="auto"/>
              </w:rPr>
              <w:t>1,226,437</w:t>
            </w:r>
          </w:p>
        </w:tc>
        <w:tc>
          <w:tcPr>
            <w:tcW w:w="860" w:type="dxa"/>
            <w:vAlign w:val="bottom"/>
            <w:tcBorders>
              <w:bottom w:val="single" w:sz="8" w:color="477157"/>
            </w:tcBorders>
          </w:tcPr>
          <w:p>
            <w:pPr>
              <w:jc w:val="right"/>
              <w:spacing w:after="0" w:line="167" w:lineRule="exact"/>
              <w:rPr>
                <w:sz w:val="20"/>
                <w:szCs w:val="20"/>
                <w:color w:val="auto"/>
              </w:rPr>
            </w:pPr>
            <w:r>
              <w:rPr>
                <w:rFonts w:ascii="Arial" w:cs="Arial" w:eastAsia="Arial" w:hAnsi="Arial"/>
                <w:sz w:val="15"/>
                <w:szCs w:val="15"/>
                <w:color w:val="auto"/>
              </w:rPr>
              <w:t>645,089</w:t>
            </w:r>
          </w:p>
        </w:tc>
      </w:tr>
      <w:tr>
        <w:trPr>
          <w:trHeight w:val="160"/>
        </w:trPr>
        <w:tc>
          <w:tcPr>
            <w:tcW w:w="1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477157"/>
              </w:rPr>
              <w:t>•</w:t>
            </w:r>
          </w:p>
        </w:tc>
        <w:tc>
          <w:tcPr>
            <w:tcW w:w="4240" w:type="dxa"/>
            <w:vAlign w:val="bottom"/>
            <w:tcBorders>
              <w:bottom w:val="single" w:sz="8" w:color="477157"/>
            </w:tcBorders>
          </w:tcPr>
          <w:p>
            <w:pPr>
              <w:ind w:left="40"/>
              <w:spacing w:after="0" w:line="161" w:lineRule="exact"/>
              <w:rPr>
                <w:sz w:val="20"/>
                <w:szCs w:val="20"/>
                <w:color w:val="auto"/>
              </w:rPr>
            </w:pPr>
            <w:r>
              <w:rPr>
                <w:rFonts w:ascii="Arial" w:cs="Arial" w:eastAsia="Arial" w:hAnsi="Arial"/>
                <w:sz w:val="15"/>
                <w:szCs w:val="15"/>
                <w:color w:val="auto"/>
              </w:rPr>
              <w:t>Prorated vesting of restricted stock units</w:t>
            </w:r>
          </w:p>
        </w:tc>
        <w:tc>
          <w:tcPr>
            <w:tcW w:w="980" w:type="dxa"/>
            <w:vAlign w:val="bottom"/>
            <w:tcBorders>
              <w:bottom w:val="single" w:sz="8" w:color="477157"/>
            </w:tcBorders>
          </w:tcPr>
          <w:p>
            <w:pPr>
              <w:jc w:val="right"/>
              <w:ind w:right="48"/>
              <w:spacing w:after="0" w:line="161"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477157"/>
            </w:tcBorders>
          </w:tcPr>
          <w:p>
            <w:pPr>
              <w:jc w:val="right"/>
              <w:ind w:right="68"/>
              <w:spacing w:after="0" w:line="161"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477157"/>
            </w:tcBorders>
          </w:tcPr>
          <w:p>
            <w:pPr>
              <w:jc w:val="right"/>
              <w:ind w:right="48"/>
              <w:spacing w:after="0" w:line="161"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477157"/>
            </w:tcBorders>
          </w:tcPr>
          <w:p>
            <w:pPr>
              <w:jc w:val="right"/>
              <w:ind w:right="48"/>
              <w:spacing w:after="0" w:line="161" w:lineRule="exact"/>
              <w:rPr>
                <w:sz w:val="20"/>
                <w:szCs w:val="20"/>
                <w:color w:val="auto"/>
              </w:rPr>
            </w:pPr>
            <w:r>
              <w:rPr>
                <w:rFonts w:ascii="Arial" w:cs="Arial" w:eastAsia="Arial" w:hAnsi="Arial"/>
                <w:sz w:val="15"/>
                <w:szCs w:val="15"/>
                <w:color w:val="auto"/>
              </w:rPr>
              <w:t>139,413</w:t>
            </w:r>
          </w:p>
        </w:tc>
        <w:tc>
          <w:tcPr>
            <w:tcW w:w="86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100,479</w:t>
            </w:r>
          </w:p>
        </w:tc>
      </w:tr>
      <w:tr>
        <w:trPr>
          <w:trHeight w:val="174"/>
        </w:trPr>
        <w:tc>
          <w:tcPr>
            <w:tcW w:w="4340" w:type="dxa"/>
            <w:vAlign w:val="bottom"/>
            <w:gridSpan w:val="2"/>
          </w:tcPr>
          <w:p>
            <w:pPr>
              <w:spacing w:after="0"/>
              <w:rPr>
                <w:sz w:val="20"/>
                <w:szCs w:val="20"/>
                <w:color w:val="auto"/>
              </w:rPr>
            </w:pPr>
            <w:r>
              <w:rPr>
                <w:rFonts w:ascii="Arial" w:cs="Arial" w:eastAsia="Arial" w:hAnsi="Arial"/>
                <w:sz w:val="15"/>
                <w:szCs w:val="15"/>
                <w:b w:val="1"/>
                <w:bCs w:val="1"/>
                <w:color w:val="auto"/>
              </w:rPr>
              <w:t>Total</w:t>
            </w:r>
          </w:p>
        </w:tc>
        <w:tc>
          <w:tcPr>
            <w:tcW w:w="980" w:type="dxa"/>
            <w:vAlign w:val="bottom"/>
          </w:tcPr>
          <w:p>
            <w:pPr>
              <w:jc w:val="right"/>
              <w:ind w:right="48"/>
              <w:spacing w:after="0"/>
              <w:rPr>
                <w:sz w:val="20"/>
                <w:szCs w:val="20"/>
                <w:color w:val="auto"/>
              </w:rPr>
            </w:pPr>
            <w:r>
              <w:rPr>
                <w:rFonts w:ascii="Arial" w:cs="Arial" w:eastAsia="Arial" w:hAnsi="Arial"/>
                <w:sz w:val="15"/>
                <w:szCs w:val="15"/>
                <w:b w:val="1"/>
                <w:bCs w:val="1"/>
                <w:color w:val="auto"/>
              </w:rPr>
              <w:t>12,456,591</w:t>
            </w:r>
          </w:p>
        </w:tc>
        <w:tc>
          <w:tcPr>
            <w:tcW w:w="900" w:type="dxa"/>
            <w:vAlign w:val="bottom"/>
          </w:tcPr>
          <w:p>
            <w:pPr>
              <w:jc w:val="right"/>
              <w:ind w:right="68"/>
              <w:spacing w:after="0"/>
              <w:rPr>
                <w:sz w:val="20"/>
                <w:szCs w:val="20"/>
                <w:color w:val="auto"/>
              </w:rPr>
            </w:pPr>
            <w:r>
              <w:rPr>
                <w:rFonts w:ascii="Arial" w:cs="Arial" w:eastAsia="Arial" w:hAnsi="Arial"/>
                <w:sz w:val="15"/>
                <w:szCs w:val="15"/>
                <w:b w:val="1"/>
                <w:bCs w:val="1"/>
                <w:color w:val="auto"/>
              </w:rPr>
              <w:t>4,341,729</w:t>
            </w:r>
          </w:p>
        </w:tc>
        <w:tc>
          <w:tcPr>
            <w:tcW w:w="920" w:type="dxa"/>
            <w:vAlign w:val="bottom"/>
          </w:tcPr>
          <w:p>
            <w:pPr>
              <w:jc w:val="right"/>
              <w:ind w:right="48"/>
              <w:spacing w:after="0"/>
              <w:rPr>
                <w:sz w:val="20"/>
                <w:szCs w:val="20"/>
                <w:color w:val="auto"/>
              </w:rPr>
            </w:pPr>
            <w:r>
              <w:rPr>
                <w:rFonts w:ascii="Arial" w:cs="Arial" w:eastAsia="Arial" w:hAnsi="Arial"/>
                <w:sz w:val="15"/>
                <w:szCs w:val="15"/>
                <w:b w:val="1"/>
                <w:bCs w:val="1"/>
                <w:color w:val="auto"/>
              </w:rPr>
              <w:t>4,717,004</w:t>
            </w:r>
          </w:p>
        </w:tc>
        <w:tc>
          <w:tcPr>
            <w:tcW w:w="940" w:type="dxa"/>
            <w:vAlign w:val="bottom"/>
          </w:tcPr>
          <w:p>
            <w:pPr>
              <w:jc w:val="right"/>
              <w:ind w:right="48"/>
              <w:spacing w:after="0"/>
              <w:rPr>
                <w:sz w:val="20"/>
                <w:szCs w:val="20"/>
                <w:color w:val="auto"/>
              </w:rPr>
            </w:pPr>
            <w:r>
              <w:rPr>
                <w:rFonts w:ascii="Arial" w:cs="Arial" w:eastAsia="Arial" w:hAnsi="Arial"/>
                <w:sz w:val="15"/>
                <w:szCs w:val="15"/>
                <w:b w:val="1"/>
                <w:bCs w:val="1"/>
                <w:color w:val="auto"/>
              </w:rPr>
              <w:t>3,434,482</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2,814,200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-8255</wp:posOffset>
            </wp:positionV>
            <wp:extent cx="568134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81345" cy="6985"/>
                    </a:xfrm>
                    <a:prstGeom prst="rect">
                      <a:avLst/>
                    </a:prstGeom>
                    <a:noFill/>
                  </pic:spPr>
                </pic:pic>
              </a:graphicData>
            </a:graphic>
          </wp:anchor>
        </w:drawing>
      </w:r>
    </w:p>
    <w:p>
      <w:pPr>
        <w:ind w:left="1120"/>
        <w:spacing w:after="0" w:line="235" w:lineRule="auto"/>
        <w:rPr>
          <w:sz w:val="20"/>
          <w:szCs w:val="20"/>
          <w:color w:val="auto"/>
        </w:rPr>
      </w:pPr>
      <w:r>
        <w:rPr>
          <w:rFonts w:ascii="Arial" w:cs="Arial" w:eastAsia="Arial" w:hAnsi="Arial"/>
          <w:sz w:val="15"/>
          <w:szCs w:val="15"/>
          <w:b w:val="1"/>
          <w:bCs w:val="1"/>
          <w:i w:val="1"/>
          <w:iCs w:val="1"/>
          <w:color w:val="auto"/>
        </w:rPr>
        <w:t>In Event of Termination Without Cause by the Company or</w:t>
      </w:r>
    </w:p>
    <w:p>
      <w:pPr>
        <w:ind w:left="1120"/>
        <w:spacing w:after="0" w:line="235" w:lineRule="auto"/>
        <w:rPr>
          <w:sz w:val="20"/>
          <w:szCs w:val="20"/>
          <w:color w:val="auto"/>
        </w:rPr>
      </w:pPr>
      <w:r>
        <w:rPr>
          <w:rFonts w:ascii="Arial" w:cs="Arial" w:eastAsia="Arial" w:hAnsi="Arial"/>
          <w:sz w:val="15"/>
          <w:szCs w:val="15"/>
          <w:b w:val="1"/>
          <w:bCs w:val="1"/>
          <w:i w:val="1"/>
          <w:iCs w:val="1"/>
          <w:color w:val="auto"/>
        </w:rPr>
        <w:t>For Good Reasons by the Employee Six Months Following a</w:t>
      </w:r>
    </w:p>
    <w:p>
      <w:pPr>
        <w:ind w:left="1120"/>
        <w:spacing w:after="0" w:line="235" w:lineRule="auto"/>
        <w:rPr>
          <w:sz w:val="20"/>
          <w:szCs w:val="20"/>
          <w:color w:val="auto"/>
        </w:rPr>
      </w:pPr>
      <w:r>
        <w:rPr>
          <w:rFonts w:ascii="Arial" w:cs="Arial" w:eastAsia="Arial" w:hAnsi="Arial"/>
          <w:sz w:val="15"/>
          <w:szCs w:val="15"/>
          <w:b w:val="1"/>
          <w:bCs w:val="1"/>
          <w:i w:val="1"/>
          <w:iCs w:val="1"/>
          <w:color w:val="auto"/>
        </w:rPr>
        <w:t>Change in Control (Double Trigger)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-635</wp:posOffset>
            </wp:positionV>
            <wp:extent cx="568134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81345" cy="6985"/>
                    </a:xfrm>
                    <a:prstGeom prst="rect">
                      <a:avLst/>
                    </a:prstGeom>
                    <a:noFill/>
                  </pic:spPr>
                </pic:pic>
              </a:graphicData>
            </a:graphic>
          </wp:anchor>
        </w:drawing>
      </w:r>
    </w:p>
    <w:p>
      <w:pPr>
        <w:ind w:left="1260" w:hanging="143"/>
        <w:spacing w:after="0" w:line="235" w:lineRule="auto"/>
        <w:tabs>
          <w:tab w:leader="none" w:pos="1260" w:val="left"/>
        </w:tabs>
        <w:numPr>
          <w:ilvl w:val="0"/>
          <w:numId w:val="51"/>
        </w:numPr>
        <w:rPr>
          <w:rFonts w:ascii="Arial" w:cs="Arial" w:eastAsia="Arial" w:hAnsi="Arial"/>
          <w:sz w:val="15"/>
          <w:szCs w:val="15"/>
          <w:color w:val="477157"/>
        </w:rPr>
      </w:pPr>
      <w:r>
        <w:rPr>
          <w:rFonts w:ascii="Arial" w:cs="Arial" w:eastAsia="Arial" w:hAnsi="Arial"/>
          <w:sz w:val="15"/>
          <w:szCs w:val="15"/>
          <w:color w:val="auto"/>
        </w:rPr>
        <w:t>Two times base salary plus target annual cash bonus (one-half</w:t>
      </w:r>
    </w:p>
    <w:tbl>
      <w:tblPr>
        <w:tblLayout w:type="fixed"/>
        <w:tblInd w:w="112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4220" w:type="dxa"/>
            <w:vAlign w:val="bottom"/>
          </w:tcPr>
          <w:p>
            <w:pPr>
              <w:ind w:left="40"/>
              <w:spacing w:after="0" w:line="169" w:lineRule="exact"/>
              <w:rPr>
                <w:sz w:val="20"/>
                <w:szCs w:val="20"/>
                <w:color w:val="auto"/>
              </w:rPr>
            </w:pPr>
            <w:r>
              <w:rPr>
                <w:rFonts w:ascii="Arial" w:cs="Arial" w:eastAsia="Arial" w:hAnsi="Arial"/>
                <w:sz w:val="15"/>
                <w:szCs w:val="15"/>
                <w:color w:val="auto"/>
              </w:rPr>
              <w:t>payable in lump sum; one-half payable in bi-weekly</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00" w:type="dxa"/>
            <w:vAlign w:val="bottom"/>
            <w:tcBorders>
              <w:bottom w:val="single" w:sz="8" w:color="477157"/>
            </w:tcBorders>
          </w:tcPr>
          <w:p>
            <w:pPr>
              <w:spacing w:after="0"/>
              <w:rPr>
                <w:sz w:val="14"/>
                <w:szCs w:val="14"/>
                <w:color w:val="auto"/>
              </w:rPr>
            </w:pPr>
          </w:p>
        </w:tc>
        <w:tc>
          <w:tcPr>
            <w:tcW w:w="4220" w:type="dxa"/>
            <w:vAlign w:val="bottom"/>
            <w:tcBorders>
              <w:bottom w:val="single" w:sz="8" w:color="477157"/>
            </w:tcBorders>
          </w:tcPr>
          <w:p>
            <w:pPr>
              <w:ind w:left="40"/>
              <w:spacing w:after="0" w:line="167" w:lineRule="exact"/>
              <w:rPr>
                <w:sz w:val="20"/>
                <w:szCs w:val="20"/>
                <w:color w:val="auto"/>
              </w:rPr>
            </w:pPr>
            <w:r>
              <w:rPr>
                <w:rFonts w:ascii="Arial" w:cs="Arial" w:eastAsia="Arial" w:hAnsi="Arial"/>
                <w:sz w:val="15"/>
                <w:szCs w:val="15"/>
                <w:color w:val="auto"/>
              </w:rPr>
              <w:t>installments over a two-year period)</w:t>
            </w:r>
          </w:p>
        </w:tc>
        <w:tc>
          <w:tcPr>
            <w:tcW w:w="1000" w:type="dxa"/>
            <w:vAlign w:val="bottom"/>
            <w:tcBorders>
              <w:bottom w:val="single" w:sz="8" w:color="477157"/>
            </w:tcBorders>
          </w:tcPr>
          <w:p>
            <w:pPr>
              <w:jc w:val="right"/>
              <w:ind w:right="47"/>
              <w:spacing w:after="0" w:line="167" w:lineRule="exact"/>
              <w:rPr>
                <w:sz w:val="20"/>
                <w:szCs w:val="20"/>
                <w:color w:val="auto"/>
              </w:rPr>
            </w:pPr>
            <w:r>
              <w:rPr>
                <w:rFonts w:ascii="Arial" w:cs="Arial" w:eastAsia="Arial" w:hAnsi="Arial"/>
                <w:sz w:val="15"/>
                <w:szCs w:val="15"/>
                <w:color w:val="auto"/>
              </w:rPr>
              <w:t>6,000,000</w:t>
            </w:r>
          </w:p>
        </w:tc>
        <w:tc>
          <w:tcPr>
            <w:tcW w:w="860" w:type="dxa"/>
            <w:vAlign w:val="bottom"/>
            <w:tcBorders>
              <w:bottom w:val="single" w:sz="8" w:color="477157"/>
            </w:tcBorders>
          </w:tcPr>
          <w:p>
            <w:pPr>
              <w:jc w:val="right"/>
              <w:ind w:right="27"/>
              <w:spacing w:after="0" w:line="167" w:lineRule="exact"/>
              <w:rPr>
                <w:sz w:val="20"/>
                <w:szCs w:val="20"/>
                <w:color w:val="auto"/>
              </w:rPr>
            </w:pPr>
            <w:r>
              <w:rPr>
                <w:rFonts w:ascii="Arial" w:cs="Arial" w:eastAsia="Arial" w:hAnsi="Arial"/>
                <w:sz w:val="15"/>
                <w:szCs w:val="15"/>
                <w:color w:val="auto"/>
              </w:rPr>
              <w:t>2,488,590</w:t>
            </w:r>
          </w:p>
        </w:tc>
        <w:tc>
          <w:tcPr>
            <w:tcW w:w="980" w:type="dxa"/>
            <w:vAlign w:val="bottom"/>
            <w:tcBorders>
              <w:bottom w:val="single" w:sz="8" w:color="477157"/>
            </w:tcBorders>
          </w:tcPr>
          <w:p>
            <w:pPr>
              <w:jc w:val="right"/>
              <w:ind w:right="67"/>
              <w:spacing w:after="0" w:line="167" w:lineRule="exact"/>
              <w:rPr>
                <w:sz w:val="20"/>
                <w:szCs w:val="20"/>
                <w:color w:val="auto"/>
              </w:rPr>
            </w:pPr>
            <w:r>
              <w:rPr>
                <w:rFonts w:ascii="Arial" w:cs="Arial" w:eastAsia="Arial" w:hAnsi="Arial"/>
                <w:sz w:val="15"/>
                <w:szCs w:val="15"/>
                <w:color w:val="auto"/>
              </w:rPr>
              <w:t>2,730,000</w:t>
            </w:r>
          </w:p>
        </w:tc>
        <w:tc>
          <w:tcPr>
            <w:tcW w:w="960" w:type="dxa"/>
            <w:vAlign w:val="bottom"/>
            <w:tcBorders>
              <w:bottom w:val="single" w:sz="8" w:color="477157"/>
            </w:tcBorders>
          </w:tcPr>
          <w:p>
            <w:pPr>
              <w:jc w:val="right"/>
              <w:ind w:right="87"/>
              <w:spacing w:after="0" w:line="167" w:lineRule="exact"/>
              <w:rPr>
                <w:sz w:val="20"/>
                <w:szCs w:val="20"/>
                <w:color w:val="auto"/>
              </w:rPr>
            </w:pPr>
            <w:r>
              <w:rPr>
                <w:rFonts w:ascii="Arial" w:cs="Arial" w:eastAsia="Arial" w:hAnsi="Arial"/>
                <w:sz w:val="15"/>
                <w:szCs w:val="15"/>
                <w:color w:val="auto"/>
              </w:rPr>
              <w:t>2,042,880</w:t>
            </w:r>
          </w:p>
        </w:tc>
        <w:tc>
          <w:tcPr>
            <w:tcW w:w="820" w:type="dxa"/>
            <w:vAlign w:val="bottom"/>
            <w:tcBorders>
              <w:bottom w:val="single" w:sz="8" w:color="477157"/>
            </w:tcBorders>
          </w:tcPr>
          <w:p>
            <w:pPr>
              <w:jc w:val="right"/>
              <w:spacing w:after="0" w:line="167" w:lineRule="exact"/>
              <w:rPr>
                <w:sz w:val="20"/>
                <w:szCs w:val="20"/>
                <w:color w:val="auto"/>
              </w:rPr>
            </w:pPr>
            <w:r>
              <w:rPr>
                <w:rFonts w:ascii="Arial" w:cs="Arial" w:eastAsia="Arial" w:hAnsi="Arial"/>
                <w:sz w:val="15"/>
                <w:szCs w:val="15"/>
                <w:color w:val="auto"/>
              </w:rPr>
              <w:t>2,042,880</w:t>
            </w:r>
          </w:p>
        </w:tc>
      </w:tr>
      <w:tr>
        <w:trPr>
          <w:trHeight w:val="152"/>
        </w:trPr>
        <w:tc>
          <w:tcPr>
            <w:tcW w:w="100" w:type="dxa"/>
            <w:vAlign w:val="bottom"/>
          </w:tcPr>
          <w:p>
            <w:pPr>
              <w:spacing w:after="0" w:line="152" w:lineRule="exact"/>
              <w:rPr>
                <w:sz w:val="20"/>
                <w:szCs w:val="20"/>
                <w:color w:val="auto"/>
              </w:rPr>
            </w:pPr>
            <w:r>
              <w:rPr>
                <w:rFonts w:ascii="Arial" w:cs="Arial" w:eastAsia="Arial" w:hAnsi="Arial"/>
                <w:sz w:val="15"/>
                <w:szCs w:val="15"/>
                <w:color w:val="477157"/>
              </w:rPr>
              <w:t>•</w:t>
            </w:r>
          </w:p>
        </w:tc>
        <w:tc>
          <w:tcPr>
            <w:tcW w:w="4220" w:type="dxa"/>
            <w:vAlign w:val="bottom"/>
          </w:tcPr>
          <w:p>
            <w:pPr>
              <w:ind w:left="40"/>
              <w:spacing w:after="0" w:line="152" w:lineRule="exact"/>
              <w:rPr>
                <w:sz w:val="20"/>
                <w:szCs w:val="20"/>
                <w:color w:val="auto"/>
              </w:rPr>
            </w:pPr>
            <w:r>
              <w:rPr>
                <w:rFonts w:ascii="Arial" w:cs="Arial" w:eastAsia="Arial" w:hAnsi="Arial"/>
                <w:sz w:val="15"/>
                <w:szCs w:val="15"/>
                <w:color w:val="auto"/>
              </w:rPr>
              <w:t>Continued coverage under health and welfare benefit plans for</w:t>
            </w: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6"/>
        </w:trPr>
        <w:tc>
          <w:tcPr>
            <w:tcW w:w="100" w:type="dxa"/>
            <w:vAlign w:val="bottom"/>
            <w:tcBorders>
              <w:bottom w:val="single" w:sz="8" w:color="477157"/>
            </w:tcBorders>
          </w:tcPr>
          <w:p>
            <w:pPr>
              <w:spacing w:after="0"/>
              <w:rPr>
                <w:sz w:val="14"/>
                <w:szCs w:val="14"/>
                <w:color w:val="auto"/>
              </w:rPr>
            </w:pPr>
          </w:p>
        </w:tc>
        <w:tc>
          <w:tcPr>
            <w:tcW w:w="4220" w:type="dxa"/>
            <w:vAlign w:val="bottom"/>
            <w:tcBorders>
              <w:bottom w:val="single" w:sz="8" w:color="477157"/>
            </w:tcBorders>
          </w:tcPr>
          <w:p>
            <w:pPr>
              <w:ind w:left="40"/>
              <w:spacing w:after="0" w:line="167" w:lineRule="exact"/>
              <w:rPr>
                <w:sz w:val="20"/>
                <w:szCs w:val="20"/>
                <w:color w:val="auto"/>
              </w:rPr>
            </w:pPr>
            <w:r>
              <w:rPr>
                <w:rFonts w:ascii="Arial" w:cs="Arial" w:eastAsia="Arial" w:hAnsi="Arial"/>
                <w:sz w:val="15"/>
                <w:szCs w:val="15"/>
                <w:color w:val="auto"/>
              </w:rPr>
              <w:t>two years</w:t>
            </w:r>
          </w:p>
        </w:tc>
        <w:tc>
          <w:tcPr>
            <w:tcW w:w="1000" w:type="dxa"/>
            <w:vAlign w:val="bottom"/>
            <w:tcBorders>
              <w:bottom w:val="single" w:sz="8" w:color="477157"/>
            </w:tcBorders>
          </w:tcPr>
          <w:p>
            <w:pPr>
              <w:jc w:val="right"/>
              <w:ind w:right="47"/>
              <w:spacing w:after="0" w:line="167" w:lineRule="exact"/>
              <w:rPr>
                <w:sz w:val="20"/>
                <w:szCs w:val="20"/>
                <w:color w:val="auto"/>
              </w:rPr>
            </w:pPr>
            <w:r>
              <w:rPr>
                <w:rFonts w:ascii="Arial" w:cs="Arial" w:eastAsia="Arial" w:hAnsi="Arial"/>
                <w:sz w:val="15"/>
                <w:szCs w:val="15"/>
                <w:color w:val="auto"/>
              </w:rPr>
              <w:t>25,752</w:t>
            </w:r>
          </w:p>
        </w:tc>
        <w:tc>
          <w:tcPr>
            <w:tcW w:w="860" w:type="dxa"/>
            <w:vAlign w:val="bottom"/>
            <w:tcBorders>
              <w:bottom w:val="single" w:sz="8" w:color="477157"/>
            </w:tcBorders>
          </w:tcPr>
          <w:p>
            <w:pPr>
              <w:jc w:val="right"/>
              <w:ind w:right="27"/>
              <w:spacing w:after="0" w:line="167" w:lineRule="exact"/>
              <w:rPr>
                <w:sz w:val="20"/>
                <w:szCs w:val="20"/>
                <w:color w:val="auto"/>
              </w:rPr>
            </w:pPr>
            <w:r>
              <w:rPr>
                <w:rFonts w:ascii="Arial" w:cs="Arial" w:eastAsia="Arial" w:hAnsi="Arial"/>
                <w:sz w:val="15"/>
                <w:szCs w:val="15"/>
                <w:color w:val="auto"/>
              </w:rPr>
              <w:t>25,752</w:t>
            </w:r>
          </w:p>
        </w:tc>
        <w:tc>
          <w:tcPr>
            <w:tcW w:w="980" w:type="dxa"/>
            <w:vAlign w:val="bottom"/>
            <w:tcBorders>
              <w:bottom w:val="single" w:sz="8" w:color="477157"/>
            </w:tcBorders>
          </w:tcPr>
          <w:p>
            <w:pPr>
              <w:jc w:val="right"/>
              <w:ind w:right="67"/>
              <w:spacing w:after="0" w:line="167" w:lineRule="exact"/>
              <w:rPr>
                <w:sz w:val="20"/>
                <w:szCs w:val="20"/>
                <w:color w:val="auto"/>
              </w:rPr>
            </w:pPr>
            <w:r>
              <w:rPr>
                <w:rFonts w:ascii="Arial" w:cs="Arial" w:eastAsia="Arial" w:hAnsi="Arial"/>
                <w:sz w:val="15"/>
                <w:szCs w:val="15"/>
                <w:color w:val="auto"/>
              </w:rPr>
              <w:t>25,752</w:t>
            </w:r>
          </w:p>
        </w:tc>
        <w:tc>
          <w:tcPr>
            <w:tcW w:w="960" w:type="dxa"/>
            <w:vAlign w:val="bottom"/>
            <w:tcBorders>
              <w:bottom w:val="single" w:sz="8" w:color="477157"/>
            </w:tcBorders>
          </w:tcPr>
          <w:p>
            <w:pPr>
              <w:jc w:val="right"/>
              <w:ind w:right="87"/>
              <w:spacing w:after="0" w:line="167" w:lineRule="exact"/>
              <w:rPr>
                <w:sz w:val="20"/>
                <w:szCs w:val="20"/>
                <w:color w:val="auto"/>
              </w:rPr>
            </w:pPr>
            <w:r>
              <w:rPr>
                <w:rFonts w:ascii="Arial" w:cs="Arial" w:eastAsia="Arial" w:hAnsi="Arial"/>
                <w:sz w:val="15"/>
                <w:szCs w:val="15"/>
                <w:color w:val="auto"/>
              </w:rPr>
              <w:t>25,752</w:t>
            </w:r>
          </w:p>
        </w:tc>
        <w:tc>
          <w:tcPr>
            <w:tcW w:w="820" w:type="dxa"/>
            <w:vAlign w:val="bottom"/>
            <w:tcBorders>
              <w:bottom w:val="single" w:sz="8" w:color="477157"/>
            </w:tcBorders>
          </w:tcPr>
          <w:p>
            <w:pPr>
              <w:jc w:val="right"/>
              <w:spacing w:after="0" w:line="167" w:lineRule="exact"/>
              <w:rPr>
                <w:sz w:val="20"/>
                <w:szCs w:val="20"/>
                <w:color w:val="auto"/>
              </w:rPr>
            </w:pPr>
            <w:r>
              <w:rPr>
                <w:rFonts w:ascii="Arial" w:cs="Arial" w:eastAsia="Arial" w:hAnsi="Arial"/>
                <w:sz w:val="15"/>
                <w:szCs w:val="15"/>
                <w:color w:val="auto"/>
              </w:rPr>
              <w:t>25,752</w:t>
            </w:r>
          </w:p>
        </w:tc>
      </w:tr>
      <w:tr>
        <w:trPr>
          <w:trHeight w:val="160"/>
        </w:trPr>
        <w:tc>
          <w:tcPr>
            <w:tcW w:w="1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477157"/>
              </w:rPr>
              <w:t>•</w:t>
            </w:r>
          </w:p>
        </w:tc>
        <w:tc>
          <w:tcPr>
            <w:tcW w:w="4220" w:type="dxa"/>
            <w:vAlign w:val="bottom"/>
            <w:tcBorders>
              <w:bottom w:val="single" w:sz="8" w:color="477157"/>
            </w:tcBorders>
          </w:tcPr>
          <w:p>
            <w:pPr>
              <w:ind w:left="40"/>
              <w:spacing w:after="0" w:line="161" w:lineRule="exact"/>
              <w:rPr>
                <w:sz w:val="20"/>
                <w:szCs w:val="20"/>
                <w:color w:val="auto"/>
              </w:rPr>
            </w:pPr>
            <w:r>
              <w:rPr>
                <w:rFonts w:ascii="Arial" w:cs="Arial" w:eastAsia="Arial" w:hAnsi="Arial"/>
                <w:sz w:val="15"/>
                <w:szCs w:val="15"/>
                <w:color w:val="auto"/>
              </w:rPr>
              <w:t>Accelerated vesting of stock options</w:t>
            </w:r>
          </w:p>
        </w:tc>
        <w:tc>
          <w:tcPr>
            <w:tcW w:w="1000" w:type="dxa"/>
            <w:vAlign w:val="bottom"/>
            <w:tcBorders>
              <w:bottom w:val="single" w:sz="8" w:color="477157"/>
            </w:tcBorders>
          </w:tcPr>
          <w:p>
            <w:pPr>
              <w:jc w:val="right"/>
              <w:ind w:right="47"/>
              <w:spacing w:after="0" w:line="161" w:lineRule="exact"/>
              <w:rPr>
                <w:sz w:val="20"/>
                <w:szCs w:val="20"/>
                <w:color w:val="auto"/>
              </w:rPr>
            </w:pPr>
            <w:r>
              <w:rPr>
                <w:rFonts w:ascii="Arial" w:cs="Arial" w:eastAsia="Arial" w:hAnsi="Arial"/>
                <w:sz w:val="15"/>
                <w:szCs w:val="15"/>
                <w:color w:val="auto"/>
              </w:rPr>
              <w:t>6,475,004</w:t>
            </w:r>
          </w:p>
        </w:tc>
        <w:tc>
          <w:tcPr>
            <w:tcW w:w="860" w:type="dxa"/>
            <w:vAlign w:val="bottom"/>
            <w:tcBorders>
              <w:bottom w:val="single" w:sz="8" w:color="477157"/>
            </w:tcBorders>
          </w:tcPr>
          <w:p>
            <w:pPr>
              <w:jc w:val="right"/>
              <w:ind w:right="27"/>
              <w:spacing w:after="0" w:line="161" w:lineRule="exact"/>
              <w:rPr>
                <w:sz w:val="20"/>
                <w:szCs w:val="20"/>
                <w:color w:val="auto"/>
              </w:rPr>
            </w:pPr>
            <w:r>
              <w:rPr>
                <w:rFonts w:ascii="Arial" w:cs="Arial" w:eastAsia="Arial" w:hAnsi="Arial"/>
                <w:sz w:val="15"/>
                <w:szCs w:val="15"/>
                <w:color w:val="auto"/>
              </w:rPr>
              <w:t>1,619,470</w:t>
            </w:r>
          </w:p>
        </w:tc>
        <w:tc>
          <w:tcPr>
            <w:tcW w:w="980" w:type="dxa"/>
            <w:vAlign w:val="bottom"/>
            <w:tcBorders>
              <w:bottom w:val="single" w:sz="8" w:color="477157"/>
            </w:tcBorders>
          </w:tcPr>
          <w:p>
            <w:pPr>
              <w:jc w:val="right"/>
              <w:ind w:right="67"/>
              <w:spacing w:after="0" w:line="161" w:lineRule="exact"/>
              <w:rPr>
                <w:sz w:val="20"/>
                <w:szCs w:val="20"/>
                <w:color w:val="auto"/>
              </w:rPr>
            </w:pPr>
            <w:r>
              <w:rPr>
                <w:rFonts w:ascii="Arial" w:cs="Arial" w:eastAsia="Arial" w:hAnsi="Arial"/>
                <w:sz w:val="15"/>
                <w:szCs w:val="15"/>
                <w:color w:val="auto"/>
              </w:rPr>
              <w:t>1,967,159</w:t>
            </w:r>
          </w:p>
        </w:tc>
        <w:tc>
          <w:tcPr>
            <w:tcW w:w="960" w:type="dxa"/>
            <w:vAlign w:val="bottom"/>
            <w:tcBorders>
              <w:bottom w:val="single" w:sz="8" w:color="477157"/>
            </w:tcBorders>
          </w:tcPr>
          <w:p>
            <w:pPr>
              <w:jc w:val="right"/>
              <w:ind w:right="87"/>
              <w:spacing w:after="0" w:line="161" w:lineRule="exact"/>
              <w:rPr>
                <w:sz w:val="20"/>
                <w:szCs w:val="20"/>
                <w:color w:val="auto"/>
              </w:rPr>
            </w:pPr>
            <w:r>
              <w:rPr>
                <w:rFonts w:ascii="Arial" w:cs="Arial" w:eastAsia="Arial" w:hAnsi="Arial"/>
                <w:sz w:val="15"/>
                <w:szCs w:val="15"/>
                <w:color w:val="auto"/>
              </w:rPr>
              <w:t>880,421</w:t>
            </w:r>
          </w:p>
        </w:tc>
        <w:tc>
          <w:tcPr>
            <w:tcW w:w="8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596,407</w:t>
            </w:r>
          </w:p>
        </w:tc>
      </w:tr>
      <w:tr>
        <w:trPr>
          <w:trHeight w:val="160"/>
        </w:trPr>
        <w:tc>
          <w:tcPr>
            <w:tcW w:w="1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477157"/>
              </w:rPr>
              <w:t>•</w:t>
            </w:r>
          </w:p>
        </w:tc>
        <w:tc>
          <w:tcPr>
            <w:tcW w:w="4220" w:type="dxa"/>
            <w:vAlign w:val="bottom"/>
            <w:tcBorders>
              <w:bottom w:val="single" w:sz="8" w:color="477157"/>
            </w:tcBorders>
          </w:tcPr>
          <w:p>
            <w:pPr>
              <w:ind w:left="40"/>
              <w:spacing w:after="0" w:line="161" w:lineRule="exact"/>
              <w:rPr>
                <w:sz w:val="20"/>
                <w:szCs w:val="20"/>
                <w:color w:val="auto"/>
              </w:rPr>
            </w:pPr>
            <w:r>
              <w:rPr>
                <w:rFonts w:ascii="Arial" w:cs="Arial" w:eastAsia="Arial" w:hAnsi="Arial"/>
                <w:sz w:val="15"/>
                <w:szCs w:val="15"/>
                <w:color w:val="auto"/>
              </w:rPr>
              <w:t>Prorated accelerated payment of PSUs</w:t>
            </w:r>
          </w:p>
        </w:tc>
        <w:tc>
          <w:tcPr>
            <w:tcW w:w="1000" w:type="dxa"/>
            <w:vAlign w:val="bottom"/>
            <w:tcBorders>
              <w:bottom w:val="single" w:sz="8" w:color="477157"/>
            </w:tcBorders>
          </w:tcPr>
          <w:p>
            <w:pPr>
              <w:jc w:val="right"/>
              <w:ind w:right="47"/>
              <w:spacing w:after="0" w:line="161" w:lineRule="exact"/>
              <w:rPr>
                <w:sz w:val="20"/>
                <w:szCs w:val="20"/>
                <w:color w:val="auto"/>
              </w:rPr>
            </w:pPr>
            <w:r>
              <w:rPr>
                <w:rFonts w:ascii="Arial" w:cs="Arial" w:eastAsia="Arial" w:hAnsi="Arial"/>
                <w:sz w:val="15"/>
                <w:szCs w:val="15"/>
                <w:color w:val="auto"/>
              </w:rPr>
              <w:t>6,430,839</w:t>
            </w:r>
          </w:p>
        </w:tc>
        <w:tc>
          <w:tcPr>
            <w:tcW w:w="860" w:type="dxa"/>
            <w:vAlign w:val="bottom"/>
            <w:tcBorders>
              <w:bottom w:val="single" w:sz="8" w:color="477157"/>
            </w:tcBorders>
          </w:tcPr>
          <w:p>
            <w:pPr>
              <w:jc w:val="right"/>
              <w:ind w:right="27"/>
              <w:spacing w:after="0" w:line="161" w:lineRule="exact"/>
              <w:rPr>
                <w:sz w:val="20"/>
                <w:szCs w:val="20"/>
                <w:color w:val="auto"/>
              </w:rPr>
            </w:pPr>
            <w:r>
              <w:rPr>
                <w:rFonts w:ascii="Arial" w:cs="Arial" w:eastAsia="Arial" w:hAnsi="Arial"/>
                <w:sz w:val="15"/>
                <w:szCs w:val="15"/>
                <w:color w:val="auto"/>
              </w:rPr>
              <w:t>1,827,387</w:t>
            </w:r>
          </w:p>
        </w:tc>
        <w:tc>
          <w:tcPr>
            <w:tcW w:w="980" w:type="dxa"/>
            <w:vAlign w:val="bottom"/>
            <w:tcBorders>
              <w:bottom w:val="single" w:sz="8" w:color="477157"/>
            </w:tcBorders>
          </w:tcPr>
          <w:p>
            <w:pPr>
              <w:jc w:val="right"/>
              <w:ind w:right="67"/>
              <w:spacing w:after="0" w:line="161" w:lineRule="exact"/>
              <w:rPr>
                <w:sz w:val="20"/>
                <w:szCs w:val="20"/>
                <w:color w:val="auto"/>
              </w:rPr>
            </w:pPr>
            <w:r>
              <w:rPr>
                <w:rFonts w:ascii="Arial" w:cs="Arial" w:eastAsia="Arial" w:hAnsi="Arial"/>
                <w:sz w:val="15"/>
                <w:szCs w:val="15"/>
                <w:color w:val="auto"/>
              </w:rPr>
              <w:t>1,961,252</w:t>
            </w:r>
          </w:p>
        </w:tc>
        <w:tc>
          <w:tcPr>
            <w:tcW w:w="960" w:type="dxa"/>
            <w:vAlign w:val="bottom"/>
            <w:tcBorders>
              <w:bottom w:val="single" w:sz="8" w:color="477157"/>
            </w:tcBorders>
          </w:tcPr>
          <w:p>
            <w:pPr>
              <w:jc w:val="right"/>
              <w:ind w:right="87"/>
              <w:spacing w:after="0" w:line="161" w:lineRule="exact"/>
              <w:rPr>
                <w:sz w:val="20"/>
                <w:szCs w:val="20"/>
                <w:color w:val="auto"/>
              </w:rPr>
            </w:pPr>
            <w:r>
              <w:rPr>
                <w:rFonts w:ascii="Arial" w:cs="Arial" w:eastAsia="Arial" w:hAnsi="Arial"/>
                <w:sz w:val="15"/>
                <w:szCs w:val="15"/>
                <w:color w:val="auto"/>
              </w:rPr>
              <w:t>1,226,437</w:t>
            </w:r>
          </w:p>
        </w:tc>
        <w:tc>
          <w:tcPr>
            <w:tcW w:w="8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645,089</w:t>
            </w:r>
          </w:p>
        </w:tc>
      </w:tr>
      <w:tr>
        <w:trPr>
          <w:trHeight w:val="160"/>
        </w:trPr>
        <w:tc>
          <w:tcPr>
            <w:tcW w:w="1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477157"/>
              </w:rPr>
              <w:t>•</w:t>
            </w:r>
          </w:p>
        </w:tc>
        <w:tc>
          <w:tcPr>
            <w:tcW w:w="4220" w:type="dxa"/>
            <w:vAlign w:val="bottom"/>
            <w:tcBorders>
              <w:bottom w:val="single" w:sz="8" w:color="477157"/>
            </w:tcBorders>
          </w:tcPr>
          <w:p>
            <w:pPr>
              <w:ind w:left="40"/>
              <w:spacing w:after="0" w:line="161" w:lineRule="exact"/>
              <w:rPr>
                <w:sz w:val="20"/>
                <w:szCs w:val="20"/>
                <w:color w:val="auto"/>
              </w:rPr>
            </w:pPr>
            <w:r>
              <w:rPr>
                <w:rFonts w:ascii="Arial" w:cs="Arial" w:eastAsia="Arial" w:hAnsi="Arial"/>
                <w:sz w:val="15"/>
                <w:szCs w:val="15"/>
                <w:color w:val="auto"/>
              </w:rPr>
              <w:t>Accelerated payment of PSUs replacement grant</w:t>
            </w:r>
          </w:p>
        </w:tc>
        <w:tc>
          <w:tcPr>
            <w:tcW w:w="1000" w:type="dxa"/>
            <w:vAlign w:val="bottom"/>
            <w:tcBorders>
              <w:bottom w:val="single" w:sz="8" w:color="477157"/>
            </w:tcBorders>
          </w:tcPr>
          <w:p>
            <w:pPr>
              <w:jc w:val="right"/>
              <w:ind w:right="47"/>
              <w:spacing w:after="0" w:line="161" w:lineRule="exact"/>
              <w:rPr>
                <w:sz w:val="20"/>
                <w:szCs w:val="20"/>
                <w:color w:val="auto"/>
              </w:rPr>
            </w:pPr>
            <w:r>
              <w:rPr>
                <w:rFonts w:ascii="Arial" w:cs="Arial" w:eastAsia="Arial" w:hAnsi="Arial"/>
                <w:sz w:val="15"/>
                <w:szCs w:val="15"/>
                <w:color w:val="auto"/>
              </w:rPr>
              <w:t>6,574,276</w:t>
            </w:r>
          </w:p>
        </w:tc>
        <w:tc>
          <w:tcPr>
            <w:tcW w:w="860" w:type="dxa"/>
            <w:vAlign w:val="bottom"/>
            <w:tcBorders>
              <w:bottom w:val="single" w:sz="8" w:color="477157"/>
            </w:tcBorders>
          </w:tcPr>
          <w:p>
            <w:pPr>
              <w:jc w:val="right"/>
              <w:ind w:right="27"/>
              <w:spacing w:after="0" w:line="161" w:lineRule="exact"/>
              <w:rPr>
                <w:sz w:val="20"/>
                <w:szCs w:val="20"/>
                <w:color w:val="auto"/>
              </w:rPr>
            </w:pPr>
            <w:r>
              <w:rPr>
                <w:rFonts w:ascii="Arial" w:cs="Arial" w:eastAsia="Arial" w:hAnsi="Arial"/>
                <w:sz w:val="15"/>
                <w:szCs w:val="15"/>
                <w:color w:val="auto"/>
              </w:rPr>
              <w:t>1,873,350</w:t>
            </w:r>
          </w:p>
        </w:tc>
        <w:tc>
          <w:tcPr>
            <w:tcW w:w="980" w:type="dxa"/>
            <w:vAlign w:val="bottom"/>
            <w:tcBorders>
              <w:bottom w:val="single" w:sz="8" w:color="477157"/>
            </w:tcBorders>
          </w:tcPr>
          <w:p>
            <w:pPr>
              <w:jc w:val="right"/>
              <w:ind w:right="67"/>
              <w:spacing w:after="0" w:line="161" w:lineRule="exact"/>
              <w:rPr>
                <w:sz w:val="20"/>
                <w:szCs w:val="20"/>
                <w:color w:val="auto"/>
              </w:rPr>
            </w:pPr>
            <w:r>
              <w:rPr>
                <w:rFonts w:ascii="Arial" w:cs="Arial" w:eastAsia="Arial" w:hAnsi="Arial"/>
                <w:sz w:val="15"/>
                <w:szCs w:val="15"/>
                <w:color w:val="auto"/>
              </w:rPr>
              <w:t>2,036,237</w:t>
            </w:r>
          </w:p>
        </w:tc>
        <w:tc>
          <w:tcPr>
            <w:tcW w:w="960" w:type="dxa"/>
            <w:vAlign w:val="bottom"/>
            <w:tcBorders>
              <w:bottom w:val="single" w:sz="8" w:color="477157"/>
            </w:tcBorders>
          </w:tcPr>
          <w:p>
            <w:pPr>
              <w:jc w:val="right"/>
              <w:ind w:right="87"/>
              <w:spacing w:after="0" w:line="161" w:lineRule="exact"/>
              <w:rPr>
                <w:sz w:val="20"/>
                <w:szCs w:val="20"/>
                <w:color w:val="auto"/>
              </w:rPr>
            </w:pPr>
            <w:r>
              <w:rPr>
                <w:rFonts w:ascii="Arial" w:cs="Arial" w:eastAsia="Arial" w:hAnsi="Arial"/>
                <w:sz w:val="15"/>
                <w:szCs w:val="15"/>
                <w:color w:val="auto"/>
              </w:rPr>
              <w:t>1,404,899</w:t>
            </w:r>
          </w:p>
        </w:tc>
        <w:tc>
          <w:tcPr>
            <w:tcW w:w="8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1,114,225</w:t>
            </w:r>
          </w:p>
        </w:tc>
      </w:tr>
      <w:tr>
        <w:trPr>
          <w:trHeight w:val="160"/>
        </w:trPr>
        <w:tc>
          <w:tcPr>
            <w:tcW w:w="10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477157"/>
              </w:rPr>
              <w:t>•</w:t>
            </w:r>
          </w:p>
        </w:tc>
        <w:tc>
          <w:tcPr>
            <w:tcW w:w="4220" w:type="dxa"/>
            <w:vAlign w:val="bottom"/>
            <w:tcBorders>
              <w:bottom w:val="single" w:sz="8" w:color="477157"/>
            </w:tcBorders>
          </w:tcPr>
          <w:p>
            <w:pPr>
              <w:ind w:left="40"/>
              <w:spacing w:after="0" w:line="161" w:lineRule="exact"/>
              <w:rPr>
                <w:sz w:val="20"/>
                <w:szCs w:val="20"/>
                <w:color w:val="auto"/>
              </w:rPr>
            </w:pPr>
            <w:r>
              <w:rPr>
                <w:rFonts w:ascii="Arial" w:cs="Arial" w:eastAsia="Arial" w:hAnsi="Arial"/>
                <w:sz w:val="15"/>
                <w:szCs w:val="15"/>
                <w:color w:val="auto"/>
              </w:rPr>
              <w:t>Accelerated vesting of restricted stock units</w:t>
            </w:r>
          </w:p>
        </w:tc>
        <w:tc>
          <w:tcPr>
            <w:tcW w:w="1000" w:type="dxa"/>
            <w:vAlign w:val="bottom"/>
            <w:tcBorders>
              <w:bottom w:val="single" w:sz="8" w:color="477157"/>
            </w:tcBorders>
          </w:tcPr>
          <w:p>
            <w:pPr>
              <w:jc w:val="right"/>
              <w:ind w:right="47"/>
              <w:spacing w:after="0" w:line="16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477157"/>
            </w:tcBorders>
          </w:tcPr>
          <w:p>
            <w:pPr>
              <w:jc w:val="right"/>
              <w:ind w:right="27"/>
              <w:spacing w:after="0" w:line="161"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477157"/>
            </w:tcBorders>
          </w:tcPr>
          <w:p>
            <w:pPr>
              <w:jc w:val="right"/>
              <w:ind w:right="67"/>
              <w:spacing w:after="0" w:line="161"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477157"/>
            </w:tcBorders>
          </w:tcPr>
          <w:p>
            <w:pPr>
              <w:jc w:val="right"/>
              <w:ind w:right="87"/>
              <w:spacing w:after="0" w:line="161" w:lineRule="exact"/>
              <w:rPr>
                <w:sz w:val="20"/>
                <w:szCs w:val="20"/>
                <w:color w:val="auto"/>
              </w:rPr>
            </w:pPr>
            <w:r>
              <w:rPr>
                <w:rFonts w:ascii="Arial" w:cs="Arial" w:eastAsia="Arial" w:hAnsi="Arial"/>
                <w:sz w:val="15"/>
                <w:szCs w:val="15"/>
                <w:color w:val="auto"/>
              </w:rPr>
              <w:t>151,681</w:t>
            </w:r>
          </w:p>
        </w:tc>
        <w:tc>
          <w:tcPr>
            <w:tcW w:w="8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126,154</w:t>
            </w:r>
          </w:p>
        </w:tc>
      </w:tr>
      <w:tr>
        <w:trPr>
          <w:trHeight w:val="183"/>
        </w:trPr>
        <w:tc>
          <w:tcPr>
            <w:tcW w:w="100" w:type="dxa"/>
            <w:vAlign w:val="bottom"/>
            <w:tcBorders>
              <w:bottom w:val="single" w:sz="8" w:color="477157"/>
            </w:tcBorders>
          </w:tcPr>
          <w:p>
            <w:pPr>
              <w:spacing w:after="0"/>
              <w:rPr>
                <w:sz w:val="20"/>
                <w:szCs w:val="20"/>
                <w:color w:val="auto"/>
              </w:rPr>
            </w:pPr>
            <w:r>
              <w:rPr>
                <w:rFonts w:ascii="Arial" w:cs="Arial" w:eastAsia="Arial" w:hAnsi="Arial"/>
                <w:sz w:val="15"/>
                <w:szCs w:val="15"/>
                <w:color w:val="477157"/>
              </w:rPr>
              <w:t>•</w:t>
            </w:r>
          </w:p>
        </w:tc>
        <w:tc>
          <w:tcPr>
            <w:tcW w:w="4220" w:type="dxa"/>
            <w:vAlign w:val="bottom"/>
            <w:tcBorders>
              <w:bottom w:val="single" w:sz="8" w:color="477157"/>
            </w:tcBorders>
          </w:tcPr>
          <w:p>
            <w:pPr>
              <w:ind w:left="40"/>
              <w:spacing w:after="0" w:line="183" w:lineRule="exact"/>
              <w:rPr>
                <w:sz w:val="20"/>
                <w:szCs w:val="20"/>
                <w:color w:val="auto"/>
              </w:rPr>
            </w:pPr>
            <w:r>
              <w:rPr>
                <w:rFonts w:ascii="Arial" w:cs="Arial" w:eastAsia="Arial" w:hAnsi="Arial"/>
                <w:sz w:val="13"/>
                <w:szCs w:val="13"/>
                <w:color w:val="auto"/>
              </w:rPr>
              <w:t>Prorated annual cash bonus</w:t>
            </w:r>
            <w:r>
              <w:rPr>
                <w:rFonts w:ascii="Arial" w:cs="Arial" w:eastAsia="Arial" w:hAnsi="Arial"/>
                <w:sz w:val="21"/>
                <w:szCs w:val="21"/>
                <w:color w:val="auto"/>
                <w:vertAlign w:val="superscript"/>
              </w:rPr>
              <w:t>(1)</w:t>
            </w:r>
          </w:p>
        </w:tc>
        <w:tc>
          <w:tcPr>
            <w:tcW w:w="1000" w:type="dxa"/>
            <w:vAlign w:val="bottom"/>
            <w:tcBorders>
              <w:bottom w:val="single" w:sz="8" w:color="477157"/>
            </w:tcBorders>
          </w:tcPr>
          <w:p>
            <w:pPr>
              <w:jc w:val="right"/>
              <w:ind w:right="47"/>
              <w:spacing w:after="0"/>
              <w:rPr>
                <w:sz w:val="20"/>
                <w:szCs w:val="20"/>
                <w:color w:val="auto"/>
              </w:rPr>
            </w:pPr>
            <w:r>
              <w:rPr>
                <w:rFonts w:ascii="Arial" w:cs="Arial" w:eastAsia="Arial" w:hAnsi="Arial"/>
                <w:sz w:val="15"/>
                <w:szCs w:val="15"/>
                <w:color w:val="auto"/>
              </w:rPr>
              <w:t>3,500,000</w:t>
            </w:r>
          </w:p>
        </w:tc>
        <w:tc>
          <w:tcPr>
            <w:tcW w:w="860" w:type="dxa"/>
            <w:vAlign w:val="bottom"/>
            <w:tcBorders>
              <w:bottom w:val="single" w:sz="8" w:color="477157"/>
            </w:tcBorders>
          </w:tcPr>
          <w:p>
            <w:pPr>
              <w:jc w:val="right"/>
              <w:ind w:right="27"/>
              <w:spacing w:after="0"/>
              <w:rPr>
                <w:sz w:val="20"/>
                <w:szCs w:val="20"/>
                <w:color w:val="auto"/>
              </w:rPr>
            </w:pPr>
            <w:r>
              <w:rPr>
                <w:rFonts w:ascii="Arial" w:cs="Arial" w:eastAsia="Arial" w:hAnsi="Arial"/>
                <w:sz w:val="15"/>
                <w:szCs w:val="15"/>
                <w:color w:val="auto"/>
              </w:rPr>
              <w:t>1,212,390</w:t>
            </w:r>
          </w:p>
        </w:tc>
        <w:tc>
          <w:tcPr>
            <w:tcW w:w="980" w:type="dxa"/>
            <w:vAlign w:val="bottom"/>
            <w:tcBorders>
              <w:bottom w:val="single" w:sz="8" w:color="477157"/>
            </w:tcBorders>
          </w:tcPr>
          <w:p>
            <w:pPr>
              <w:jc w:val="right"/>
              <w:ind w:right="67"/>
              <w:spacing w:after="0"/>
              <w:rPr>
                <w:sz w:val="20"/>
                <w:szCs w:val="20"/>
                <w:color w:val="auto"/>
              </w:rPr>
            </w:pPr>
            <w:r>
              <w:rPr>
                <w:rFonts w:ascii="Arial" w:cs="Arial" w:eastAsia="Arial" w:hAnsi="Arial"/>
                <w:sz w:val="15"/>
                <w:szCs w:val="15"/>
                <w:color w:val="auto"/>
              </w:rPr>
              <w:t>1,330,000</w:t>
            </w:r>
          </w:p>
        </w:tc>
        <w:tc>
          <w:tcPr>
            <w:tcW w:w="960" w:type="dxa"/>
            <w:vAlign w:val="bottom"/>
            <w:tcBorders>
              <w:bottom w:val="single" w:sz="8" w:color="477157"/>
            </w:tcBorders>
          </w:tcPr>
          <w:p>
            <w:pPr>
              <w:jc w:val="right"/>
              <w:ind w:right="87"/>
              <w:spacing w:after="0"/>
              <w:rPr>
                <w:sz w:val="20"/>
                <w:szCs w:val="20"/>
                <w:color w:val="auto"/>
              </w:rPr>
            </w:pPr>
            <w:r>
              <w:rPr>
                <w:rFonts w:ascii="Arial" w:cs="Arial" w:eastAsia="Arial" w:hAnsi="Arial"/>
                <w:sz w:val="15"/>
                <w:szCs w:val="15"/>
                <w:color w:val="auto"/>
              </w:rPr>
              <w:t>483,840</w:t>
            </w:r>
          </w:p>
        </w:tc>
        <w:tc>
          <w:tcPr>
            <w:tcW w:w="820" w:type="dxa"/>
            <w:vAlign w:val="bottom"/>
            <w:tcBorders>
              <w:bottom w:val="single" w:sz="8" w:color="477157"/>
            </w:tcBorders>
          </w:tcPr>
          <w:p>
            <w:pPr>
              <w:jc w:val="right"/>
              <w:spacing w:after="0"/>
              <w:rPr>
                <w:sz w:val="20"/>
                <w:szCs w:val="20"/>
                <w:color w:val="auto"/>
              </w:rPr>
            </w:pPr>
            <w:r>
              <w:rPr>
                <w:rFonts w:ascii="Arial" w:cs="Arial" w:eastAsia="Arial" w:hAnsi="Arial"/>
                <w:sz w:val="15"/>
                <w:szCs w:val="15"/>
                <w:color w:val="auto"/>
              </w:rPr>
              <w:t>483,840</w:t>
            </w:r>
          </w:p>
        </w:tc>
      </w:tr>
      <w:tr>
        <w:trPr>
          <w:trHeight w:val="160"/>
        </w:trPr>
        <w:tc>
          <w:tcPr>
            <w:tcW w:w="4320" w:type="dxa"/>
            <w:vAlign w:val="bottom"/>
            <w:tcBorders>
              <w:bottom w:val="single" w:sz="8" w:color="477157"/>
            </w:tcBorders>
            <w:gridSpan w:val="2"/>
          </w:tcPr>
          <w:p>
            <w:pPr>
              <w:spacing w:after="0" w:line="161" w:lineRule="exact"/>
              <w:rPr>
                <w:sz w:val="20"/>
                <w:szCs w:val="20"/>
                <w:color w:val="auto"/>
              </w:rPr>
            </w:pPr>
            <w:r>
              <w:rPr>
                <w:rFonts w:ascii="Arial" w:cs="Arial" w:eastAsia="Arial" w:hAnsi="Arial"/>
                <w:sz w:val="15"/>
                <w:szCs w:val="15"/>
                <w:b w:val="1"/>
                <w:bCs w:val="1"/>
                <w:color w:val="auto"/>
              </w:rPr>
              <w:t>Total</w:t>
            </w:r>
          </w:p>
        </w:tc>
        <w:tc>
          <w:tcPr>
            <w:tcW w:w="1000" w:type="dxa"/>
            <w:vAlign w:val="bottom"/>
            <w:tcBorders>
              <w:bottom w:val="single" w:sz="8" w:color="477157"/>
            </w:tcBorders>
          </w:tcPr>
          <w:p>
            <w:pPr>
              <w:jc w:val="right"/>
              <w:ind w:right="47"/>
              <w:spacing w:after="0" w:line="161" w:lineRule="exact"/>
              <w:rPr>
                <w:sz w:val="20"/>
                <w:szCs w:val="20"/>
                <w:color w:val="auto"/>
              </w:rPr>
            </w:pPr>
            <w:r>
              <w:rPr>
                <w:rFonts w:ascii="Arial" w:cs="Arial" w:eastAsia="Arial" w:hAnsi="Arial"/>
                <w:sz w:val="15"/>
                <w:szCs w:val="15"/>
                <w:b w:val="1"/>
                <w:bCs w:val="1"/>
                <w:color w:val="auto"/>
              </w:rPr>
              <w:t>29,005,871</w:t>
            </w:r>
          </w:p>
        </w:tc>
        <w:tc>
          <w:tcPr>
            <w:tcW w:w="860" w:type="dxa"/>
            <w:vAlign w:val="bottom"/>
            <w:tcBorders>
              <w:bottom w:val="single" w:sz="8" w:color="477157"/>
            </w:tcBorders>
          </w:tcPr>
          <w:p>
            <w:pPr>
              <w:jc w:val="right"/>
              <w:ind w:right="27"/>
              <w:spacing w:after="0" w:line="161" w:lineRule="exact"/>
              <w:rPr>
                <w:sz w:val="20"/>
                <w:szCs w:val="20"/>
                <w:color w:val="auto"/>
              </w:rPr>
            </w:pPr>
            <w:r>
              <w:rPr>
                <w:rFonts w:ascii="Arial" w:cs="Arial" w:eastAsia="Arial" w:hAnsi="Arial"/>
                <w:sz w:val="15"/>
                <w:szCs w:val="15"/>
                <w:b w:val="1"/>
                <w:bCs w:val="1"/>
                <w:color w:val="auto"/>
              </w:rPr>
              <w:t>9,046,939</w:t>
            </w:r>
          </w:p>
        </w:tc>
        <w:tc>
          <w:tcPr>
            <w:tcW w:w="980" w:type="dxa"/>
            <w:vAlign w:val="bottom"/>
            <w:tcBorders>
              <w:bottom w:val="single" w:sz="8" w:color="477157"/>
            </w:tcBorders>
          </w:tcPr>
          <w:p>
            <w:pPr>
              <w:jc w:val="right"/>
              <w:ind w:right="67"/>
              <w:spacing w:after="0" w:line="161" w:lineRule="exact"/>
              <w:rPr>
                <w:sz w:val="20"/>
                <w:szCs w:val="20"/>
                <w:color w:val="auto"/>
              </w:rPr>
            </w:pPr>
            <w:r>
              <w:rPr>
                <w:rFonts w:ascii="Arial" w:cs="Arial" w:eastAsia="Arial" w:hAnsi="Arial"/>
                <w:sz w:val="15"/>
                <w:szCs w:val="15"/>
                <w:b w:val="1"/>
                <w:bCs w:val="1"/>
                <w:color w:val="auto"/>
              </w:rPr>
              <w:t>10,050,400</w:t>
            </w:r>
          </w:p>
        </w:tc>
        <w:tc>
          <w:tcPr>
            <w:tcW w:w="960" w:type="dxa"/>
            <w:vAlign w:val="bottom"/>
            <w:tcBorders>
              <w:bottom w:val="single" w:sz="8" w:color="477157"/>
            </w:tcBorders>
          </w:tcPr>
          <w:p>
            <w:pPr>
              <w:jc w:val="right"/>
              <w:ind w:right="87"/>
              <w:spacing w:after="0" w:line="161" w:lineRule="exact"/>
              <w:rPr>
                <w:sz w:val="20"/>
                <w:szCs w:val="20"/>
                <w:color w:val="auto"/>
              </w:rPr>
            </w:pPr>
            <w:r>
              <w:rPr>
                <w:rFonts w:ascii="Arial" w:cs="Arial" w:eastAsia="Arial" w:hAnsi="Arial"/>
                <w:sz w:val="15"/>
                <w:szCs w:val="15"/>
                <w:b w:val="1"/>
                <w:bCs w:val="1"/>
                <w:color w:val="auto"/>
              </w:rPr>
              <w:t>6,215,910</w:t>
            </w:r>
          </w:p>
        </w:tc>
        <w:tc>
          <w:tcPr>
            <w:tcW w:w="82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b w:val="1"/>
                <w:bCs w:val="1"/>
                <w:color w:val="auto"/>
              </w:rPr>
              <w:t>5,034,347</w:t>
            </w:r>
          </w:p>
        </w:tc>
      </w:tr>
    </w:tbl>
    <w:p>
      <w:pPr>
        <w:spacing w:after="0" w:line="183" w:lineRule="exact"/>
        <w:rPr>
          <w:sz w:val="20"/>
          <w:szCs w:val="20"/>
          <w:color w:val="auto"/>
        </w:rPr>
      </w:pPr>
    </w:p>
    <w:p>
      <w:pPr>
        <w:jc w:val="both"/>
        <w:ind w:left="1560" w:hanging="443"/>
        <w:spacing w:after="0" w:line="237" w:lineRule="auto"/>
        <w:tabs>
          <w:tab w:leader="none" w:pos="15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Pursuant to the Severance Protection Plan, Ms. Hemmer and Mr. Batchelor receive a prorated target annual cash bonus under this scenario. Mr. Fish, Ms. Rankin and Mr. Morris receive a prorated maximum annual cash bonus under this scenario pursuant to their 2017 Employment Agreements. The 2017 Employment Agreements provided for this enhanced treatment partially on account of similar terms in pre-existing employment agreements that executives were agreeing to terminate in order to support the Company's transition toward a more standardized and flexible approach to severance protections.</w:t>
      </w:r>
    </w:p>
    <w:p>
      <w:pPr>
        <w:spacing w:after="0" w:line="155"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477157"/>
        </w:rPr>
        <w:t>Chief Executive Officer Pay Ratio</w:t>
      </w:r>
    </w:p>
    <w:p>
      <w:pPr>
        <w:sectPr>
          <w:pgSz w:w="11900" w:h="16838" w:orient="portrait"/>
          <w:cols w:equalWidth="0" w:num="1">
            <w:col w:w="11260"/>
          </w:cols>
          <w:pgMar w:left="320" w:top="142" w:right="319" w:bottom="1440" w:gutter="0" w:footer="0" w:header="0"/>
        </w:sectPr>
      </w:pPr>
    </w:p>
    <w:p>
      <w:pPr>
        <w:spacing w:after="0" w:line="387"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In 2018, we identified the Company's median employee, based on total annual compensation for all employees other than our Chief Executive Officer, in accordance with SEC Regulation S-K, Item 402(u) (the "Median Employee") for purposes of the proxy statement filed in March 2018. During 2019, a change in such employee's circumstances make it no longer appropriate to use that individual as the Median Employee. A new Median Employee was selected, whose compensation is substantially similar to the original median employee based on the compensation measure used to select the original median employee. The Median Employee, a Driver in the United States, was identified from a list of Company employees as of December 31, 2017. Out of a total worldwide employee population of 42,075 on that date, the list included 41,585 employees and excluded the Chief Executive Officer and our 489 employees based in India. Approximately 90% of these total employees work in the United States and approximately 10% work in Canada. Over 99% of these individuals are full-time employees. Any temporary or seasonal employees are included; any subcontracted workers are not employees and are excluded.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To select the Median Employee, we determined the actual taxable compensation paid to each listed employee in 2017, converted to U.S. dollars at appropriate exchange rates for non-U.S. employees and annualized for salaried employees hired during the year. We did not apply any cost-of-living adjustments nor did we use any form of statistical sampling.</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Since December 31, 2017, there have been no changes to the Company's employee population, compensation arrangements, or the circumstances of the Median Employee (except as noted above) that the Company believes would significantly impact this pay ratio disclosure. Accordingly, as permitted by SEC Regulation S-K, Item 402(u), the Company is providing the following information based on the Median Employee as identified.</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For 2019, total annual compensation for the Median Employee was $76,048. The annual compensation of our Chief Executive Officer was $11,298,101, for a ratio of 1:149. These compensation values were calculated in accordance with SEC Regulation S-K, Item 402(c)(2)(x) requirements for reporting total compensation in the Summary Compensation Table.</w:t>
      </w:r>
    </w:p>
    <w:p>
      <w:pPr>
        <w:spacing w:after="0" w:line="200" w:lineRule="exact"/>
        <w:rPr>
          <w:sz w:val="20"/>
          <w:szCs w:val="20"/>
          <w:color w:val="auto"/>
        </w:rPr>
      </w:pPr>
    </w:p>
    <w:p>
      <w:pPr>
        <w:sectPr>
          <w:pgSz w:w="11900" w:h="16838" w:orient="portrait"/>
          <w:cols w:equalWidth="0" w:num="2">
            <w:col w:w="5280" w:space="680"/>
            <w:col w:w="5300"/>
          </w:cols>
          <w:pgMar w:left="320" w:top="142" w:right="31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Equity Compensation Plan Table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as of December 31, 2019 about the number of shares to be issued upon vesting or exercise of equity awards and the number of shares remaining available for issuance under our equity compensation plans.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477157"/>
              </w:rPr>
              <w:t>Number of</w:t>
            </w:r>
          </w:p>
        </w:tc>
      </w:tr>
      <w:tr>
        <w:trPr>
          <w:trHeight w:val="135"/>
        </w:trPr>
        <w:tc>
          <w:tcPr>
            <w:tcW w:w="4380" w:type="dxa"/>
            <w:vAlign w:val="bottom"/>
          </w:tcPr>
          <w:p>
            <w:pPr>
              <w:spacing w:after="0"/>
              <w:rPr>
                <w:sz w:val="11"/>
                <w:szCs w:val="11"/>
                <w:color w:val="auto"/>
              </w:rPr>
            </w:pPr>
          </w:p>
        </w:tc>
        <w:tc>
          <w:tcPr>
            <w:tcW w:w="184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477157"/>
              </w:rPr>
              <w:t>Number of</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8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477157"/>
              </w:rPr>
              <w:t>Securities</w:t>
            </w:r>
          </w:p>
        </w:tc>
      </w:tr>
      <w:tr>
        <w:trPr>
          <w:trHeight w:val="135"/>
        </w:trPr>
        <w:tc>
          <w:tcPr>
            <w:tcW w:w="4380" w:type="dxa"/>
            <w:vAlign w:val="bottom"/>
          </w:tcPr>
          <w:p>
            <w:pPr>
              <w:spacing w:after="0"/>
              <w:rPr>
                <w:sz w:val="11"/>
                <w:szCs w:val="11"/>
                <w:color w:val="auto"/>
              </w:rPr>
            </w:pPr>
          </w:p>
        </w:tc>
        <w:tc>
          <w:tcPr>
            <w:tcW w:w="184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477157"/>
              </w:rPr>
              <w:t>Securities to be</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8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477157"/>
              </w:rPr>
              <w:t>Remaining</w:t>
            </w:r>
          </w:p>
        </w:tc>
      </w:tr>
      <w:tr>
        <w:trPr>
          <w:trHeight w:val="135"/>
        </w:trPr>
        <w:tc>
          <w:tcPr>
            <w:tcW w:w="4380" w:type="dxa"/>
            <w:vAlign w:val="bottom"/>
          </w:tcPr>
          <w:p>
            <w:pPr>
              <w:spacing w:after="0"/>
              <w:rPr>
                <w:sz w:val="11"/>
                <w:szCs w:val="11"/>
                <w:color w:val="auto"/>
              </w:rPr>
            </w:pPr>
          </w:p>
        </w:tc>
        <w:tc>
          <w:tcPr>
            <w:tcW w:w="184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477157"/>
              </w:rPr>
              <w:t>Issued Upon</w:t>
            </w:r>
          </w:p>
        </w:tc>
        <w:tc>
          <w:tcPr>
            <w:tcW w:w="120" w:type="dxa"/>
            <w:vAlign w:val="bottom"/>
          </w:tcPr>
          <w:p>
            <w:pPr>
              <w:spacing w:after="0"/>
              <w:rPr>
                <w:sz w:val="11"/>
                <w:szCs w:val="11"/>
                <w:color w:val="auto"/>
              </w:rPr>
            </w:pPr>
          </w:p>
        </w:tc>
        <w:tc>
          <w:tcPr>
            <w:tcW w:w="1240" w:type="dxa"/>
            <w:vAlign w:val="bottom"/>
          </w:tcPr>
          <w:p>
            <w:pPr>
              <w:jc w:val="right"/>
              <w:ind w:right="118"/>
              <w:spacing w:after="0" w:line="136" w:lineRule="exact"/>
              <w:rPr>
                <w:sz w:val="20"/>
                <w:szCs w:val="20"/>
                <w:color w:val="auto"/>
              </w:rPr>
            </w:pPr>
            <w:r>
              <w:rPr>
                <w:rFonts w:ascii="Arial" w:cs="Arial" w:eastAsia="Arial" w:hAnsi="Arial"/>
                <w:sz w:val="12"/>
                <w:szCs w:val="12"/>
                <w:b w:val="1"/>
                <w:bCs w:val="1"/>
                <w:color w:val="477157"/>
                <w:w w:val="98"/>
              </w:rPr>
              <w:t>Weighted-Average</w:t>
            </w:r>
          </w:p>
        </w:tc>
        <w:tc>
          <w:tcPr>
            <w:tcW w:w="138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477157"/>
              </w:rPr>
              <w:t>Available for</w:t>
            </w:r>
          </w:p>
        </w:tc>
      </w:tr>
      <w:tr>
        <w:trPr>
          <w:trHeight w:val="135"/>
        </w:trPr>
        <w:tc>
          <w:tcPr>
            <w:tcW w:w="4380" w:type="dxa"/>
            <w:vAlign w:val="bottom"/>
          </w:tcPr>
          <w:p>
            <w:pPr>
              <w:spacing w:after="0"/>
              <w:rPr>
                <w:sz w:val="11"/>
                <w:szCs w:val="11"/>
                <w:color w:val="auto"/>
              </w:rPr>
            </w:pPr>
          </w:p>
        </w:tc>
        <w:tc>
          <w:tcPr>
            <w:tcW w:w="184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477157"/>
              </w:rPr>
              <w:t>Exercise</w:t>
            </w:r>
          </w:p>
        </w:tc>
        <w:tc>
          <w:tcPr>
            <w:tcW w:w="120" w:type="dxa"/>
            <w:vAlign w:val="bottom"/>
          </w:tcPr>
          <w:p>
            <w:pPr>
              <w:spacing w:after="0"/>
              <w:rPr>
                <w:sz w:val="11"/>
                <w:szCs w:val="11"/>
                <w:color w:val="auto"/>
              </w:rPr>
            </w:pPr>
          </w:p>
        </w:tc>
        <w:tc>
          <w:tcPr>
            <w:tcW w:w="1240" w:type="dxa"/>
            <w:vAlign w:val="bottom"/>
          </w:tcPr>
          <w:p>
            <w:pPr>
              <w:jc w:val="right"/>
              <w:ind w:right="118"/>
              <w:spacing w:after="0" w:line="136" w:lineRule="exact"/>
              <w:rPr>
                <w:sz w:val="20"/>
                <w:szCs w:val="20"/>
                <w:color w:val="auto"/>
              </w:rPr>
            </w:pPr>
            <w:r>
              <w:rPr>
                <w:rFonts w:ascii="Arial" w:cs="Arial" w:eastAsia="Arial" w:hAnsi="Arial"/>
                <w:sz w:val="12"/>
                <w:szCs w:val="12"/>
                <w:b w:val="1"/>
                <w:bCs w:val="1"/>
                <w:color w:val="477157"/>
              </w:rPr>
              <w:t>Exercise Price of</w:t>
            </w:r>
          </w:p>
        </w:tc>
        <w:tc>
          <w:tcPr>
            <w:tcW w:w="138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477157"/>
              </w:rPr>
              <w:t>Future Issuance</w:t>
            </w:r>
          </w:p>
        </w:tc>
      </w:tr>
      <w:tr>
        <w:trPr>
          <w:trHeight w:val="135"/>
        </w:trPr>
        <w:tc>
          <w:tcPr>
            <w:tcW w:w="4380" w:type="dxa"/>
            <w:vAlign w:val="bottom"/>
          </w:tcPr>
          <w:p>
            <w:pPr>
              <w:spacing w:after="0"/>
              <w:rPr>
                <w:sz w:val="11"/>
                <w:szCs w:val="11"/>
                <w:color w:val="auto"/>
              </w:rPr>
            </w:pPr>
          </w:p>
        </w:tc>
        <w:tc>
          <w:tcPr>
            <w:tcW w:w="1840" w:type="dxa"/>
            <w:vAlign w:val="bottom"/>
          </w:tcPr>
          <w:p>
            <w:pPr>
              <w:jc w:val="right"/>
              <w:ind w:right="99"/>
              <w:spacing w:after="0" w:line="136" w:lineRule="exact"/>
              <w:rPr>
                <w:sz w:val="20"/>
                <w:szCs w:val="20"/>
                <w:color w:val="auto"/>
              </w:rPr>
            </w:pPr>
            <w:r>
              <w:rPr>
                <w:rFonts w:ascii="Arial" w:cs="Arial" w:eastAsia="Arial" w:hAnsi="Arial"/>
                <w:sz w:val="12"/>
                <w:szCs w:val="12"/>
                <w:b w:val="1"/>
                <w:bCs w:val="1"/>
                <w:color w:val="477157"/>
              </w:rPr>
              <w:t>of Outstanding</w:t>
            </w:r>
          </w:p>
        </w:tc>
        <w:tc>
          <w:tcPr>
            <w:tcW w:w="120" w:type="dxa"/>
            <w:vAlign w:val="bottom"/>
          </w:tcPr>
          <w:p>
            <w:pPr>
              <w:spacing w:after="0"/>
              <w:rPr>
                <w:sz w:val="11"/>
                <w:szCs w:val="11"/>
                <w:color w:val="auto"/>
              </w:rPr>
            </w:pPr>
          </w:p>
        </w:tc>
        <w:tc>
          <w:tcPr>
            <w:tcW w:w="1240" w:type="dxa"/>
            <w:vAlign w:val="bottom"/>
          </w:tcPr>
          <w:p>
            <w:pPr>
              <w:jc w:val="right"/>
              <w:ind w:right="118"/>
              <w:spacing w:after="0" w:line="136" w:lineRule="exact"/>
              <w:rPr>
                <w:sz w:val="20"/>
                <w:szCs w:val="20"/>
                <w:color w:val="auto"/>
              </w:rPr>
            </w:pPr>
            <w:r>
              <w:rPr>
                <w:rFonts w:ascii="Arial" w:cs="Arial" w:eastAsia="Arial" w:hAnsi="Arial"/>
                <w:sz w:val="12"/>
                <w:szCs w:val="12"/>
                <w:b w:val="1"/>
                <w:bCs w:val="1"/>
                <w:color w:val="477157"/>
              </w:rPr>
              <w:t>Outstanding</w:t>
            </w:r>
          </w:p>
        </w:tc>
        <w:tc>
          <w:tcPr>
            <w:tcW w:w="138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477157"/>
              </w:rPr>
              <w:t>Under Equity</w:t>
            </w:r>
          </w:p>
        </w:tc>
      </w:tr>
      <w:tr>
        <w:trPr>
          <w:trHeight w:val="145"/>
        </w:trPr>
        <w:tc>
          <w:tcPr>
            <w:tcW w:w="4380" w:type="dxa"/>
            <w:vAlign w:val="bottom"/>
          </w:tcPr>
          <w:p>
            <w:pPr>
              <w:spacing w:after="0"/>
              <w:rPr>
                <w:sz w:val="20"/>
                <w:szCs w:val="20"/>
                <w:color w:val="auto"/>
              </w:rPr>
            </w:pPr>
            <w:r>
              <w:rPr>
                <w:rFonts w:ascii="Arial" w:cs="Arial" w:eastAsia="Arial" w:hAnsi="Arial"/>
                <w:sz w:val="12"/>
                <w:szCs w:val="12"/>
                <w:b w:val="1"/>
                <w:bCs w:val="1"/>
                <w:color w:val="477157"/>
              </w:rPr>
              <w:t>Plan Category</w:t>
            </w:r>
          </w:p>
        </w:tc>
        <w:tc>
          <w:tcPr>
            <w:tcW w:w="1840" w:type="dxa"/>
            <w:vAlign w:val="bottom"/>
          </w:tcPr>
          <w:p>
            <w:pPr>
              <w:jc w:val="right"/>
              <w:ind w:right="99"/>
              <w:spacing w:after="0"/>
              <w:rPr>
                <w:sz w:val="20"/>
                <w:szCs w:val="20"/>
                <w:color w:val="auto"/>
              </w:rPr>
            </w:pPr>
            <w:r>
              <w:rPr>
                <w:rFonts w:ascii="Arial" w:cs="Arial" w:eastAsia="Arial" w:hAnsi="Arial"/>
                <w:sz w:val="12"/>
                <w:szCs w:val="12"/>
                <w:b w:val="1"/>
                <w:bCs w:val="1"/>
                <w:color w:val="477157"/>
              </w:rPr>
              <w:t>Options and Rights</w:t>
            </w:r>
          </w:p>
        </w:tc>
        <w:tc>
          <w:tcPr>
            <w:tcW w:w="1360" w:type="dxa"/>
            <w:vAlign w:val="bottom"/>
            <w:gridSpan w:val="2"/>
          </w:tcPr>
          <w:p>
            <w:pPr>
              <w:jc w:val="right"/>
              <w:ind w:right="118"/>
              <w:spacing w:after="0"/>
              <w:rPr>
                <w:sz w:val="20"/>
                <w:szCs w:val="20"/>
                <w:color w:val="auto"/>
              </w:rPr>
            </w:pPr>
            <w:r>
              <w:rPr>
                <w:rFonts w:ascii="Arial" w:cs="Arial" w:eastAsia="Arial" w:hAnsi="Arial"/>
                <w:sz w:val="12"/>
                <w:szCs w:val="12"/>
                <w:b w:val="1"/>
                <w:bCs w:val="1"/>
                <w:color w:val="477157"/>
              </w:rPr>
              <w:t>Options and Rights</w:t>
            </w:r>
          </w:p>
        </w:tc>
        <w:tc>
          <w:tcPr>
            <w:tcW w:w="13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477157"/>
              </w:rPr>
              <w:t>Compensation Plans</w:t>
            </w:r>
          </w:p>
        </w:tc>
      </w:tr>
      <w:tr>
        <w:trPr>
          <w:trHeight w:val="20"/>
        </w:trPr>
        <w:tc>
          <w:tcPr>
            <w:tcW w:w="4380" w:type="dxa"/>
            <w:vAlign w:val="bottom"/>
            <w:shd w:val="clear" w:color="auto" w:fill="477157"/>
          </w:tcPr>
          <w:p>
            <w:pPr>
              <w:spacing w:after="0" w:line="20" w:lineRule="exact"/>
              <w:rPr>
                <w:sz w:val="1"/>
                <w:szCs w:val="1"/>
                <w:color w:val="auto"/>
              </w:rPr>
            </w:pPr>
          </w:p>
        </w:tc>
        <w:tc>
          <w:tcPr>
            <w:tcW w:w="1840" w:type="dxa"/>
            <w:vAlign w:val="bottom"/>
            <w:shd w:val="clear" w:color="auto" w:fill="477157"/>
          </w:tcPr>
          <w:p>
            <w:pPr>
              <w:spacing w:after="0" w:line="20" w:lineRule="exact"/>
              <w:rPr>
                <w:sz w:val="1"/>
                <w:szCs w:val="1"/>
                <w:color w:val="auto"/>
              </w:rPr>
            </w:pPr>
          </w:p>
        </w:tc>
        <w:tc>
          <w:tcPr>
            <w:tcW w:w="120" w:type="dxa"/>
            <w:vAlign w:val="bottom"/>
            <w:shd w:val="clear" w:color="auto" w:fill="477157"/>
          </w:tcPr>
          <w:p>
            <w:pPr>
              <w:spacing w:after="0" w:line="20" w:lineRule="exact"/>
              <w:rPr>
                <w:sz w:val="1"/>
                <w:szCs w:val="1"/>
                <w:color w:val="auto"/>
              </w:rPr>
            </w:pPr>
          </w:p>
        </w:tc>
        <w:tc>
          <w:tcPr>
            <w:tcW w:w="1240" w:type="dxa"/>
            <w:vAlign w:val="bottom"/>
            <w:shd w:val="clear" w:color="auto" w:fill="477157"/>
          </w:tcPr>
          <w:p>
            <w:pPr>
              <w:spacing w:after="0" w:line="20" w:lineRule="exact"/>
              <w:rPr>
                <w:sz w:val="1"/>
                <w:szCs w:val="1"/>
                <w:color w:val="auto"/>
              </w:rPr>
            </w:pPr>
          </w:p>
        </w:tc>
        <w:tc>
          <w:tcPr>
            <w:tcW w:w="1220" w:type="dxa"/>
            <w:vAlign w:val="bottom"/>
            <w:shd w:val="clear" w:color="auto" w:fill="47715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4380" w:type="dxa"/>
            <w:vAlign w:val="bottom"/>
          </w:tcPr>
          <w:p>
            <w:pPr>
              <w:spacing w:after="0" w:line="194" w:lineRule="exact"/>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22"/>
                <w:szCs w:val="22"/>
                <w:color w:val="auto"/>
                <w:vertAlign w:val="superscript"/>
              </w:rPr>
              <w:t>(1)</w:t>
            </w:r>
          </w:p>
        </w:tc>
        <w:tc>
          <w:tcPr>
            <w:tcW w:w="1840" w:type="dxa"/>
            <w:vAlign w:val="bottom"/>
          </w:tcPr>
          <w:p>
            <w:pPr>
              <w:jc w:val="right"/>
              <w:spacing w:after="0" w:line="194" w:lineRule="exact"/>
              <w:rPr>
                <w:sz w:val="20"/>
                <w:szCs w:val="20"/>
                <w:color w:val="auto"/>
              </w:rPr>
            </w:pPr>
            <w:r>
              <w:rPr>
                <w:rFonts w:ascii="Arial" w:cs="Arial" w:eastAsia="Arial" w:hAnsi="Arial"/>
                <w:sz w:val="14"/>
                <w:szCs w:val="14"/>
                <w:color w:val="auto"/>
              </w:rPr>
              <w:t>5,588,356</w:t>
            </w:r>
            <w:r>
              <w:rPr>
                <w:rFonts w:ascii="Arial" w:cs="Arial" w:eastAsia="Arial" w:hAnsi="Arial"/>
                <w:sz w:val="22"/>
                <w:szCs w:val="22"/>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line="194" w:lineRule="exact"/>
              <w:rPr>
                <w:sz w:val="20"/>
                <w:szCs w:val="20"/>
                <w:color w:val="auto"/>
              </w:rPr>
            </w:pPr>
            <w:r>
              <w:rPr>
                <w:rFonts w:ascii="Arial" w:cs="Arial" w:eastAsia="Arial" w:hAnsi="Arial"/>
                <w:sz w:val="14"/>
                <w:szCs w:val="14"/>
                <w:color w:val="auto"/>
              </w:rPr>
              <w:t>69.66</w:t>
            </w:r>
            <w:r>
              <w:rPr>
                <w:rFonts w:ascii="Arial" w:cs="Arial" w:eastAsia="Arial" w:hAnsi="Arial"/>
                <w:sz w:val="22"/>
                <w:szCs w:val="22"/>
                <w:color w:val="auto"/>
                <w:vertAlign w:val="superscript"/>
              </w:rPr>
              <w:t>(3)</w:t>
            </w:r>
          </w:p>
        </w:tc>
        <w:tc>
          <w:tcPr>
            <w:tcW w:w="1380" w:type="dxa"/>
            <w:vAlign w:val="bottom"/>
            <w:gridSpan w:val="2"/>
          </w:tcPr>
          <w:p>
            <w:pPr>
              <w:jc w:val="right"/>
              <w:spacing w:after="0" w:line="194" w:lineRule="exact"/>
              <w:rPr>
                <w:sz w:val="20"/>
                <w:szCs w:val="20"/>
                <w:color w:val="auto"/>
              </w:rPr>
            </w:pPr>
            <w:r>
              <w:rPr>
                <w:rFonts w:ascii="Arial" w:cs="Arial" w:eastAsia="Arial" w:hAnsi="Arial"/>
                <w:sz w:val="14"/>
                <w:szCs w:val="14"/>
                <w:color w:val="auto"/>
              </w:rPr>
              <w:t>20,762,702</w:t>
            </w:r>
            <w:r>
              <w:rPr>
                <w:rFonts w:ascii="Arial" w:cs="Arial" w:eastAsia="Arial" w:hAnsi="Arial"/>
                <w:sz w:val="22"/>
                <w:szCs w:val="22"/>
                <w:color w:val="auto"/>
                <w:vertAlign w:val="superscript"/>
              </w:rPr>
              <w:t>(4)</w:t>
            </w:r>
          </w:p>
        </w:tc>
      </w:tr>
      <w:tr>
        <w:trPr>
          <w:trHeight w:val="20"/>
        </w:trPr>
        <w:tc>
          <w:tcPr>
            <w:tcW w:w="4380" w:type="dxa"/>
            <w:vAlign w:val="bottom"/>
            <w:shd w:val="clear" w:color="auto" w:fill="477157"/>
          </w:tcPr>
          <w:p>
            <w:pPr>
              <w:spacing w:after="0" w:line="20" w:lineRule="exact"/>
              <w:rPr>
                <w:sz w:val="1"/>
                <w:szCs w:val="1"/>
                <w:color w:val="auto"/>
              </w:rPr>
            </w:pPr>
          </w:p>
        </w:tc>
        <w:tc>
          <w:tcPr>
            <w:tcW w:w="1840" w:type="dxa"/>
            <w:vAlign w:val="bottom"/>
            <w:shd w:val="clear" w:color="auto" w:fill="477157"/>
          </w:tcPr>
          <w:p>
            <w:pPr>
              <w:spacing w:after="0" w:line="20" w:lineRule="exact"/>
              <w:rPr>
                <w:sz w:val="1"/>
                <w:szCs w:val="1"/>
                <w:color w:val="auto"/>
              </w:rPr>
            </w:pPr>
          </w:p>
        </w:tc>
        <w:tc>
          <w:tcPr>
            <w:tcW w:w="120" w:type="dxa"/>
            <w:vAlign w:val="bottom"/>
            <w:shd w:val="clear" w:color="auto" w:fill="477157"/>
          </w:tcPr>
          <w:p>
            <w:pPr>
              <w:spacing w:after="0" w:line="20" w:lineRule="exact"/>
              <w:rPr>
                <w:sz w:val="1"/>
                <w:szCs w:val="1"/>
                <w:color w:val="auto"/>
              </w:rPr>
            </w:pPr>
          </w:p>
        </w:tc>
        <w:tc>
          <w:tcPr>
            <w:tcW w:w="1240" w:type="dxa"/>
            <w:vAlign w:val="bottom"/>
            <w:shd w:val="clear" w:color="auto" w:fill="477157"/>
          </w:tcPr>
          <w:p>
            <w:pPr>
              <w:spacing w:after="0" w:line="20" w:lineRule="exact"/>
              <w:rPr>
                <w:sz w:val="1"/>
                <w:szCs w:val="1"/>
                <w:color w:val="auto"/>
              </w:rPr>
            </w:pPr>
          </w:p>
        </w:tc>
        <w:tc>
          <w:tcPr>
            <w:tcW w:w="1220" w:type="dxa"/>
            <w:vAlign w:val="bottom"/>
            <w:shd w:val="clear" w:color="auto" w:fill="47715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3" w:lineRule="exact"/>
        <w:rPr>
          <w:sz w:val="20"/>
          <w:szCs w:val="20"/>
          <w:color w:val="auto"/>
        </w:rPr>
      </w:pPr>
    </w:p>
    <w:p>
      <w:pPr>
        <w:ind w:left="1560" w:hanging="443"/>
        <w:spacing w:after="0"/>
        <w:tabs>
          <w:tab w:leader="none" w:pos="15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Includes our 2009 Stock Incentive Plan, 2014 Stock Incentive Plan and Employee Stock Purchase Plan ("ESPP"). No additional awards may be granted under our 2009 Stock Incentive Plan.</w:t>
      </w:r>
    </w:p>
    <w:p>
      <w:pPr>
        <w:spacing w:after="0" w:line="173" w:lineRule="exact"/>
        <w:rPr>
          <w:rFonts w:ascii="Arial" w:cs="Arial" w:eastAsia="Arial" w:hAnsi="Arial"/>
          <w:sz w:val="15"/>
          <w:szCs w:val="15"/>
          <w:color w:val="auto"/>
        </w:rPr>
      </w:pPr>
    </w:p>
    <w:p>
      <w:pPr>
        <w:jc w:val="both"/>
        <w:ind w:left="1560" w:hanging="443"/>
        <w:spacing w:after="0" w:line="259" w:lineRule="auto"/>
        <w:tabs>
          <w:tab w:leader="none" w:pos="15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options outstanding for 3,938,478 shares of Common Stock; 224,997 shares of Common Stock to be issued in connection with deferred compensation obligations; 347,997 shares underlying unvested restricted stock units and 1,076,884 shares of Common Stock that would be issued on account of outstanding PSUs if the target performance level is achieved. Assuming, instead, that the maximum performance level was achieved on such PSUs, the number of shares of Common Stock that would be issued on account of outstanding awards would increase by 1,076,884 shares.</w:t>
      </w:r>
    </w:p>
    <w:p>
      <w:pPr>
        <w:spacing w:after="0" w:line="183" w:lineRule="exact"/>
        <w:rPr>
          <w:rFonts w:ascii="Arial" w:cs="Arial" w:eastAsia="Arial" w:hAnsi="Arial"/>
          <w:sz w:val="14"/>
          <w:szCs w:val="14"/>
          <w:color w:val="auto"/>
        </w:rPr>
      </w:pPr>
    </w:p>
    <w:p>
      <w:pPr>
        <w:jc w:val="both"/>
        <w:ind w:left="1560"/>
        <w:spacing w:after="0" w:line="236" w:lineRule="auto"/>
        <w:rPr>
          <w:rFonts w:ascii="Arial" w:cs="Arial" w:eastAsia="Arial" w:hAnsi="Arial"/>
          <w:sz w:val="14"/>
          <w:szCs w:val="14"/>
          <w:color w:val="auto"/>
        </w:rPr>
      </w:pPr>
      <w:r>
        <w:rPr>
          <w:rFonts w:ascii="Arial" w:cs="Arial" w:eastAsia="Arial" w:hAnsi="Arial"/>
          <w:sz w:val="15"/>
          <w:szCs w:val="15"/>
          <w:color w:val="auto"/>
        </w:rPr>
        <w:t>The total number of shares subject to outstanding awards in the table above includes 361,856 shares on account of PSUs, at target, with the performance period ended December 31, 2019. The determination of achievement of performance results on such PSUs was performed by the MD&amp;C Committee in February 2020, and the Company achieved (a) maximum performance criteria on the half of the PSUs that are subject to the cash flow generation performance measure, yielding a 200% payout and (b) near-maximum performance criteria on the half of the PSUs that are subject to the total shareholder return performance measure, yielding a 194.7% payout. A total of 475,627 shares of Common Stock were issued on account of such PSUs in February 2020, net of units deferred, of which 241,022 shares of Common Stock were included in the first column of the table above.</w:t>
      </w:r>
    </w:p>
    <w:p>
      <w:pPr>
        <w:spacing w:after="0" w:line="198" w:lineRule="exact"/>
        <w:rPr>
          <w:rFonts w:ascii="Arial" w:cs="Arial" w:eastAsia="Arial" w:hAnsi="Arial"/>
          <w:sz w:val="14"/>
          <w:szCs w:val="14"/>
          <w:color w:val="auto"/>
        </w:rPr>
      </w:pPr>
    </w:p>
    <w:p>
      <w:pPr>
        <w:jc w:val="both"/>
        <w:ind w:left="1560"/>
        <w:spacing w:after="0" w:line="237" w:lineRule="auto"/>
        <w:rPr>
          <w:rFonts w:ascii="Arial" w:cs="Arial" w:eastAsia="Arial" w:hAnsi="Arial"/>
          <w:sz w:val="14"/>
          <w:szCs w:val="14"/>
          <w:color w:val="auto"/>
        </w:rPr>
      </w:pPr>
      <w:r>
        <w:rPr>
          <w:rFonts w:ascii="Arial" w:cs="Arial" w:eastAsia="Arial" w:hAnsi="Arial"/>
          <w:sz w:val="15"/>
          <w:szCs w:val="15"/>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175" w:lineRule="exact"/>
        <w:rPr>
          <w:rFonts w:ascii="Arial" w:cs="Arial" w:eastAsia="Arial" w:hAnsi="Arial"/>
          <w:sz w:val="14"/>
          <w:szCs w:val="14"/>
          <w:color w:val="auto"/>
        </w:rPr>
      </w:pPr>
    </w:p>
    <w:p>
      <w:pPr>
        <w:ind w:left="1560" w:hanging="443"/>
        <w:spacing w:after="0"/>
        <w:tabs>
          <w:tab w:leader="none" w:pos="15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Excludes PSUs and restricted stock units because those awards do not have exercise prices associated with them. Also excludes purchase rights under the ESPP for the reasons described in (2) above.</w:t>
      </w:r>
    </w:p>
    <w:p>
      <w:pPr>
        <w:spacing w:after="0" w:line="162" w:lineRule="exact"/>
        <w:rPr>
          <w:rFonts w:ascii="Arial" w:cs="Arial" w:eastAsia="Arial" w:hAnsi="Arial"/>
          <w:sz w:val="15"/>
          <w:szCs w:val="15"/>
          <w:color w:val="auto"/>
        </w:rPr>
      </w:pPr>
    </w:p>
    <w:p>
      <w:pPr>
        <w:jc w:val="both"/>
        <w:ind w:left="1560" w:hanging="443"/>
        <w:spacing w:after="0" w:line="238" w:lineRule="auto"/>
        <w:tabs>
          <w:tab w:leader="none" w:pos="15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shares remaining available include 807,579 shares under our ESPP and 19,955,123 shares under our 2014 Stock Incentive Plan, assuming payout of PSUs at maximum. Assuming payout of PSUs at target, the number of shares remaining available for issuance under our 2014 Stock Incentive Plan would be 21,032,007.</w:t>
      </w:r>
    </w:p>
    <w:p>
      <w:pPr>
        <w:spacing w:after="0" w:line="155"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50</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type w:val="continuous"/>
        </w:sectPr>
      </w:pPr>
    </w:p>
    <w:bookmarkStart w:id="53" w:name="page54"/>
    <w:bookmarkEnd w:id="5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ind w:right="1680"/>
        <w:spacing w:after="0" w:line="253" w:lineRule="auto"/>
        <w:rPr>
          <w:sz w:val="20"/>
          <w:szCs w:val="20"/>
          <w:color w:val="auto"/>
        </w:rPr>
      </w:pPr>
      <w:r>
        <w:rPr>
          <w:rFonts w:ascii="Arial" w:cs="Arial" w:eastAsia="Arial" w:hAnsi="Arial"/>
          <w:sz w:val="36"/>
          <w:szCs w:val="36"/>
          <w:color w:val="477157"/>
        </w:rPr>
        <w:t>RATIFICATION OF INDEPENDENT REGISTERED PUBLIC ACCOUNTING FIRM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77157"/>
        </w:rPr>
        <w:t>(Item 2 on The Proxy Card)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5"/>
          <w:szCs w:val="15"/>
          <w:color w:val="auto"/>
        </w:rPr>
        <w:t>Our Board of Directors, upon the recommendation of the Audit Committee, has ratified the selection of Ernst &amp; Young LLP to serve as our independent registered public accounting firm for fiscal year 2020, subject to ratification by our stockholders.</w:t>
      </w:r>
    </w:p>
    <w:p>
      <w:pPr>
        <w:spacing w:after="0" w:line="173"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Representatives of Ernst &amp; Young LLP will be at the annual meeting. They will be able to make a statement if they want, and will be available to answer any appropriate questions stockholders may have.</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Independent Registered Public Accounting Firm Fee Information</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5"/>
          <w:szCs w:val="15"/>
          <w:color w:val="auto"/>
        </w:rPr>
        <w:t>Fees for professional services provided by our independent registered public accounting firm in each of the last two fiscal years, in each of the following categories, were as follows:</w:t>
      </w:r>
    </w:p>
    <w:p>
      <w:pPr>
        <w:spacing w:after="0" w:line="194" w:lineRule="exact"/>
        <w:rPr>
          <w:sz w:val="20"/>
          <w:szCs w:val="20"/>
          <w:color w:val="auto"/>
        </w:rPr>
      </w:pPr>
    </w:p>
    <w:tbl>
      <w:tblPr>
        <w:tblLayout w:type="fixed"/>
        <w:tblInd w:w="1680" w:type="dxa"/>
        <w:tblCellMar>
          <w:top w:w="0" w:type="dxa"/>
          <w:left w:w="0" w:type="dxa"/>
          <w:bottom w:w="0" w:type="dxa"/>
          <w:right w:w="0" w:type="dxa"/>
        </w:tblCellMar>
      </w:tblPr>
      <w:tr>
        <w:trPr>
          <w:trHeight w:val="145"/>
        </w:trPr>
        <w:tc>
          <w:tcPr>
            <w:tcW w:w="4020" w:type="dxa"/>
            <w:vAlign w:val="bottom"/>
            <w:tcBorders>
              <w:bottom w:val="single" w:sz="8" w:color="477157"/>
            </w:tcBorders>
          </w:tcPr>
          <w:p>
            <w:pPr>
              <w:spacing w:after="0"/>
              <w:rPr>
                <w:sz w:val="12"/>
                <w:szCs w:val="12"/>
                <w:color w:val="auto"/>
              </w:rPr>
            </w:pPr>
          </w:p>
        </w:tc>
        <w:tc>
          <w:tcPr>
            <w:tcW w:w="3200" w:type="dxa"/>
            <w:vAlign w:val="bottom"/>
            <w:tcBorders>
              <w:bottom w:val="single" w:sz="8" w:color="477157"/>
            </w:tcBorders>
          </w:tcPr>
          <w:p>
            <w:pPr>
              <w:jc w:val="right"/>
              <w:ind w:right="71"/>
              <w:spacing w:after="0"/>
              <w:rPr>
                <w:sz w:val="20"/>
                <w:szCs w:val="20"/>
                <w:color w:val="auto"/>
              </w:rPr>
            </w:pPr>
            <w:r>
              <w:rPr>
                <w:rFonts w:ascii="Arial" w:cs="Arial" w:eastAsia="Arial" w:hAnsi="Arial"/>
                <w:sz w:val="12"/>
                <w:szCs w:val="12"/>
                <w:b w:val="1"/>
                <w:bCs w:val="1"/>
                <w:color w:val="477157"/>
              </w:rPr>
              <w:t>2019</w:t>
            </w:r>
          </w:p>
        </w:tc>
        <w:tc>
          <w:tcPr>
            <w:tcW w:w="480" w:type="dxa"/>
            <w:vAlign w:val="bottom"/>
            <w:tcBorders>
              <w:bottom w:val="single" w:sz="8" w:color="477157"/>
            </w:tcBorders>
          </w:tcPr>
          <w:p>
            <w:pPr>
              <w:jc w:val="right"/>
              <w:spacing w:after="0"/>
              <w:rPr>
                <w:sz w:val="20"/>
                <w:szCs w:val="20"/>
                <w:color w:val="auto"/>
              </w:rPr>
            </w:pPr>
            <w:r>
              <w:rPr>
                <w:rFonts w:ascii="Arial" w:cs="Arial" w:eastAsia="Arial" w:hAnsi="Arial"/>
                <w:sz w:val="12"/>
                <w:szCs w:val="12"/>
                <w:b w:val="1"/>
                <w:bCs w:val="1"/>
                <w:color w:val="477157"/>
              </w:rPr>
              <w:t>2018</w:t>
            </w:r>
          </w:p>
        </w:tc>
      </w:tr>
      <w:tr>
        <w:trPr>
          <w:trHeight w:val="145"/>
        </w:trPr>
        <w:tc>
          <w:tcPr>
            <w:tcW w:w="4020" w:type="dxa"/>
            <w:vAlign w:val="bottom"/>
          </w:tcPr>
          <w:p>
            <w:pPr>
              <w:spacing w:after="0"/>
              <w:rPr>
                <w:sz w:val="12"/>
                <w:szCs w:val="12"/>
                <w:color w:val="auto"/>
              </w:rPr>
            </w:pPr>
          </w:p>
        </w:tc>
        <w:tc>
          <w:tcPr>
            <w:tcW w:w="3680" w:type="dxa"/>
            <w:vAlign w:val="bottom"/>
            <w:gridSpan w:val="2"/>
          </w:tcPr>
          <w:p>
            <w:pPr>
              <w:jc w:val="right"/>
              <w:ind w:right="109"/>
              <w:spacing w:after="0"/>
              <w:rPr>
                <w:sz w:val="20"/>
                <w:szCs w:val="20"/>
                <w:color w:val="auto"/>
              </w:rPr>
            </w:pPr>
            <w:r>
              <w:rPr>
                <w:rFonts w:ascii="Arial" w:cs="Arial" w:eastAsia="Arial" w:hAnsi="Arial"/>
                <w:sz w:val="12"/>
                <w:szCs w:val="12"/>
                <w:b w:val="1"/>
                <w:bCs w:val="1"/>
                <w:color w:val="477157"/>
              </w:rPr>
              <w:t>(In millions)</w:t>
            </w:r>
          </w:p>
        </w:tc>
      </w:tr>
      <w:tr>
        <w:trPr>
          <w:trHeight w:val="184"/>
        </w:trPr>
        <w:tc>
          <w:tcPr>
            <w:tcW w:w="4020" w:type="dxa"/>
            <w:vAlign w:val="bottom"/>
            <w:tcBorders>
              <w:bottom w:val="single" w:sz="8" w:color="477157"/>
            </w:tcBorders>
          </w:tcPr>
          <w:p>
            <w:pPr>
              <w:spacing w:after="0"/>
              <w:rPr>
                <w:sz w:val="20"/>
                <w:szCs w:val="20"/>
                <w:color w:val="auto"/>
              </w:rPr>
            </w:pPr>
            <w:r>
              <w:rPr>
                <w:rFonts w:ascii="Arial" w:cs="Arial" w:eastAsia="Arial" w:hAnsi="Arial"/>
                <w:sz w:val="15"/>
                <w:szCs w:val="15"/>
                <w:b w:val="1"/>
                <w:bCs w:val="1"/>
                <w:color w:val="auto"/>
              </w:rPr>
              <w:t>Audit Fees</w:t>
            </w:r>
          </w:p>
        </w:tc>
        <w:tc>
          <w:tcPr>
            <w:tcW w:w="3200" w:type="dxa"/>
            <w:vAlign w:val="bottom"/>
            <w:tcBorders>
              <w:bottom w:val="single" w:sz="8" w:color="477157"/>
            </w:tcBorders>
          </w:tcPr>
          <w:p>
            <w:pPr>
              <w:jc w:val="right"/>
              <w:ind w:right="131"/>
              <w:spacing w:after="0"/>
              <w:rPr>
                <w:sz w:val="20"/>
                <w:szCs w:val="20"/>
                <w:color w:val="auto"/>
              </w:rPr>
            </w:pPr>
            <w:r>
              <w:rPr>
                <w:rFonts w:ascii="Arial" w:cs="Arial" w:eastAsia="Arial" w:hAnsi="Arial"/>
                <w:sz w:val="15"/>
                <w:szCs w:val="15"/>
                <w:b w:val="1"/>
                <w:bCs w:val="1"/>
                <w:color w:val="auto"/>
              </w:rPr>
              <w:t>$ 4.5</w:t>
            </w:r>
          </w:p>
        </w:tc>
        <w:tc>
          <w:tcPr>
            <w:tcW w:w="480" w:type="dxa"/>
            <w:vAlign w:val="bottom"/>
            <w:tcBorders>
              <w:bottom w:val="single" w:sz="8" w:color="477157"/>
            </w:tcBorders>
          </w:tcPr>
          <w:p>
            <w:pPr>
              <w:jc w:val="right"/>
              <w:spacing w:after="0"/>
              <w:rPr>
                <w:sz w:val="20"/>
                <w:szCs w:val="20"/>
                <w:color w:val="auto"/>
              </w:rPr>
            </w:pPr>
            <w:r>
              <w:rPr>
                <w:rFonts w:ascii="Arial" w:cs="Arial" w:eastAsia="Arial" w:hAnsi="Arial"/>
                <w:sz w:val="15"/>
                <w:szCs w:val="15"/>
                <w:b w:val="1"/>
                <w:bCs w:val="1"/>
                <w:color w:val="auto"/>
              </w:rPr>
              <w:t>$ 4.6</w:t>
            </w:r>
          </w:p>
        </w:tc>
      </w:tr>
      <w:tr>
        <w:trPr>
          <w:trHeight w:val="160"/>
        </w:trPr>
        <w:tc>
          <w:tcPr>
            <w:tcW w:w="40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Audit-Related Fees</w:t>
            </w:r>
          </w:p>
        </w:tc>
        <w:tc>
          <w:tcPr>
            <w:tcW w:w="32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b w:val="1"/>
                <w:bCs w:val="1"/>
                <w:color w:val="auto"/>
              </w:rPr>
              <w:t>0.1</w:t>
            </w:r>
          </w:p>
        </w:tc>
        <w:tc>
          <w:tcPr>
            <w:tcW w:w="4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b w:val="1"/>
                <w:bCs w:val="1"/>
                <w:color w:val="auto"/>
              </w:rPr>
              <w:t>0.1</w:t>
            </w:r>
          </w:p>
        </w:tc>
      </w:tr>
      <w:tr>
        <w:trPr>
          <w:trHeight w:val="160"/>
        </w:trPr>
        <w:tc>
          <w:tcPr>
            <w:tcW w:w="40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Tax Fees</w:t>
            </w:r>
          </w:p>
        </w:tc>
        <w:tc>
          <w:tcPr>
            <w:tcW w:w="32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b w:val="1"/>
                <w:bCs w:val="1"/>
                <w:color w:val="auto"/>
              </w:rPr>
              <w:t>—</w:t>
            </w:r>
          </w:p>
        </w:tc>
      </w:tr>
      <w:tr>
        <w:trPr>
          <w:trHeight w:val="160"/>
        </w:trPr>
        <w:tc>
          <w:tcPr>
            <w:tcW w:w="40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All Other Fees</w:t>
            </w:r>
          </w:p>
        </w:tc>
        <w:tc>
          <w:tcPr>
            <w:tcW w:w="32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b w:val="1"/>
                <w:bCs w:val="1"/>
                <w:color w:val="auto"/>
              </w:rPr>
              <w:t>—</w:t>
            </w:r>
          </w:p>
        </w:tc>
      </w:tr>
      <w:tr>
        <w:trPr>
          <w:trHeight w:val="160"/>
        </w:trPr>
        <w:tc>
          <w:tcPr>
            <w:tcW w:w="40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b w:val="1"/>
                <w:bCs w:val="1"/>
                <w:color w:val="auto"/>
              </w:rPr>
              <w:t>Total</w:t>
            </w:r>
          </w:p>
        </w:tc>
        <w:tc>
          <w:tcPr>
            <w:tcW w:w="3200" w:type="dxa"/>
            <w:vAlign w:val="bottom"/>
            <w:tcBorders>
              <w:bottom w:val="single" w:sz="8" w:color="477157"/>
            </w:tcBorders>
          </w:tcPr>
          <w:p>
            <w:pPr>
              <w:jc w:val="right"/>
              <w:ind w:right="131"/>
              <w:spacing w:after="0" w:line="161" w:lineRule="exact"/>
              <w:rPr>
                <w:sz w:val="20"/>
                <w:szCs w:val="20"/>
                <w:color w:val="auto"/>
              </w:rPr>
            </w:pPr>
            <w:r>
              <w:rPr>
                <w:rFonts w:ascii="Arial" w:cs="Arial" w:eastAsia="Arial" w:hAnsi="Arial"/>
                <w:sz w:val="15"/>
                <w:szCs w:val="15"/>
                <w:b w:val="1"/>
                <w:bCs w:val="1"/>
                <w:color w:val="auto"/>
              </w:rPr>
              <w:t>$ 4.6</w:t>
            </w:r>
          </w:p>
        </w:tc>
        <w:tc>
          <w:tcPr>
            <w:tcW w:w="48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b w:val="1"/>
                <w:bCs w:val="1"/>
                <w:color w:val="auto"/>
              </w:rPr>
              <w:t>$ 4.7</w:t>
            </w:r>
          </w:p>
        </w:tc>
      </w:tr>
    </w:tbl>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Audit fees includes fees for the annual audit, reviews of the Company's Quarterly Reports on Form 10-Q, work performed to support the Company's debt issuances, accounting consultations, and separate subsidiary audits required by statute or regulation. Audit-related fees principally include financial due diligence services relating to certain potential acquisitions.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reported to the full Audit Committee at the next regularly scheduled meeting. The Audit Committee is updated on the status of all services and related fees at every regular meeting. In 2019 and 2018, the Audit Committee or Audit Committee Chairman pre-approved all audit and audit-related services performed by Ernst &amp; Young. As set forth in the Audit Committee Report on page 9, the Audit Committee has considered whether the provision of these audit-related services is compatible with maintaining auditor independence and has determined that it is.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Vote Required for Approval</w:t>
      </w:r>
    </w:p>
    <w:p>
      <w:pPr>
        <w:spacing w:after="0" w:line="195"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Approval of this proposal requires the affirmative vote of the holders of a majority of the outstanding shares of Common Stock present at the meeting,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108585</wp:posOffset>
            </wp:positionV>
            <wp:extent cx="5008245" cy="4794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08245"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36"/>
          <w:szCs w:val="36"/>
          <w:color w:val="477157"/>
        </w:rPr>
        <w:t>ADVISORY VOTE ON EXECUTIVE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477157"/>
        </w:rPr>
        <w:t>(Item 3 on the Proxy Card)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Pursuant to Section 14A of the Exchange Act, stockholders are entitled to an advisory (non-binding)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We encourage stockholders to review the </w:t>
      </w:r>
      <w:r>
        <w:rPr>
          <w:rFonts w:ascii="Arial" w:cs="Arial" w:eastAsia="Arial" w:hAnsi="Arial"/>
          <w:sz w:val="15"/>
          <w:szCs w:val="15"/>
          <w:i w:val="1"/>
          <w:iCs w:val="1"/>
          <w:color w:val="auto"/>
        </w:rPr>
        <w:t>Compensation Discussion and Analysis</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Executive Compensation Tables</w:t>
      </w:r>
      <w:r>
        <w:rPr>
          <w:rFonts w:ascii="Arial" w:cs="Arial" w:eastAsia="Arial" w:hAnsi="Arial"/>
          <w:sz w:val="15"/>
          <w:szCs w:val="15"/>
          <w:color w:val="auto"/>
        </w:rPr>
        <w:t xml:space="preserve"> on pages 26 to 50 of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15"/>
          <w:szCs w:val="15"/>
          <w:i w:val="1"/>
          <w:iCs w:val="1"/>
          <w:color w:val="auto"/>
        </w:rPr>
        <w:t>Compensation Discussion and Analysis</w:t>
      </w:r>
      <w:r>
        <w:rPr>
          <w:rFonts w:ascii="Arial" w:cs="Arial" w:eastAsia="Arial" w:hAnsi="Arial"/>
          <w:sz w:val="15"/>
          <w:szCs w:val="15"/>
          <w:color w:val="auto"/>
        </w:rPr>
        <w:t>, further the objective of our executive compensation program and evidence our dedication to competitive and reasonable compensation practices that are in the best interests of stockholders:</w:t>
      </w:r>
    </w:p>
    <w:p>
      <w:pPr>
        <w:spacing w:after="0" w:line="173" w:lineRule="exact"/>
        <w:rPr>
          <w:sz w:val="20"/>
          <w:szCs w:val="20"/>
          <w:color w:val="auto"/>
        </w:rPr>
      </w:pPr>
    </w:p>
    <w:p>
      <w:pPr>
        <w:jc w:val="both"/>
        <w:ind w:left="900" w:hanging="459"/>
        <w:spacing w:after="0" w:line="238" w:lineRule="auto"/>
        <w:tabs>
          <w:tab w:leader="none" w:pos="900" w:val="left"/>
        </w:tabs>
        <w:numPr>
          <w:ilvl w:val="0"/>
          <w:numId w:val="54"/>
        </w:numPr>
        <w:rPr>
          <w:rFonts w:ascii="Arial" w:cs="Arial" w:eastAsia="Arial" w:hAnsi="Arial"/>
          <w:sz w:val="15"/>
          <w:szCs w:val="15"/>
          <w:color w:val="477157"/>
        </w:rPr>
      </w:pPr>
      <w:r>
        <w:rPr>
          <w:rFonts w:ascii="Arial" w:cs="Arial" w:eastAsia="Arial" w:hAnsi="Arial"/>
          <w:sz w:val="15"/>
          <w:szCs w:val="15"/>
          <w:color w:val="auto"/>
        </w:rPr>
        <w:t>over 80% of our named executive's target compensation, on average, is linked to Company performance, through annual cash incentive performance criteria and long-term equity-based incentive awards, and over 60% of our named executive's target compensation is tied to long-term equity awards, which aligns executives' interests with those of stockholders;</w:t>
      </w:r>
    </w:p>
    <w:p>
      <w:pPr>
        <w:spacing w:after="0" w:line="174" w:lineRule="exact"/>
        <w:rPr>
          <w:rFonts w:ascii="Arial" w:cs="Arial" w:eastAsia="Arial" w:hAnsi="Arial"/>
          <w:sz w:val="15"/>
          <w:szCs w:val="15"/>
          <w:color w:val="477157"/>
        </w:rPr>
      </w:pPr>
    </w:p>
    <w:p>
      <w:pPr>
        <w:ind w:left="900" w:hanging="459"/>
        <w:spacing w:after="0"/>
        <w:tabs>
          <w:tab w:leader="none" w:pos="900" w:val="left"/>
        </w:tabs>
        <w:numPr>
          <w:ilvl w:val="0"/>
          <w:numId w:val="54"/>
        </w:numPr>
        <w:rPr>
          <w:rFonts w:ascii="Arial" w:cs="Arial" w:eastAsia="Arial" w:hAnsi="Arial"/>
          <w:sz w:val="15"/>
          <w:szCs w:val="15"/>
          <w:color w:val="477157"/>
        </w:rPr>
      </w:pPr>
      <w:r>
        <w:rPr>
          <w:rFonts w:ascii="Arial" w:cs="Arial" w:eastAsia="Arial" w:hAnsi="Arial"/>
          <w:sz w:val="15"/>
          <w:szCs w:val="15"/>
          <w:color w:val="auto"/>
        </w:rPr>
        <w:t>our total direct compensation opportunities for named executive officers are targeted to fall in a range around the competitive median;</w:t>
      </w:r>
    </w:p>
    <w:p>
      <w:pPr>
        <w:spacing w:after="0" w:line="165" w:lineRule="exact"/>
        <w:rPr>
          <w:rFonts w:ascii="Arial" w:cs="Arial" w:eastAsia="Arial" w:hAnsi="Arial"/>
          <w:sz w:val="15"/>
          <w:szCs w:val="15"/>
          <w:color w:val="477157"/>
        </w:rPr>
      </w:pPr>
    </w:p>
    <w:p>
      <w:pPr>
        <w:ind w:left="900" w:hanging="459"/>
        <w:spacing w:after="0"/>
        <w:tabs>
          <w:tab w:leader="none" w:pos="900" w:val="left"/>
        </w:tabs>
        <w:numPr>
          <w:ilvl w:val="0"/>
          <w:numId w:val="54"/>
        </w:numPr>
        <w:rPr>
          <w:rFonts w:ascii="Arial" w:cs="Arial" w:eastAsia="Arial" w:hAnsi="Arial"/>
          <w:sz w:val="15"/>
          <w:szCs w:val="15"/>
          <w:color w:val="477157"/>
        </w:rPr>
      </w:pPr>
      <w:r>
        <w:rPr>
          <w:rFonts w:ascii="Arial" w:cs="Arial" w:eastAsia="Arial" w:hAnsi="Arial"/>
          <w:sz w:val="15"/>
          <w:szCs w:val="15"/>
          <w:color w:val="auto"/>
        </w:rPr>
        <w:t>performance-based awards include threshold, target and maximum payouts correlating to a range of performance outcomes and are based on a variety of indicators of performance, which limits risk-taking behavior;</w:t>
      </w:r>
    </w:p>
    <w:p>
      <w:pPr>
        <w:spacing w:after="0" w:line="162" w:lineRule="exact"/>
        <w:rPr>
          <w:rFonts w:ascii="Arial" w:cs="Arial" w:eastAsia="Arial" w:hAnsi="Arial"/>
          <w:sz w:val="15"/>
          <w:szCs w:val="15"/>
          <w:color w:val="477157"/>
        </w:rPr>
      </w:pPr>
    </w:p>
    <w:p>
      <w:pPr>
        <w:ind w:left="900" w:hanging="459"/>
        <w:spacing w:after="0"/>
        <w:tabs>
          <w:tab w:leader="none" w:pos="900" w:val="left"/>
        </w:tabs>
        <w:numPr>
          <w:ilvl w:val="0"/>
          <w:numId w:val="54"/>
        </w:numPr>
        <w:rPr>
          <w:rFonts w:ascii="Arial" w:cs="Arial" w:eastAsia="Arial" w:hAnsi="Arial"/>
          <w:sz w:val="15"/>
          <w:szCs w:val="15"/>
          <w:color w:val="477157"/>
        </w:rPr>
      </w:pPr>
      <w:r>
        <w:rPr>
          <w:rFonts w:ascii="Arial" w:cs="Arial" w:eastAsia="Arial" w:hAnsi="Arial"/>
          <w:sz w:val="15"/>
          <w:szCs w:val="15"/>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173" w:lineRule="exact"/>
        <w:rPr>
          <w:rFonts w:ascii="Arial" w:cs="Arial" w:eastAsia="Arial" w:hAnsi="Arial"/>
          <w:sz w:val="15"/>
          <w:szCs w:val="15"/>
          <w:color w:val="477157"/>
        </w:rPr>
      </w:pPr>
    </w:p>
    <w:p>
      <w:pPr>
        <w:ind w:left="900" w:right="20" w:hanging="459"/>
        <w:spacing w:after="0"/>
        <w:tabs>
          <w:tab w:leader="none" w:pos="900" w:val="left"/>
        </w:tabs>
        <w:numPr>
          <w:ilvl w:val="0"/>
          <w:numId w:val="54"/>
        </w:numPr>
        <w:rPr>
          <w:rFonts w:ascii="Arial" w:cs="Arial" w:eastAsia="Arial" w:hAnsi="Arial"/>
          <w:sz w:val="15"/>
          <w:szCs w:val="15"/>
          <w:color w:val="477157"/>
        </w:rPr>
      </w:pPr>
      <w:r>
        <w:rPr>
          <w:rFonts w:ascii="Arial" w:cs="Arial" w:eastAsia="Arial" w:hAnsi="Arial"/>
          <w:sz w:val="15"/>
          <w:szCs w:val="15"/>
          <w:color w:val="auto"/>
        </w:rPr>
        <w:t>all of our executive officers are subject to stock ownership guidelines, which we believe demonstrates a commitment to, and confidence in, the Company's long-term prospects;</w:t>
      </w:r>
    </w:p>
    <w:p>
      <w:pPr>
        <w:spacing w:after="0" w:line="162" w:lineRule="exact"/>
        <w:rPr>
          <w:rFonts w:ascii="Arial" w:cs="Arial" w:eastAsia="Arial" w:hAnsi="Arial"/>
          <w:sz w:val="15"/>
          <w:szCs w:val="15"/>
          <w:color w:val="477157"/>
        </w:rPr>
      </w:pPr>
    </w:p>
    <w:p>
      <w:pPr>
        <w:ind w:left="900" w:right="20" w:hanging="459"/>
        <w:spacing w:after="0"/>
        <w:tabs>
          <w:tab w:leader="none" w:pos="900" w:val="left"/>
        </w:tabs>
        <w:numPr>
          <w:ilvl w:val="0"/>
          <w:numId w:val="54"/>
        </w:numPr>
        <w:rPr>
          <w:rFonts w:ascii="Arial" w:cs="Arial" w:eastAsia="Arial" w:hAnsi="Arial"/>
          <w:sz w:val="15"/>
          <w:szCs w:val="15"/>
          <w:color w:val="477157"/>
        </w:rPr>
      </w:pPr>
      <w:r>
        <w:rPr>
          <w:rFonts w:ascii="Arial" w:cs="Arial" w:eastAsia="Arial" w:hAnsi="Arial"/>
          <w:sz w:val="15"/>
          <w:szCs w:val="15"/>
          <w:color w:val="auto"/>
        </w:rPr>
        <w:t>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162" w:lineRule="exact"/>
        <w:rPr>
          <w:rFonts w:ascii="Arial" w:cs="Arial" w:eastAsia="Arial" w:hAnsi="Arial"/>
          <w:sz w:val="15"/>
          <w:szCs w:val="15"/>
          <w:color w:val="477157"/>
        </w:rPr>
      </w:pPr>
    </w:p>
    <w:p>
      <w:pPr>
        <w:ind w:left="900" w:hanging="459"/>
        <w:spacing w:after="0"/>
        <w:tabs>
          <w:tab w:leader="none" w:pos="900" w:val="left"/>
        </w:tabs>
        <w:numPr>
          <w:ilvl w:val="0"/>
          <w:numId w:val="54"/>
        </w:numPr>
        <w:rPr>
          <w:rFonts w:ascii="Arial" w:cs="Arial" w:eastAsia="Arial" w:hAnsi="Arial"/>
          <w:sz w:val="15"/>
          <w:szCs w:val="15"/>
          <w:color w:val="477157"/>
        </w:rPr>
      </w:pPr>
      <w:r>
        <w:rPr>
          <w:rFonts w:ascii="Arial" w:cs="Arial" w:eastAsia="Arial" w:hAnsi="Arial"/>
          <w:sz w:val="15"/>
          <w:szCs w:val="15"/>
          <w:color w:val="auto"/>
        </w:rPr>
        <w:t>our Severance Limitation Policy limits the amount of benefits the Company may provide to its executive officers under severance agreements entered into after the date of such policy; and</w:t>
      </w:r>
    </w:p>
    <w:p>
      <w:pPr>
        <w:spacing w:after="0" w:line="173" w:lineRule="exact"/>
        <w:rPr>
          <w:rFonts w:ascii="Arial" w:cs="Arial" w:eastAsia="Arial" w:hAnsi="Arial"/>
          <w:sz w:val="15"/>
          <w:szCs w:val="15"/>
          <w:color w:val="477157"/>
        </w:rPr>
      </w:pPr>
    </w:p>
    <w:p>
      <w:pPr>
        <w:ind w:left="900" w:hanging="459"/>
        <w:spacing w:after="0"/>
        <w:tabs>
          <w:tab w:leader="none" w:pos="900" w:val="left"/>
        </w:tabs>
        <w:numPr>
          <w:ilvl w:val="0"/>
          <w:numId w:val="54"/>
        </w:numPr>
        <w:rPr>
          <w:rFonts w:ascii="Arial" w:cs="Arial" w:eastAsia="Arial" w:hAnsi="Arial"/>
          <w:sz w:val="15"/>
          <w:szCs w:val="15"/>
          <w:color w:val="477157"/>
        </w:rPr>
      </w:pPr>
      <w:r>
        <w:rPr>
          <w:rFonts w:ascii="Arial" w:cs="Arial" w:eastAsia="Arial" w:hAnsi="Arial"/>
          <w:sz w:val="15"/>
          <w:szCs w:val="15"/>
          <w:color w:val="auto"/>
        </w:rPr>
        <w:t>the Company has adopted a policy that prohibits it from entering into new agreements with executive officers that provide for certain death benefits or tax gross-up payments.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The Board strongly endorses the Company's executive compensation program and recommends that the stockholders vote in favor of the following resolution: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RESOLVED, that the compensation of the Company's named executive officers as described in this Proxy Statement under "Executive Compensation," including the </w:t>
      </w:r>
      <w:r>
        <w:rPr>
          <w:rFonts w:ascii="Arial" w:cs="Arial" w:eastAsia="Arial" w:hAnsi="Arial"/>
          <w:sz w:val="15"/>
          <w:szCs w:val="15"/>
          <w:i w:val="1"/>
          <w:iCs w:val="1"/>
          <w:color w:val="auto"/>
        </w:rPr>
        <w:t xml:space="preserve">Compensation Discussion and Analysis </w:t>
      </w:r>
      <w:r>
        <w:rPr>
          <w:rFonts w:ascii="Arial" w:cs="Arial" w:eastAsia="Arial" w:hAnsi="Arial"/>
          <w:sz w:val="15"/>
          <w:szCs w:val="15"/>
          <w:color w:val="auto"/>
        </w:rPr>
        <w:t>and the tabular and narrative disclosure contained in this Proxy Statement, is hereby APPROVED.</w:t>
      </w:r>
    </w:p>
    <w:p>
      <w:pPr>
        <w:spacing w:after="0" w:line="143"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ADVISORY VOTE ON 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Vote Required for Approval</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109220</wp:posOffset>
            </wp:positionV>
            <wp:extent cx="5008245" cy="4794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08245"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ind w:right="1700"/>
        <w:spacing w:after="0" w:line="253" w:lineRule="auto"/>
        <w:rPr>
          <w:sz w:val="20"/>
          <w:szCs w:val="20"/>
          <w:color w:val="auto"/>
        </w:rPr>
      </w:pPr>
      <w:r>
        <w:rPr>
          <w:rFonts w:ascii="Arial" w:cs="Arial" w:eastAsia="Arial" w:hAnsi="Arial"/>
          <w:sz w:val="36"/>
          <w:szCs w:val="36"/>
          <w:color w:val="477157"/>
        </w:rPr>
        <w:t>PROPOSAL TO AMEND AND RESTATE THE COMPANY'S EMPLOYEE STOCK PURCHASE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77157"/>
        </w:rPr>
        <w:t>(Item 4 on the Proxy Card)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Description of the Proposed Amendment and Restatement</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Our ESPP was approved by stockholders at our 1997 Annual Meeting. An aggregate of one million shares of Common Stock was originally authorized for issuance under the ESPP and stockholders have approved an additional 14.75 million shares for issuance since then. As of January 1, 2020, approximately 40,175 employees were eligible to participate in the ESPP and approximately 807,579 shares remained available for issuance. The total number of shares issued under the ESPP in each of 2019, 2018 and 2017 was approximately 537,000, 582,000 and 594,000, respectively. The Board of Directors has concluded it is in the best interest to amend and restate the ESPP to authorize an additional three million shares of Common Stock for issuance under the plan, subject to stockholder approval. If stockholder approval is not obtained, the amendment and restatement will be of no force or effect.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Key considerations applicable to the ESPP and the proposed amendment and restatement include the following. Please read "Operation of the ESPP" below for further detail.</w:t>
      </w:r>
    </w:p>
    <w:p>
      <w:pPr>
        <w:spacing w:after="0" w:line="188" w:lineRule="exact"/>
        <w:rPr>
          <w:sz w:val="20"/>
          <w:szCs w:val="20"/>
          <w:color w:val="auto"/>
        </w:rPr>
      </w:pPr>
    </w:p>
    <w:p>
      <w:pPr>
        <w:ind w:left="900" w:hanging="459"/>
        <w:spacing w:after="0"/>
        <w:tabs>
          <w:tab w:leader="none" w:pos="900" w:val="left"/>
        </w:tabs>
        <w:numPr>
          <w:ilvl w:val="0"/>
          <w:numId w:val="55"/>
        </w:numPr>
        <w:rPr>
          <w:rFonts w:ascii="Arial" w:cs="Arial" w:eastAsia="Arial" w:hAnsi="Arial"/>
          <w:sz w:val="15"/>
          <w:szCs w:val="15"/>
          <w:color w:val="477157"/>
        </w:rPr>
      </w:pPr>
      <w:r>
        <w:rPr>
          <w:rFonts w:ascii="Arial" w:cs="Arial" w:eastAsia="Arial" w:hAnsi="Arial"/>
          <w:sz w:val="15"/>
          <w:szCs w:val="15"/>
          <w:color w:val="auto"/>
        </w:rPr>
        <w:t>The price of shares of Common Stock purchased under the ESPP is 85% of the lower of the fair market value on the first day and the last day of the offering period.</w:t>
      </w:r>
    </w:p>
    <w:p>
      <w:pPr>
        <w:spacing w:after="0" w:line="173" w:lineRule="exact"/>
        <w:rPr>
          <w:rFonts w:ascii="Arial" w:cs="Arial" w:eastAsia="Arial" w:hAnsi="Arial"/>
          <w:sz w:val="15"/>
          <w:szCs w:val="15"/>
          <w:color w:val="477157"/>
        </w:rPr>
      </w:pPr>
    </w:p>
    <w:p>
      <w:pPr>
        <w:ind w:left="900" w:hanging="459"/>
        <w:spacing w:after="0"/>
        <w:tabs>
          <w:tab w:leader="none" w:pos="900" w:val="left"/>
        </w:tabs>
        <w:numPr>
          <w:ilvl w:val="0"/>
          <w:numId w:val="55"/>
        </w:numPr>
        <w:rPr>
          <w:rFonts w:ascii="Arial" w:cs="Arial" w:eastAsia="Arial" w:hAnsi="Arial"/>
          <w:sz w:val="15"/>
          <w:szCs w:val="15"/>
          <w:color w:val="477157"/>
        </w:rPr>
      </w:pPr>
      <w:r>
        <w:rPr>
          <w:rFonts w:ascii="Arial" w:cs="Arial" w:eastAsia="Arial" w:hAnsi="Arial"/>
          <w:sz w:val="15"/>
          <w:szCs w:val="15"/>
          <w:color w:val="auto"/>
        </w:rPr>
        <w:t>Each offering period is six months.</w:t>
      </w:r>
    </w:p>
    <w:p>
      <w:pPr>
        <w:spacing w:after="0" w:line="165" w:lineRule="exact"/>
        <w:rPr>
          <w:rFonts w:ascii="Arial" w:cs="Arial" w:eastAsia="Arial" w:hAnsi="Arial"/>
          <w:sz w:val="15"/>
          <w:szCs w:val="15"/>
          <w:color w:val="477157"/>
        </w:rPr>
      </w:pPr>
    </w:p>
    <w:p>
      <w:pPr>
        <w:ind w:left="900" w:right="20" w:hanging="459"/>
        <w:spacing w:after="0"/>
        <w:tabs>
          <w:tab w:leader="none" w:pos="900" w:val="left"/>
        </w:tabs>
        <w:numPr>
          <w:ilvl w:val="0"/>
          <w:numId w:val="55"/>
        </w:numPr>
        <w:rPr>
          <w:rFonts w:ascii="Arial" w:cs="Arial" w:eastAsia="Arial" w:hAnsi="Arial"/>
          <w:sz w:val="15"/>
          <w:szCs w:val="15"/>
          <w:color w:val="477157"/>
        </w:rPr>
      </w:pPr>
      <w:r>
        <w:rPr>
          <w:rFonts w:ascii="Arial" w:cs="Arial" w:eastAsia="Arial" w:hAnsi="Arial"/>
          <w:sz w:val="15"/>
          <w:szCs w:val="15"/>
          <w:color w:val="auto"/>
        </w:rPr>
        <w:t>The additional three million shares proposed to be authorized for issuance pursuant to the amendment and restatement comprise less than 1% of the Company's outstanding shares of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Description of the ESPP</w:t>
      </w:r>
    </w:p>
    <w:p>
      <w:pPr>
        <w:spacing w:after="0" w:line="195"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The following description of the ESPP is qualified in its entirety by, and should be read in conjunction with, the text of the plan, a copy of which, as proposed to be amended and restated, is attached hereto as Appendix A and incorporated herein by reference.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Purpose</w:t>
      </w:r>
    </w:p>
    <w:p>
      <w:pPr>
        <w:spacing w:after="0" w:line="195"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The purpose of the ESPP is to provide an incentive for present and future employees of the Company's participating subsidiaries to acquire or increase their proprietary interest in the Company through the purchase of shares of Common Stock at a discount.</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Securities Underlying Awards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closing price of the Company's Common Stock as of March 16, 2020 was $99.89 per share.</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Administration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ESPP is administered by the Administrative Committee of the Waste Management Employee Benefit Plans, a committee appointed by the Board of Directors. The Administrative Committee has the authority to interpret all provisions of the ESPP.</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Eligibility</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Any employee who customarily works for one of the Company's participating subsidiaries at least 20 hours per week and more than five months in a calendar year is eligible to participate in the ESPP after having been employed for at least 30 days prior to an enrollment date.</w:t>
      </w:r>
    </w:p>
    <w:p>
      <w:pPr>
        <w:spacing w:after="0" w:line="155"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PROPOSAL TO AMEND AND RESTATE THE COMPANY'S EMPLOYEE STOCK PURCHASE PLAN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Operation of the ESPP</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On the last day of each six-month period between January 1 and June 30 and July 1 and December 31 (each, an "Offering Period"), each employee who is enrolled in the ESPP will automatically purchase a number of shares of Common Stock determined by dividing such employee's payroll deductions accumulated in the ESPP during such Offering Period by the Offering Price. The Offering Price of each of the shares purchased in a given Offering Period shall be the lower of (a) 85% of the fair market value of a share of Common Stock on the first day of the Offering Period and (b) 85% of the fair market value of a share of Common Stock on the last day of the Offering Period. If an employee withdraws from participation during an Offering Period, the monies contributed to the Plan are refunded without interest.</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Eligible employees may elect to participate in the ESPP by taking such enrollment steps as are determined by the Administrative Committee to authorize payroll deductions from the employee's pay in an amount from 1% to 10% (in whole percentages) of the employee's gross base pay. No employee may (a) make payroll deductions during any calendar year in excess of $21,250 (or such other amount determined by the Administrative Committee); (b) purchase shares under the ESPP if such purchase would result in the employee owning five percent or more of the total combined voting power or value of the Company's outstanding capital stock; or (c) purchase shares under the ESPP with a fair market value in excess of $25,000 per calendar year.</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5"/>
          <w:szCs w:val="15"/>
          <w:color w:val="auto"/>
        </w:rPr>
        <w:t>All payroll deductions for the ESPP are placed in our general corporate account. No interest accrues on the payroll deductions. Employees may purchase Common Stock under the ESPP only through payroll deductions, and an employee participating in the ESPP may not make any additional payments into the account.</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Termination of Employment and Withdrawal</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5"/>
          <w:szCs w:val="15"/>
          <w:color w:val="auto"/>
        </w:rPr>
        <w:t>If an employee withdraws from participation in the ESPP or terminates employment for any reason, including retirement or death, during an Offering Period, the payroll deductions credited to the employee's account will be refunded promptly without interest.</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Amendment and Termination of ESPP</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The Board of Directors may amend the ESPP at any time; provided, however, the ESPP may not be amended in any way (a) that will cause rights issued thereunder to fail to meet the requirements for employee stock purchase plans as defined in Section 423 of the Internal Revenue Code of 1986, as amended (the "Code") or (b) that requires stockholder approval, unless such stockholder approval is obtained. In addition, other amendments not requiring stockholder approval pursuant to Section 423 of the Code may also be made by the Plan Sponsor Committee of Waste Management Employee Benefit Plans, a committee appointed by the Board of Directors.</w:t>
      </w:r>
    </w:p>
    <w:p>
      <w:pPr>
        <w:spacing w:after="0" w:line="175"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The ESPP will terminate on the earlier of (a) the date that participating employees become entitled to purchase an aggregate number of shares greater than the number of shares remaining available for purchase under the ESPP and (b) the date on which the ESPP is terminated by the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Federal Income Tax Consequences</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The following discussion is intended to be a general summary only of the federal income tax aspects of purchase rights granted under the ESPP and not of state or local taxes that may be applicable. Tax consequences may vary depending on the particular circumstances, and administrative and judicial interpretations of the application of the federal income tax laws are subject to change. Participants in the ESPP who are residents of or are employed in a country other than the United States may be subject to taxation in accordance with the tax laws of that particular country in addition to or in lieu of U.S. federal income taxes.</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ESPP is intended to be an "employee stock purchase plan" as defined in Section 423 of the Code. A participant recognizes no taxable income either as a result of commencing participation in the ESPP or purchasing Common Stock under the terms of the ESPP. If a participant disposes of shares purchased under the ESPP within either two years from the first day of the applicable Offering Period or within one year from the purchase date, known as disqualifying dispositions, the participant will realize ordinary income in the year of such disposition equal to the amount by which the fair market value of the shares on the purchase date exceeds the purchase price. The amount of the ordinary income will be added to the participant's basis in the shares, and any additional gain or resulting loss recognized on the disposition of the shares will be a capital gain or loss, which will be long-term if the participant's holding period is more than 12 months. If the participant disposes of shares purchased under the ESPP at least two years after the first day of the applicable Offering Period and at least one year after the purchase date, the participant will realize ordinary income in the year of disposition equal to the lesser of (a) the excess of the fair market value of the shares on the date of disposition over the purchase price or (b) 15% of the fair market value of the shares on the first day of the applicable Offering Period. The amount of any ordinary income will be added to the participant's basis in the shares, and any additional gain recognized upon the disposition after such basis adjustment will be a long-term capital gain. If the fair market value of the shares on the date of disposition is less than the purchase price, there will be no ordinary income and any loss recognized will be a</w:t>
      </w:r>
    </w:p>
    <w:p>
      <w:pPr>
        <w:spacing w:after="0" w:line="155" w:lineRule="exact"/>
        <w:rPr>
          <w:sz w:val="20"/>
          <w:szCs w:val="20"/>
          <w:color w:val="auto"/>
        </w:rPr>
      </w:pPr>
    </w:p>
    <w:p>
      <w:pPr>
        <w:jc w:val="right"/>
        <w:spacing w:after="0"/>
        <w:tabs>
          <w:tab w:leader="none" w:pos="360" w:val="left"/>
          <w:tab w:leader="none" w:pos="14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7160260" cy="19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-99060</wp:posOffset>
            </wp:positionV>
            <wp:extent cx="429260" cy="1143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715518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PROPOSAL TO AMEND AND RESTATE THE COMPANY'S EMPLOYEE STOCK PURCHASE PLAN</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5"/>
          <w:szCs w:val="15"/>
          <w:color w:val="auto"/>
        </w:rPr>
        <w:t>long-term capital loss. Any ordinary income recognized by a participant upon the disqualifying disposition of the shares generally should be deductible by the Company for federal income tax purposes, except to the extent such deduction is limited by applicable provisions of the Code or the regulations thereunder.</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477157"/>
        </w:rPr>
        <w:t>New Plan Benefits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value of the Common Stock purchased through the ESPP will vary based on the fair market value of our Common Stock on the first and last days of the Offering Period. Accordingly, the number of shares that may be purchased by the named executive officers, the executive officers as a group and all employees, including all current officers who are not executive officers, as a group in the future is not currently determinable. However, the table below shows, as to each of the indicated individuals and groups, the number of shares of Common Stock purchased by such individuals during the 2019 Offering Periods under the ESPP. The weighted average purchase price per share of Common Stock purchased during the 2019 Offering Periods under the ESPP was $85.09. Non-employee directors of the Company are not eligible to participate in the ESPP.</w:t>
      </w:r>
    </w:p>
    <w:p>
      <w:pPr>
        <w:spacing w:after="0" w:line="151" w:lineRule="exact"/>
        <w:rPr>
          <w:sz w:val="20"/>
          <w:szCs w:val="20"/>
          <w:color w:val="auto"/>
        </w:rPr>
      </w:pPr>
    </w:p>
    <w:tbl>
      <w:tblPr>
        <w:tblLayout w:type="fixed"/>
        <w:tblInd w:w="1680" w:type="dxa"/>
        <w:tblCellMar>
          <w:top w:w="0" w:type="dxa"/>
          <w:left w:w="0" w:type="dxa"/>
          <w:bottom w:w="0" w:type="dxa"/>
          <w:right w:w="0" w:type="dxa"/>
        </w:tblCellMar>
      </w:tblPr>
      <w:tr>
        <w:trPr>
          <w:trHeight w:val="145"/>
        </w:trPr>
        <w:tc>
          <w:tcPr>
            <w:tcW w:w="6120" w:type="dxa"/>
            <w:vAlign w:val="bottom"/>
            <w:tcBorders>
              <w:bottom w:val="single" w:sz="8" w:color="477157"/>
            </w:tcBorders>
          </w:tcPr>
          <w:p>
            <w:pPr>
              <w:spacing w:after="0"/>
              <w:rPr>
                <w:sz w:val="20"/>
                <w:szCs w:val="20"/>
                <w:color w:val="auto"/>
              </w:rPr>
            </w:pPr>
            <w:r>
              <w:rPr>
                <w:rFonts w:ascii="Arial" w:cs="Arial" w:eastAsia="Arial" w:hAnsi="Arial"/>
                <w:sz w:val="12"/>
                <w:szCs w:val="12"/>
                <w:b w:val="1"/>
                <w:bCs w:val="1"/>
                <w:color w:val="477157"/>
              </w:rPr>
              <w:t>Name/Group</w:t>
            </w:r>
          </w:p>
        </w:tc>
        <w:tc>
          <w:tcPr>
            <w:tcW w:w="1640" w:type="dxa"/>
            <w:vAlign w:val="bottom"/>
            <w:tcBorders>
              <w:bottom w:val="single" w:sz="8" w:color="477157"/>
            </w:tcBorders>
          </w:tcPr>
          <w:p>
            <w:pPr>
              <w:jc w:val="right"/>
              <w:spacing w:after="0"/>
              <w:rPr>
                <w:sz w:val="20"/>
                <w:szCs w:val="20"/>
                <w:color w:val="auto"/>
              </w:rPr>
            </w:pPr>
            <w:r>
              <w:rPr>
                <w:rFonts w:ascii="Arial" w:cs="Arial" w:eastAsia="Arial" w:hAnsi="Arial"/>
                <w:sz w:val="12"/>
                <w:szCs w:val="12"/>
                <w:b w:val="1"/>
                <w:bCs w:val="1"/>
                <w:color w:val="477157"/>
              </w:rPr>
              <w:t>Number of Shares</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James C. Fish, Jr.</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Devina A. Rankin</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John J. Morris, Jr.</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Steven R. Batchelor</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281</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Charles C. Boettcher</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261</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Tara J. Hemmer</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281</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Leslie K. Nagy</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70</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Tamla Oates-Forney</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Nikolaj H. Sjoqvist</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281</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Michael J. Watson</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265</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All executive officers, as a group</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1,439</w:t>
            </w:r>
          </w:p>
        </w:tc>
      </w:tr>
      <w:tr>
        <w:trPr>
          <w:trHeight w:val="160"/>
        </w:trPr>
        <w:tc>
          <w:tcPr>
            <w:tcW w:w="6120" w:type="dxa"/>
            <w:vAlign w:val="bottom"/>
            <w:tcBorders>
              <w:bottom w:val="single" w:sz="8" w:color="477157"/>
            </w:tcBorders>
          </w:tcPr>
          <w:p>
            <w:pPr>
              <w:spacing w:after="0" w:line="161" w:lineRule="exact"/>
              <w:rPr>
                <w:sz w:val="20"/>
                <w:szCs w:val="20"/>
                <w:color w:val="auto"/>
              </w:rPr>
            </w:pPr>
            <w:r>
              <w:rPr>
                <w:rFonts w:ascii="Arial" w:cs="Arial" w:eastAsia="Arial" w:hAnsi="Arial"/>
                <w:sz w:val="15"/>
                <w:szCs w:val="15"/>
                <w:color w:val="auto"/>
              </w:rPr>
              <w:t>All employees, including all current officers who are not executive officers, as a group</w:t>
            </w:r>
          </w:p>
        </w:tc>
        <w:tc>
          <w:tcPr>
            <w:tcW w:w="1640" w:type="dxa"/>
            <w:vAlign w:val="bottom"/>
            <w:tcBorders>
              <w:bottom w:val="single" w:sz="8" w:color="477157"/>
            </w:tcBorders>
          </w:tcPr>
          <w:p>
            <w:pPr>
              <w:jc w:val="right"/>
              <w:spacing w:after="0" w:line="161" w:lineRule="exact"/>
              <w:rPr>
                <w:sz w:val="20"/>
                <w:szCs w:val="20"/>
                <w:color w:val="auto"/>
              </w:rPr>
            </w:pPr>
            <w:r>
              <w:rPr>
                <w:rFonts w:ascii="Arial" w:cs="Arial" w:eastAsia="Arial" w:hAnsi="Arial"/>
                <w:sz w:val="15"/>
                <w:szCs w:val="15"/>
                <w:color w:val="auto"/>
              </w:rPr>
              <w:t>535,484</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Vote Required for Approval</w:t>
      </w:r>
    </w:p>
    <w:p>
      <w:pPr>
        <w:spacing w:after="0" w:line="195"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Approval of this proposal requires the affirmative vote of the holders of a majority of the outstanding shares of Common Stock present at the meeting,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108585</wp:posOffset>
            </wp:positionV>
            <wp:extent cx="5008245" cy="4794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08245"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36"/>
          <w:szCs w:val="36"/>
          <w:color w:val="477157"/>
        </w:rPr>
        <w:t>OTHER MATTERS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The Company does not intend to bring any other matters before the annual meeting, 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155"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56</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7160260" cy="196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42" w:right="319" w:bottom="1440" w:gutter="0" w:footer="0" w:header="0"/>
        </w:sectPr>
      </w:pPr>
    </w:p>
    <w:bookmarkStart w:id="59" w:name="page60"/>
    <w:bookmarkEnd w:id="59"/>
    <w:p>
      <w:pPr>
        <w:ind w:left="1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5" w:lineRule="exact"/>
        <w:rPr>
          <w:sz w:val="20"/>
          <w:szCs w:val="20"/>
          <w:color w:val="auto"/>
        </w:rPr>
      </w:pPr>
    </w:p>
    <w:p>
      <w:pPr>
        <w:ind w:left="10"/>
        <w:spacing w:after="0"/>
        <w:rPr>
          <w:sz w:val="20"/>
          <w:szCs w:val="20"/>
          <w:color w:val="auto"/>
        </w:rPr>
      </w:pPr>
      <w:r>
        <w:rPr>
          <w:rFonts w:ascii="Arial" w:cs="Arial" w:eastAsia="Arial" w:hAnsi="Arial"/>
          <w:sz w:val="36"/>
          <w:szCs w:val="36"/>
          <w:color w:val="477157"/>
        </w:rPr>
        <w:t>APPENDIX A</w:t>
      </w:r>
    </w:p>
    <w:p>
      <w:pPr>
        <w:spacing w:after="0" w:line="336"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477157"/>
        </w:rPr>
        <w:t>WASTE MANAGEMENT, INC.</w:t>
      </w:r>
    </w:p>
    <w:p>
      <w:pPr>
        <w:spacing w:after="0" w:line="11"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477157"/>
        </w:rPr>
        <w:t>EMPLOYEE STOCK PURCHASE PLAN</w:t>
      </w:r>
    </w:p>
    <w:p>
      <w:pPr>
        <w:jc w:val="center"/>
        <w:ind w:right="-9"/>
        <w:spacing w:after="0"/>
        <w:rPr>
          <w:sz w:val="20"/>
          <w:szCs w:val="20"/>
          <w:color w:val="auto"/>
        </w:rPr>
      </w:pPr>
      <w:r>
        <w:rPr>
          <w:rFonts w:ascii="Arial" w:cs="Arial" w:eastAsia="Arial" w:hAnsi="Arial"/>
          <w:sz w:val="15"/>
          <w:szCs w:val="15"/>
          <w:b w:val="1"/>
          <w:bCs w:val="1"/>
          <w:color w:val="477157"/>
        </w:rPr>
        <w:t>(As Amended and Restated Effective May 12, 2020)</w:t>
      </w:r>
    </w:p>
    <w:p>
      <w:pPr>
        <w:spacing w:after="0" w:line="177"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Waste Management, Inc. Employee Stock Purchase Plan (the "Plan") has been established for the benefit of its eligible employees, and is hereby amended and restated, effective as of the date upon which shareholder approval is obtained pursuant to Section 17. The terms of the amended and restated Plan are set forth below.</w:t>
      </w:r>
    </w:p>
    <w:p>
      <w:pPr>
        <w:spacing w:after="0" w:line="159" w:lineRule="exact"/>
        <w:rPr>
          <w:sz w:val="20"/>
          <w:szCs w:val="20"/>
          <w:color w:val="auto"/>
        </w:rPr>
      </w:pPr>
    </w:p>
    <w:p>
      <w:pPr>
        <w:ind w:left="330" w:hanging="330"/>
        <w:spacing w:after="0"/>
        <w:tabs>
          <w:tab w:leader="none" w:pos="330" w:val="left"/>
        </w:tabs>
        <w:numPr>
          <w:ilvl w:val="0"/>
          <w:numId w:val="56"/>
        </w:numPr>
        <w:rPr>
          <w:rFonts w:ascii="Arial" w:cs="Arial" w:eastAsia="Arial" w:hAnsi="Arial"/>
          <w:sz w:val="15"/>
          <w:szCs w:val="15"/>
          <w:color w:val="auto"/>
        </w:rPr>
      </w:pPr>
      <w:r>
        <w:rPr>
          <w:rFonts w:ascii="Arial" w:cs="Arial" w:eastAsia="Arial" w:hAnsi="Arial"/>
          <w:sz w:val="15"/>
          <w:szCs w:val="15"/>
          <w:i w:val="1"/>
          <w:iCs w:val="1"/>
          <w:u w:val="single" w:color="auto"/>
          <w:color w:val="auto"/>
        </w:rPr>
        <w:t>Definitions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left="310"/>
        <w:spacing w:after="0"/>
        <w:rPr>
          <w:rFonts w:ascii="Arial" w:cs="Arial" w:eastAsia="Arial" w:hAnsi="Arial"/>
          <w:sz w:val="15"/>
          <w:szCs w:val="15"/>
          <w:color w:val="auto"/>
        </w:rPr>
      </w:pPr>
      <w:r>
        <w:rPr>
          <w:rFonts w:ascii="Arial" w:cs="Arial" w:eastAsia="Arial" w:hAnsi="Arial"/>
          <w:sz w:val="15"/>
          <w:szCs w:val="15"/>
          <w:color w:val="auto"/>
        </w:rPr>
        <w:t>As used in the Plan the following terms shall have the meanings set forth below:</w:t>
      </w:r>
    </w:p>
    <w:p>
      <w:pPr>
        <w:spacing w:after="0" w:line="176" w:lineRule="exact"/>
        <w:rPr>
          <w:rFonts w:ascii="Arial" w:cs="Arial" w:eastAsia="Arial" w:hAnsi="Arial"/>
          <w:sz w:val="15"/>
          <w:szCs w:val="15"/>
          <w:color w:val="auto"/>
        </w:rPr>
      </w:pPr>
    </w:p>
    <w:p>
      <w:pPr>
        <w:ind w:left="670" w:hanging="344"/>
        <w:spacing w:after="0"/>
        <w:tabs>
          <w:tab w:leader="none" w:pos="670" w:val="left"/>
        </w:tabs>
        <w:numPr>
          <w:ilvl w:val="1"/>
          <w:numId w:val="56"/>
        </w:numPr>
        <w:rPr>
          <w:rFonts w:ascii="Arial" w:cs="Arial" w:eastAsia="Arial" w:hAnsi="Arial"/>
          <w:sz w:val="15"/>
          <w:szCs w:val="15"/>
          <w:color w:val="auto"/>
        </w:rPr>
      </w:pPr>
      <w:r>
        <w:rPr>
          <w:rFonts w:ascii="Arial" w:cs="Arial" w:eastAsia="Arial" w:hAnsi="Arial"/>
          <w:sz w:val="15"/>
          <w:szCs w:val="15"/>
          <w:color w:val="auto"/>
        </w:rPr>
        <w:t>"Board" means the Board of Directors of the Company.</w:t>
      </w:r>
    </w:p>
    <w:p>
      <w:pPr>
        <w:spacing w:after="0" w:line="176" w:lineRule="exact"/>
        <w:rPr>
          <w:rFonts w:ascii="Arial" w:cs="Arial" w:eastAsia="Arial" w:hAnsi="Arial"/>
          <w:sz w:val="15"/>
          <w:szCs w:val="15"/>
          <w:color w:val="auto"/>
        </w:rPr>
      </w:pPr>
    </w:p>
    <w:p>
      <w:pPr>
        <w:ind w:left="670" w:hanging="344"/>
        <w:spacing w:after="0"/>
        <w:tabs>
          <w:tab w:leader="none" w:pos="670" w:val="left"/>
        </w:tabs>
        <w:numPr>
          <w:ilvl w:val="1"/>
          <w:numId w:val="56"/>
        </w:numPr>
        <w:rPr>
          <w:rFonts w:ascii="Arial" w:cs="Arial" w:eastAsia="Arial" w:hAnsi="Arial"/>
          <w:sz w:val="15"/>
          <w:szCs w:val="15"/>
          <w:color w:val="auto"/>
        </w:rPr>
      </w:pPr>
      <w:r>
        <w:rPr>
          <w:rFonts w:ascii="Arial" w:cs="Arial" w:eastAsia="Arial" w:hAnsi="Arial"/>
          <w:sz w:val="15"/>
          <w:szCs w:val="15"/>
          <w:color w:val="auto"/>
        </w:rPr>
        <w:t>"Code" means the Internal Revenue Code of 1986, as amended, and the regulations issued thereunder.</w:t>
      </w:r>
    </w:p>
    <w:p>
      <w:pPr>
        <w:spacing w:after="0" w:line="176" w:lineRule="exact"/>
        <w:rPr>
          <w:rFonts w:ascii="Arial" w:cs="Arial" w:eastAsia="Arial" w:hAnsi="Arial"/>
          <w:sz w:val="15"/>
          <w:szCs w:val="15"/>
          <w:color w:val="auto"/>
        </w:rPr>
      </w:pPr>
    </w:p>
    <w:p>
      <w:pPr>
        <w:ind w:left="10" w:firstLine="346"/>
        <w:spacing w:after="0"/>
        <w:tabs>
          <w:tab w:leader="none" w:pos="714" w:val="left"/>
        </w:tabs>
        <w:numPr>
          <w:ilvl w:val="2"/>
          <w:numId w:val="56"/>
        </w:numPr>
        <w:rPr>
          <w:rFonts w:ascii="Arial" w:cs="Arial" w:eastAsia="Arial" w:hAnsi="Arial"/>
          <w:sz w:val="15"/>
          <w:szCs w:val="15"/>
          <w:color w:val="auto"/>
        </w:rPr>
      </w:pPr>
      <w:r>
        <w:rPr>
          <w:rFonts w:ascii="Arial" w:cs="Arial" w:eastAsia="Arial" w:hAnsi="Arial"/>
          <w:sz w:val="15"/>
          <w:szCs w:val="15"/>
          <w:color w:val="auto"/>
        </w:rPr>
        <w:t>"Committee" means the Administrative Committee of the Waste Management Employee Benefit Plans appointed by the Board to administer the Plan as described in Section 4 below, or such other committee appointed by the Board.</w:t>
      </w:r>
    </w:p>
    <w:p>
      <w:pPr>
        <w:spacing w:after="0" w:line="173" w:lineRule="exact"/>
        <w:rPr>
          <w:sz w:val="20"/>
          <w:szCs w:val="20"/>
          <w:color w:val="auto"/>
        </w:rPr>
      </w:pPr>
    </w:p>
    <w:p>
      <w:pPr>
        <w:ind w:left="670" w:hanging="344"/>
        <w:spacing w:after="0"/>
        <w:tabs>
          <w:tab w:leader="none" w:pos="67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"Common Stock" means the common stock, $0.01 par value, of the Company.</w:t>
      </w:r>
    </w:p>
    <w:p>
      <w:pPr>
        <w:spacing w:after="0" w:line="176" w:lineRule="exact"/>
        <w:rPr>
          <w:rFonts w:ascii="Arial" w:cs="Arial" w:eastAsia="Arial" w:hAnsi="Arial"/>
          <w:sz w:val="15"/>
          <w:szCs w:val="15"/>
          <w:color w:val="auto"/>
        </w:rPr>
      </w:pPr>
    </w:p>
    <w:p>
      <w:pPr>
        <w:ind w:left="670" w:hanging="344"/>
        <w:spacing w:after="0"/>
        <w:tabs>
          <w:tab w:leader="none" w:pos="67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"Company" means Waste Management, Inc., a Delaware corporation, or any successor corporation by merger, reorganization, consolidation or otherwise.</w:t>
      </w:r>
    </w:p>
    <w:p>
      <w:pPr>
        <w:spacing w:after="0" w:line="176" w:lineRule="exact"/>
        <w:rPr>
          <w:rFonts w:ascii="Arial" w:cs="Arial" w:eastAsia="Arial" w:hAnsi="Arial"/>
          <w:sz w:val="15"/>
          <w:szCs w:val="15"/>
          <w:color w:val="auto"/>
        </w:rPr>
      </w:pPr>
    </w:p>
    <w:p>
      <w:pPr>
        <w:jc w:val="both"/>
        <w:ind w:left="10" w:firstLine="436"/>
        <w:spacing w:after="0" w:line="238" w:lineRule="auto"/>
        <w:tabs>
          <w:tab w:leader="none" w:pos="817" w:val="left"/>
        </w:tabs>
        <w:numPr>
          <w:ilvl w:val="3"/>
          <w:numId w:val="57"/>
        </w:numPr>
        <w:rPr>
          <w:rFonts w:ascii="Arial" w:cs="Arial" w:eastAsia="Arial" w:hAnsi="Arial"/>
          <w:sz w:val="15"/>
          <w:szCs w:val="15"/>
          <w:color w:val="auto"/>
        </w:rPr>
      </w:pPr>
      <w:r>
        <w:rPr>
          <w:rFonts w:ascii="Arial" w:cs="Arial" w:eastAsia="Arial" w:hAnsi="Arial"/>
          <w:sz w:val="15"/>
          <w:szCs w:val="15"/>
          <w:color w:val="auto"/>
        </w:rPr>
        <w:t>"Continuous Employment" means the absence of any interruption or termination of service as an Eligible Employee with the Company 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174" w:lineRule="exact"/>
        <w:rPr>
          <w:rFonts w:ascii="Arial" w:cs="Arial" w:eastAsia="Arial" w:hAnsi="Arial"/>
          <w:sz w:val="15"/>
          <w:szCs w:val="15"/>
          <w:color w:val="auto"/>
        </w:rPr>
      </w:pPr>
    </w:p>
    <w:p>
      <w:pPr>
        <w:jc w:val="both"/>
        <w:ind w:left="10" w:firstLine="348"/>
        <w:spacing w:after="0" w:line="237" w:lineRule="auto"/>
        <w:tabs>
          <w:tab w:leader="none" w:pos="725" w:val="left"/>
        </w:tabs>
        <w:numPr>
          <w:ilvl w:val="1"/>
          <w:numId w:val="57"/>
        </w:numPr>
        <w:rPr>
          <w:rFonts w:ascii="Arial" w:cs="Arial" w:eastAsia="Arial" w:hAnsi="Arial"/>
          <w:sz w:val="15"/>
          <w:szCs w:val="15"/>
          <w:color w:val="auto"/>
        </w:rPr>
      </w:pPr>
      <w:r>
        <w:rPr>
          <w:rFonts w:ascii="Arial" w:cs="Arial" w:eastAsia="Arial" w:hAnsi="Arial"/>
          <w:sz w:val="15"/>
          <w:szCs w:val="15"/>
          <w:color w:val="auto"/>
        </w:rPr>
        <w:t>"Eligible Compensation" means, with respect to each Participant for each pay period, the regular base earnings, commissions, overtime and, 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175" w:lineRule="exact"/>
        <w:rPr>
          <w:rFonts w:ascii="Arial" w:cs="Arial" w:eastAsia="Arial" w:hAnsi="Arial"/>
          <w:sz w:val="15"/>
          <w:szCs w:val="15"/>
          <w:color w:val="auto"/>
        </w:rPr>
      </w:pPr>
    </w:p>
    <w:p>
      <w:pPr>
        <w:jc w:val="both"/>
        <w:ind w:left="10" w:firstLine="367"/>
        <w:spacing w:after="0" w:line="237" w:lineRule="auto"/>
        <w:tabs>
          <w:tab w:leader="none" w:pos="754" w:val="left"/>
        </w:tabs>
        <w:numPr>
          <w:ilvl w:val="2"/>
          <w:numId w:val="57"/>
        </w:numPr>
        <w:rPr>
          <w:rFonts w:ascii="Arial" w:cs="Arial" w:eastAsia="Arial" w:hAnsi="Arial"/>
          <w:sz w:val="15"/>
          <w:szCs w:val="15"/>
          <w:color w:val="auto"/>
        </w:rPr>
      </w:pPr>
      <w:r>
        <w:rPr>
          <w:rFonts w:ascii="Arial" w:cs="Arial" w:eastAsia="Arial" w:hAnsi="Arial"/>
          <w:sz w:val="15"/>
          <w:szCs w:val="15"/>
          <w:color w:val="auto"/>
        </w:rPr>
        <w:t>"Eligible Employee" means an employee of the Company or one of its Participating Subsidiaries who is customarily employed for at least 20 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175" w:lineRule="exact"/>
        <w:rPr>
          <w:sz w:val="20"/>
          <w:szCs w:val="20"/>
          <w:color w:val="auto"/>
        </w:rPr>
      </w:pPr>
    </w:p>
    <w:p>
      <w:pPr>
        <w:ind w:left="610" w:hanging="284"/>
        <w:spacing w:after="0"/>
        <w:tabs>
          <w:tab w:leader="none" w:pos="610" w:val="left"/>
        </w:tabs>
        <w:numPr>
          <w:ilvl w:val="0"/>
          <w:numId w:val="58"/>
        </w:numPr>
        <w:rPr>
          <w:rFonts w:ascii="Arial" w:cs="Arial" w:eastAsia="Arial" w:hAnsi="Arial"/>
          <w:sz w:val="15"/>
          <w:szCs w:val="15"/>
          <w:color w:val="auto"/>
        </w:rPr>
      </w:pPr>
      <w:r>
        <w:rPr>
          <w:rFonts w:ascii="Arial" w:cs="Arial" w:eastAsia="Arial" w:hAnsi="Arial"/>
          <w:sz w:val="15"/>
          <w:szCs w:val="15"/>
          <w:color w:val="auto"/>
        </w:rPr>
        <w:t>"Enrollment Date" means the first business day of each Offering Period.</w:t>
      </w:r>
    </w:p>
    <w:p>
      <w:pPr>
        <w:spacing w:after="0" w:line="176" w:lineRule="exact"/>
        <w:rPr>
          <w:rFonts w:ascii="Arial" w:cs="Arial" w:eastAsia="Arial" w:hAnsi="Arial"/>
          <w:sz w:val="15"/>
          <w:szCs w:val="15"/>
          <w:color w:val="auto"/>
        </w:rPr>
      </w:pPr>
    </w:p>
    <w:p>
      <w:pPr>
        <w:ind w:left="610" w:hanging="284"/>
        <w:spacing w:after="0"/>
        <w:tabs>
          <w:tab w:leader="none" w:pos="610" w:val="left"/>
        </w:tabs>
        <w:numPr>
          <w:ilvl w:val="0"/>
          <w:numId w:val="58"/>
        </w:numPr>
        <w:rPr>
          <w:rFonts w:ascii="Arial" w:cs="Arial" w:eastAsia="Arial" w:hAnsi="Arial"/>
          <w:sz w:val="15"/>
          <w:szCs w:val="15"/>
          <w:color w:val="auto"/>
        </w:rPr>
      </w:pPr>
      <w:r>
        <w:rPr>
          <w:rFonts w:ascii="Arial" w:cs="Arial" w:eastAsia="Arial" w:hAnsi="Arial"/>
          <w:sz w:val="15"/>
          <w:szCs w:val="15"/>
          <w:color w:val="auto"/>
        </w:rPr>
        <w:t>"Exercise Date" means the last business day of each Offering Period.</w:t>
      </w:r>
    </w:p>
    <w:p>
      <w:pPr>
        <w:spacing w:after="0" w:line="176" w:lineRule="exact"/>
        <w:rPr>
          <w:rFonts w:ascii="Arial" w:cs="Arial" w:eastAsia="Arial" w:hAnsi="Arial"/>
          <w:sz w:val="15"/>
          <w:szCs w:val="15"/>
          <w:color w:val="auto"/>
        </w:rPr>
      </w:pPr>
    </w:p>
    <w:p>
      <w:pPr>
        <w:jc w:val="both"/>
        <w:ind w:left="10" w:firstLine="354"/>
        <w:spacing w:after="0" w:line="238" w:lineRule="auto"/>
        <w:tabs>
          <w:tab w:leader="none" w:pos="727" w:val="left"/>
        </w:tabs>
        <w:numPr>
          <w:ilvl w:val="1"/>
          <w:numId w:val="58"/>
        </w:numPr>
        <w:rPr>
          <w:rFonts w:ascii="Arial" w:cs="Arial" w:eastAsia="Arial" w:hAnsi="Arial"/>
          <w:sz w:val="15"/>
          <w:szCs w:val="15"/>
          <w:color w:val="auto"/>
        </w:rPr>
      </w:pPr>
      <w:r>
        <w:rPr>
          <w:rFonts w:ascii="Arial" w:cs="Arial" w:eastAsia="Arial" w:hAnsi="Arial"/>
          <w:sz w:val="15"/>
          <w:szCs w:val="15"/>
          <w:color w:val="auto"/>
        </w:rPr>
        <w:t>"Exercise Price" means the price per share of Common Stock offered in a given Offering Period, which shall be the lower of: (i) 85% of the Fair Market Value of a share of the Common Stock on the Enrollment Date of such Offering Period, or (ii) 85% of the Fair Market Value of a share of the Common Stock on the Exercise Date of such Offering Period.</w:t>
      </w:r>
    </w:p>
    <w:p>
      <w:pPr>
        <w:spacing w:after="0" w:line="174" w:lineRule="exact"/>
        <w:rPr>
          <w:rFonts w:ascii="Arial" w:cs="Arial" w:eastAsia="Arial" w:hAnsi="Arial"/>
          <w:sz w:val="15"/>
          <w:szCs w:val="15"/>
          <w:color w:val="auto"/>
        </w:rPr>
      </w:pPr>
    </w:p>
    <w:p>
      <w:pPr>
        <w:jc w:val="both"/>
        <w:ind w:left="10" w:firstLine="347"/>
        <w:spacing w:after="0" w:line="237" w:lineRule="auto"/>
        <w:tabs>
          <w:tab w:leader="none" w:pos="676" w:val="left"/>
        </w:tabs>
        <w:numPr>
          <w:ilvl w:val="1"/>
          <w:numId w:val="58"/>
        </w:numPr>
        <w:rPr>
          <w:rFonts w:ascii="Arial" w:cs="Arial" w:eastAsia="Arial" w:hAnsi="Arial"/>
          <w:sz w:val="15"/>
          <w:szCs w:val="15"/>
          <w:color w:val="auto"/>
        </w:rPr>
      </w:pPr>
      <w:r>
        <w:rPr>
          <w:rFonts w:ascii="Arial" w:cs="Arial" w:eastAsia="Arial" w:hAnsi="Arial"/>
          <w:sz w:val="15"/>
          <w:szCs w:val="15"/>
          <w:color w:val="auto"/>
        </w:rPr>
        <w:t xml:space="preserve">"Fair Market Value" means, with respect to a share of Common Stock as of any Enrollment Date or Exercise Date, the closing price of such Common Stock on the New York Stock Exchange on such date,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156" w:lineRule="exact"/>
        <w:rPr>
          <w:sz w:val="20"/>
          <w:szCs w:val="20"/>
          <w:color w:val="auto"/>
        </w:rPr>
      </w:pPr>
    </w:p>
    <w:p>
      <w:pPr>
        <w:jc w:val="right"/>
        <w:spacing w:after="0"/>
        <w:tabs>
          <w:tab w:leader="none" w:pos="420" w:val="left"/>
          <w:tab w:leader="none" w:pos="20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160260" cy="196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-99060</wp:posOffset>
            </wp:positionV>
            <wp:extent cx="429260" cy="1143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70"/>
          </w:cols>
          <w:pgMar w:left="310" w:top="142" w:right="319" w:bottom="1440" w:gutter="0" w:footer="0" w:header="0"/>
        </w:sectPr>
      </w:pPr>
    </w:p>
    <w:bookmarkStart w:id="60" w:name="page61"/>
    <w:bookmarkEnd w:id="60"/>
    <w:p>
      <w:pPr>
        <w:ind w:left="1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5518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APPENDIX A</w:t>
      </w:r>
    </w:p>
    <w:p>
      <w:pPr>
        <w:spacing w:after="0" w:line="195" w:lineRule="exact"/>
        <w:rPr>
          <w:sz w:val="20"/>
          <w:szCs w:val="20"/>
          <w:color w:val="auto"/>
        </w:rPr>
      </w:pPr>
    </w:p>
    <w:p>
      <w:pPr>
        <w:jc w:val="both"/>
        <w:ind w:left="10" w:firstLine="318"/>
        <w:spacing w:after="0" w:line="238" w:lineRule="auto"/>
        <w:tabs>
          <w:tab w:leader="none" w:pos="722" w:val="left"/>
        </w:tabs>
        <w:numPr>
          <w:ilvl w:val="1"/>
          <w:numId w:val="59"/>
        </w:numPr>
        <w:rPr>
          <w:rFonts w:ascii="Arial" w:cs="Arial" w:eastAsia="Arial" w:hAnsi="Arial"/>
          <w:sz w:val="15"/>
          <w:szCs w:val="15"/>
          <w:color w:val="auto"/>
        </w:rPr>
      </w:pPr>
      <w:r>
        <w:rPr>
          <w:rFonts w:ascii="Arial" w:cs="Arial" w:eastAsia="Arial" w:hAnsi="Arial"/>
          <w:sz w:val="15"/>
          <w:szCs w:val="15"/>
          <w:color w:val="auto"/>
        </w:rPr>
        <w:t>"Involuntary Military Leave of Absence" means an employee's leave from employment pursuant to the Company's Paid Leave of Absence Policy to perform military service obligations in the United States Air Force, Army, Navy, Marines, Coast Guard, Public Health Service Corps or National Guard, and the employee is either drafted or a member of the Reserves called to active duty.</w:t>
      </w:r>
    </w:p>
    <w:p>
      <w:pPr>
        <w:spacing w:after="0" w:line="174" w:lineRule="exact"/>
        <w:rPr>
          <w:rFonts w:ascii="Arial" w:cs="Arial" w:eastAsia="Arial" w:hAnsi="Arial"/>
          <w:sz w:val="15"/>
          <w:szCs w:val="15"/>
          <w:color w:val="auto"/>
        </w:rPr>
      </w:pPr>
    </w:p>
    <w:p>
      <w:pPr>
        <w:jc w:val="both"/>
        <w:ind w:left="10" w:firstLine="447"/>
        <w:spacing w:after="0" w:line="237" w:lineRule="auto"/>
        <w:tabs>
          <w:tab w:leader="none" w:pos="874" w:val="left"/>
        </w:tabs>
        <w:numPr>
          <w:ilvl w:val="5"/>
          <w:numId w:val="59"/>
        </w:numPr>
        <w:rPr>
          <w:rFonts w:ascii="Arial" w:cs="Arial" w:eastAsia="Arial" w:hAnsi="Arial"/>
          <w:sz w:val="15"/>
          <w:szCs w:val="15"/>
          <w:color w:val="auto"/>
        </w:rPr>
      </w:pPr>
      <w:r>
        <w:rPr>
          <w:rFonts w:ascii="Arial" w:cs="Arial" w:eastAsia="Arial" w:hAnsi="Arial"/>
          <w:sz w:val="15"/>
          <w:szCs w:val="15"/>
          <w:color w:val="auto"/>
        </w:rPr>
        <w:t>"Offering Period" means each six-month period that begins and ends on the business days that coincide with January 1 through June 30, or 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171" w:lineRule="exact"/>
        <w:rPr>
          <w:rFonts w:ascii="Arial" w:cs="Arial" w:eastAsia="Arial" w:hAnsi="Arial"/>
          <w:sz w:val="15"/>
          <w:szCs w:val="15"/>
          <w:color w:val="auto"/>
        </w:rPr>
      </w:pPr>
    </w:p>
    <w:p>
      <w:pPr>
        <w:ind w:left="810" w:hanging="394"/>
        <w:spacing w:after="0"/>
        <w:tabs>
          <w:tab w:leader="none" w:pos="810" w:val="left"/>
        </w:tabs>
        <w:numPr>
          <w:ilvl w:val="4"/>
          <w:numId w:val="59"/>
        </w:numPr>
        <w:rPr>
          <w:rFonts w:ascii="Arial" w:cs="Arial" w:eastAsia="Arial" w:hAnsi="Arial"/>
          <w:sz w:val="15"/>
          <w:szCs w:val="15"/>
          <w:color w:val="auto"/>
        </w:rPr>
      </w:pPr>
      <w:r>
        <w:rPr>
          <w:rFonts w:ascii="Arial" w:cs="Arial" w:eastAsia="Arial" w:hAnsi="Arial"/>
          <w:sz w:val="15"/>
          <w:szCs w:val="15"/>
          <w:color w:val="auto"/>
        </w:rPr>
        <w:t>"Participant" means an Eligible Employee who has elected to participate in the Plan by filing an enrollment agreement with the Company as provided below in</w:t>
      </w:r>
    </w:p>
    <w:p>
      <w:pPr>
        <w:ind w:left="10"/>
        <w:spacing w:after="0"/>
        <w:rPr>
          <w:rFonts w:ascii="Arial" w:cs="Arial" w:eastAsia="Arial" w:hAnsi="Arial"/>
          <w:sz w:val="15"/>
          <w:szCs w:val="15"/>
          <w:color w:val="auto"/>
        </w:rPr>
      </w:pPr>
      <w:r>
        <w:rPr>
          <w:rFonts w:ascii="Arial" w:cs="Arial" w:eastAsia="Arial" w:hAnsi="Arial"/>
          <w:sz w:val="15"/>
          <w:szCs w:val="15"/>
          <w:color w:val="auto"/>
        </w:rPr>
        <w:t>Section 6.</w:t>
      </w:r>
    </w:p>
    <w:p>
      <w:pPr>
        <w:spacing w:after="0" w:line="176" w:lineRule="exact"/>
        <w:rPr>
          <w:rFonts w:ascii="Arial" w:cs="Arial" w:eastAsia="Arial" w:hAnsi="Arial"/>
          <w:sz w:val="15"/>
          <w:szCs w:val="15"/>
          <w:color w:val="auto"/>
        </w:rPr>
      </w:pPr>
    </w:p>
    <w:p>
      <w:pPr>
        <w:ind w:left="670" w:hanging="344"/>
        <w:spacing w:after="0"/>
        <w:tabs>
          <w:tab w:leader="none" w:pos="670" w:val="left"/>
        </w:tabs>
        <w:numPr>
          <w:ilvl w:val="2"/>
          <w:numId w:val="59"/>
        </w:numPr>
        <w:rPr>
          <w:rFonts w:ascii="Arial" w:cs="Arial" w:eastAsia="Arial" w:hAnsi="Arial"/>
          <w:sz w:val="15"/>
          <w:szCs w:val="15"/>
          <w:color w:val="auto"/>
        </w:rPr>
      </w:pPr>
      <w:r>
        <w:rPr>
          <w:rFonts w:ascii="Arial" w:cs="Arial" w:eastAsia="Arial" w:hAnsi="Arial"/>
          <w:sz w:val="15"/>
          <w:szCs w:val="15"/>
          <w:color w:val="auto"/>
        </w:rPr>
        <w:t>"Participating Subsidiary" means any Subsidiary not excluded from participation in the Plan by the Committee, in its sole discretion.</w:t>
      </w:r>
    </w:p>
    <w:p>
      <w:pPr>
        <w:spacing w:after="0" w:line="176" w:lineRule="exact"/>
        <w:rPr>
          <w:rFonts w:ascii="Arial" w:cs="Arial" w:eastAsia="Arial" w:hAnsi="Arial"/>
          <w:sz w:val="15"/>
          <w:szCs w:val="15"/>
          <w:color w:val="auto"/>
        </w:rPr>
      </w:pPr>
    </w:p>
    <w:p>
      <w:pPr>
        <w:ind w:left="10" w:right="20" w:firstLine="369"/>
        <w:spacing w:after="0" w:line="275" w:lineRule="auto"/>
        <w:tabs>
          <w:tab w:leader="none" w:pos="758" w:val="left"/>
        </w:tabs>
        <w:numPr>
          <w:ilvl w:val="3"/>
          <w:numId w:val="59"/>
        </w:numPr>
        <w:rPr>
          <w:rFonts w:ascii="Arial" w:cs="Arial" w:eastAsia="Arial" w:hAnsi="Arial"/>
          <w:sz w:val="14"/>
          <w:szCs w:val="14"/>
          <w:color w:val="auto"/>
        </w:rPr>
      </w:pPr>
      <w:r>
        <w:rPr>
          <w:rFonts w:ascii="Arial" w:cs="Arial" w:eastAsia="Arial" w:hAnsi="Arial"/>
          <w:sz w:val="14"/>
          <w:szCs w:val="14"/>
          <w:color w:val="auto"/>
        </w:rPr>
        <w:t>"Subsidiary" means any domestic or foreign corporation of which the Company owns, directly or indirectly, 50% or more of the total combined voting power of all classes of stock or other equity interests and that otherwise qualifies as a "subsidiary corporation" within the meaning of Section 424(f) of the Code or any successor thereto.</w:t>
      </w:r>
    </w:p>
    <w:p>
      <w:pPr>
        <w:spacing w:after="0" w:line="135" w:lineRule="exact"/>
        <w:rPr>
          <w:rFonts w:ascii="Arial" w:cs="Arial" w:eastAsia="Arial" w:hAnsi="Arial"/>
          <w:sz w:val="14"/>
          <w:szCs w:val="14"/>
          <w:color w:val="auto"/>
        </w:rPr>
      </w:pPr>
    </w:p>
    <w:p>
      <w:pPr>
        <w:ind w:left="330" w:hanging="330"/>
        <w:spacing w:after="0"/>
        <w:tabs>
          <w:tab w:leader="none" w:pos="330" w:val="left"/>
        </w:tabs>
        <w:numPr>
          <w:ilvl w:val="0"/>
          <w:numId w:val="60"/>
        </w:numPr>
        <w:rPr>
          <w:rFonts w:ascii="Arial" w:cs="Arial" w:eastAsia="Arial" w:hAnsi="Arial"/>
          <w:sz w:val="15"/>
          <w:szCs w:val="15"/>
          <w:color w:val="auto"/>
        </w:rPr>
      </w:pPr>
      <w:r>
        <w:rPr>
          <w:rFonts w:ascii="Arial" w:cs="Arial" w:eastAsia="Arial" w:hAnsi="Arial"/>
          <w:sz w:val="15"/>
          <w:szCs w:val="15"/>
          <w:i w:val="1"/>
          <w:iCs w:val="1"/>
          <w:u w:val="single" w:color="auto"/>
          <w:color w:val="auto"/>
        </w:rPr>
        <w:t>Purpose of the Plan</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left="330"/>
        <w:spacing w:after="0"/>
        <w:rPr>
          <w:rFonts w:ascii="Arial" w:cs="Arial" w:eastAsia="Arial" w:hAnsi="Arial"/>
          <w:sz w:val="15"/>
          <w:szCs w:val="15"/>
          <w:color w:val="auto"/>
        </w:rPr>
      </w:pPr>
      <w:r>
        <w:rPr>
          <w:rFonts w:ascii="Arial" w:cs="Arial" w:eastAsia="Arial" w:hAnsi="Arial"/>
          <w:sz w:val="14"/>
          <w:szCs w:val="14"/>
          <w:color w:val="auto"/>
        </w:rPr>
        <w:t>The purpose of the Plan is to provide an incentive for present and future employees of the Company and its Participating Subsidiaries to acquire a proprietary interest (or</w:t>
      </w:r>
    </w:p>
    <w:p>
      <w:pPr>
        <w:spacing w:after="0" w:line="8" w:lineRule="exact"/>
        <w:rPr>
          <w:sz w:val="20"/>
          <w:szCs w:val="20"/>
          <w:color w:val="auto"/>
        </w:rPr>
      </w:pPr>
    </w:p>
    <w:p>
      <w:pPr>
        <w:jc w:val="both"/>
        <w:ind w:left="10"/>
        <w:spacing w:after="0" w:line="238" w:lineRule="auto"/>
        <w:rPr>
          <w:sz w:val="20"/>
          <w:szCs w:val="20"/>
          <w:color w:val="auto"/>
        </w:rPr>
      </w:pPr>
      <w:r>
        <w:rPr>
          <w:rFonts w:ascii="Arial" w:cs="Arial" w:eastAsia="Arial" w:hAnsi="Arial"/>
          <w:sz w:val="15"/>
          <w:szCs w:val="15"/>
          <w:color w:val="auto"/>
        </w:rPr>
        <w:t>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160" w:lineRule="exact"/>
        <w:rPr>
          <w:sz w:val="20"/>
          <w:szCs w:val="20"/>
          <w:color w:val="auto"/>
        </w:rPr>
      </w:pPr>
    </w:p>
    <w:p>
      <w:pPr>
        <w:ind w:left="330" w:hanging="330"/>
        <w:spacing w:after="0"/>
        <w:tabs>
          <w:tab w:leader="none" w:pos="330" w:val="left"/>
        </w:tabs>
        <w:numPr>
          <w:ilvl w:val="0"/>
          <w:numId w:val="61"/>
        </w:numPr>
        <w:rPr>
          <w:rFonts w:ascii="Arial" w:cs="Arial" w:eastAsia="Arial" w:hAnsi="Arial"/>
          <w:sz w:val="15"/>
          <w:szCs w:val="15"/>
          <w:color w:val="auto"/>
        </w:rPr>
      </w:pPr>
      <w:r>
        <w:rPr>
          <w:rFonts w:ascii="Arial" w:cs="Arial" w:eastAsia="Arial" w:hAnsi="Arial"/>
          <w:sz w:val="15"/>
          <w:szCs w:val="15"/>
          <w:i w:val="1"/>
          <w:iCs w:val="1"/>
          <w:u w:val="single" w:color="auto"/>
          <w:color w:val="auto"/>
        </w:rPr>
        <w:t>Shares Reserved for the Plan</w:t>
      </w:r>
      <w:r>
        <w:rPr>
          <w:rFonts w:ascii="Arial" w:cs="Arial" w:eastAsia="Arial" w:hAnsi="Arial"/>
          <w:sz w:val="15"/>
          <w:szCs w:val="15"/>
          <w:color w:val="auto"/>
        </w:rPr>
        <w:t>.</w:t>
      </w:r>
    </w:p>
    <w:p>
      <w:pPr>
        <w:spacing w:after="0" w:line="191" w:lineRule="exact"/>
        <w:rPr>
          <w:sz w:val="20"/>
          <w:szCs w:val="20"/>
          <w:color w:val="auto"/>
        </w:rPr>
      </w:pPr>
    </w:p>
    <w:p>
      <w:pPr>
        <w:jc w:val="both"/>
        <w:ind w:left="10" w:firstLine="338"/>
        <w:spacing w:after="0" w:line="237" w:lineRule="auto"/>
        <w:rPr>
          <w:sz w:val="20"/>
          <w:szCs w:val="20"/>
          <w:color w:val="auto"/>
        </w:rPr>
      </w:pPr>
      <w:r>
        <w:rPr>
          <w:rFonts w:ascii="Arial" w:cs="Arial" w:eastAsia="Arial" w:hAnsi="Arial"/>
          <w:sz w:val="15"/>
          <w:szCs w:val="15"/>
          <w:color w:val="auto"/>
        </w:rPr>
        <w:t>As of the effective date of this restatement, the Company shall reserve for issuance and purchase by Participants under the Plan an aggregate of three million shares of Common Stock in addition to shares previously reserved under the Plan,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160" w:lineRule="exact"/>
        <w:rPr>
          <w:sz w:val="20"/>
          <w:szCs w:val="20"/>
          <w:color w:val="auto"/>
        </w:rPr>
      </w:pPr>
    </w:p>
    <w:p>
      <w:pPr>
        <w:ind w:left="330" w:hanging="330"/>
        <w:spacing w:after="0"/>
        <w:tabs>
          <w:tab w:leader="none" w:pos="330" w:val="left"/>
        </w:tabs>
        <w:numPr>
          <w:ilvl w:val="0"/>
          <w:numId w:val="62"/>
        </w:numPr>
        <w:rPr>
          <w:rFonts w:ascii="Arial" w:cs="Arial" w:eastAsia="Arial" w:hAnsi="Arial"/>
          <w:sz w:val="15"/>
          <w:szCs w:val="15"/>
          <w:color w:val="auto"/>
        </w:rPr>
      </w:pPr>
      <w:r>
        <w:rPr>
          <w:rFonts w:ascii="Arial" w:cs="Arial" w:eastAsia="Arial" w:hAnsi="Arial"/>
          <w:sz w:val="15"/>
          <w:szCs w:val="15"/>
          <w:i w:val="1"/>
          <w:iCs w:val="1"/>
          <w:u w:val="single" w:color="auto"/>
          <w:color w:val="auto"/>
        </w:rPr>
        <w:t>Administration of the Plan</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10" w:firstLine="386"/>
        <w:spacing w:after="0" w:line="237" w:lineRule="auto"/>
        <w:tabs>
          <w:tab w:leader="none" w:pos="780" w:val="left"/>
        </w:tabs>
        <w:numPr>
          <w:ilvl w:val="1"/>
          <w:numId w:val="62"/>
        </w:numPr>
        <w:rPr>
          <w:rFonts w:ascii="Arial" w:cs="Arial" w:eastAsia="Arial" w:hAnsi="Arial"/>
          <w:sz w:val="15"/>
          <w:szCs w:val="15"/>
          <w:color w:val="auto"/>
        </w:rPr>
      </w:pPr>
      <w:r>
        <w:rPr>
          <w:rFonts w:ascii="Arial" w:cs="Arial" w:eastAsia="Arial" w:hAnsi="Arial"/>
          <w:sz w:val="15"/>
          <w:szCs w:val="15"/>
          <w:color w:val="auto"/>
        </w:rPr>
        <w:t>The Committee has been appointed by the Board to administer the Plan. The Committee shall have the authority to interpret the Plan, to prescribe, amend and rescind rules and regulations relating to the Plan, to correct any defect or rectify any omission in the Plan, or to reconcile any inconsistency in this Plan and any 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173" w:lineRule="exact"/>
        <w:rPr>
          <w:rFonts w:ascii="Arial" w:cs="Arial" w:eastAsia="Arial" w:hAnsi="Arial"/>
          <w:sz w:val="15"/>
          <w:szCs w:val="15"/>
          <w:color w:val="auto"/>
        </w:rPr>
      </w:pPr>
    </w:p>
    <w:p>
      <w:pPr>
        <w:jc w:val="both"/>
        <w:ind w:left="10" w:firstLine="527"/>
        <w:spacing w:after="0" w:line="238" w:lineRule="auto"/>
        <w:tabs>
          <w:tab w:leader="none" w:pos="991" w:val="left"/>
        </w:tabs>
        <w:numPr>
          <w:ilvl w:val="2"/>
          <w:numId w:val="62"/>
        </w:numPr>
        <w:rPr>
          <w:rFonts w:ascii="Arial" w:cs="Arial" w:eastAsia="Arial" w:hAnsi="Arial"/>
          <w:sz w:val="15"/>
          <w:szCs w:val="15"/>
          <w:color w:val="auto"/>
        </w:rPr>
      </w:pPr>
      <w:r>
        <w:rPr>
          <w:rFonts w:ascii="Arial" w:cs="Arial" w:eastAsia="Arial" w:hAnsi="Arial"/>
          <w:sz w:val="15"/>
          <w:szCs w:val="15"/>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160" w:lineRule="exact"/>
        <w:rPr>
          <w:rFonts w:ascii="Arial" w:cs="Arial" w:eastAsia="Arial" w:hAnsi="Arial"/>
          <w:sz w:val="15"/>
          <w:szCs w:val="15"/>
          <w:color w:val="auto"/>
        </w:rPr>
      </w:pPr>
    </w:p>
    <w:p>
      <w:pPr>
        <w:ind w:left="330" w:hanging="330"/>
        <w:spacing w:after="0"/>
        <w:tabs>
          <w:tab w:leader="none" w:pos="330" w:val="left"/>
        </w:tabs>
        <w:numPr>
          <w:ilvl w:val="0"/>
          <w:numId w:val="62"/>
        </w:numPr>
        <w:rPr>
          <w:rFonts w:ascii="Arial" w:cs="Arial" w:eastAsia="Arial" w:hAnsi="Arial"/>
          <w:sz w:val="15"/>
          <w:szCs w:val="15"/>
          <w:color w:val="auto"/>
        </w:rPr>
      </w:pPr>
      <w:r>
        <w:rPr>
          <w:rFonts w:ascii="Arial" w:cs="Arial" w:eastAsia="Arial" w:hAnsi="Arial"/>
          <w:sz w:val="15"/>
          <w:szCs w:val="15"/>
          <w:i w:val="1"/>
          <w:iCs w:val="1"/>
          <w:u w:val="single" w:color="auto"/>
          <w:color w:val="auto"/>
        </w:rPr>
        <w:t>Eligibility to Participate in the Plan</w:t>
      </w:r>
      <w:r>
        <w:rPr>
          <w:rFonts w:ascii="Arial" w:cs="Arial" w:eastAsia="Arial" w:hAnsi="Arial"/>
          <w:sz w:val="15"/>
          <w:szCs w:val="15"/>
          <w:color w:val="auto"/>
        </w:rPr>
        <w:t>.</w:t>
      </w:r>
    </w:p>
    <w:p>
      <w:pPr>
        <w:spacing w:after="0" w:line="191" w:lineRule="exact"/>
        <w:rPr>
          <w:sz w:val="20"/>
          <w:szCs w:val="20"/>
          <w:color w:val="auto"/>
        </w:rPr>
      </w:pPr>
    </w:p>
    <w:p>
      <w:pPr>
        <w:ind w:left="10" w:firstLine="336"/>
        <w:spacing w:after="0"/>
        <w:rPr>
          <w:sz w:val="20"/>
          <w:szCs w:val="20"/>
          <w:color w:val="auto"/>
        </w:rPr>
      </w:pPr>
      <w:r>
        <w:rPr>
          <w:rFonts w:ascii="Arial" w:cs="Arial" w:eastAsia="Arial" w:hAnsi="Arial"/>
          <w:sz w:val="15"/>
          <w:szCs w:val="15"/>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159" w:lineRule="exact"/>
        <w:rPr>
          <w:sz w:val="20"/>
          <w:szCs w:val="20"/>
          <w:color w:val="auto"/>
        </w:rPr>
      </w:pPr>
    </w:p>
    <w:p>
      <w:pPr>
        <w:ind w:left="330" w:hanging="330"/>
        <w:spacing w:after="0"/>
        <w:tabs>
          <w:tab w:leader="none" w:pos="330" w:val="left"/>
        </w:tabs>
        <w:numPr>
          <w:ilvl w:val="0"/>
          <w:numId w:val="63"/>
        </w:numPr>
        <w:rPr>
          <w:rFonts w:ascii="Arial" w:cs="Arial" w:eastAsia="Arial" w:hAnsi="Arial"/>
          <w:sz w:val="15"/>
          <w:szCs w:val="15"/>
          <w:color w:val="auto"/>
        </w:rPr>
      </w:pPr>
      <w:r>
        <w:rPr>
          <w:rFonts w:ascii="Arial" w:cs="Arial" w:eastAsia="Arial" w:hAnsi="Arial"/>
          <w:sz w:val="15"/>
          <w:szCs w:val="15"/>
          <w:i w:val="1"/>
          <w:iCs w:val="1"/>
          <w:u w:val="single" w:color="auto"/>
          <w:color w:val="auto"/>
        </w:rPr>
        <w:t>Election to Participate in the Plan</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10" w:firstLine="321"/>
        <w:spacing w:after="0" w:line="238" w:lineRule="auto"/>
        <w:tabs>
          <w:tab w:leader="none" w:pos="684" w:val="left"/>
        </w:tabs>
        <w:numPr>
          <w:ilvl w:val="1"/>
          <w:numId w:val="63"/>
        </w:numPr>
        <w:rPr>
          <w:rFonts w:ascii="Arial" w:cs="Arial" w:eastAsia="Arial" w:hAnsi="Arial"/>
          <w:sz w:val="15"/>
          <w:szCs w:val="15"/>
          <w:color w:val="auto"/>
        </w:rPr>
      </w:pPr>
      <w:r>
        <w:rPr>
          <w:rFonts w:ascii="Arial" w:cs="Arial" w:eastAsia="Arial" w:hAnsi="Arial"/>
          <w:sz w:val="15"/>
          <w:szCs w:val="15"/>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174" w:lineRule="exact"/>
        <w:rPr>
          <w:rFonts w:ascii="Arial" w:cs="Arial" w:eastAsia="Arial" w:hAnsi="Arial"/>
          <w:sz w:val="15"/>
          <w:szCs w:val="15"/>
          <w:color w:val="auto"/>
        </w:rPr>
      </w:pPr>
    </w:p>
    <w:p>
      <w:pPr>
        <w:ind w:left="10" w:firstLine="448"/>
        <w:spacing w:after="0"/>
        <w:tabs>
          <w:tab w:leader="none" w:pos="876" w:val="left"/>
        </w:tabs>
        <w:numPr>
          <w:ilvl w:val="2"/>
          <w:numId w:val="63"/>
        </w:numPr>
        <w:rPr>
          <w:rFonts w:ascii="Arial" w:cs="Arial" w:eastAsia="Arial" w:hAnsi="Arial"/>
          <w:sz w:val="15"/>
          <w:szCs w:val="15"/>
          <w:color w:val="auto"/>
        </w:rPr>
      </w:pPr>
      <w:r>
        <w:rPr>
          <w:rFonts w:ascii="Arial" w:cs="Arial" w:eastAsia="Arial" w:hAnsi="Arial"/>
          <w:sz w:val="15"/>
          <w:szCs w:val="15"/>
          <w:color w:val="auto"/>
        </w:rPr>
        <w:t>Unless a Participant withdraws from participation in the Plan as provided in Section 10 or authorizes a different payroll deduction by filing a new enrollment agreement prior to the Enrollment Date of a succeeding Offering Period, a Participant who is</w:t>
      </w:r>
    </w:p>
    <w:p>
      <w:pPr>
        <w:spacing w:after="0" w:line="155"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5"/>
          <w:szCs w:val="15"/>
          <w:color w:val="auto"/>
        </w:rPr>
        <w:t>A-2</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160260" cy="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70"/>
          </w:cols>
          <w:pgMar w:left="310" w:top="142" w:right="319" w:bottom="1440" w:gutter="0" w:footer="0" w:header="0"/>
        </w:sectPr>
      </w:pPr>
    </w:p>
    <w:bookmarkStart w:id="61" w:name="page62"/>
    <w:bookmarkEnd w:id="61"/>
    <w:p>
      <w:pPr>
        <w:ind w:left="1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5518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ind w:left="10370"/>
        <w:spacing w:after="0"/>
        <w:rPr>
          <w:sz w:val="20"/>
          <w:szCs w:val="20"/>
          <w:color w:val="auto"/>
        </w:rPr>
      </w:pPr>
      <w:r>
        <w:rPr>
          <w:rFonts w:ascii="Arial" w:cs="Arial" w:eastAsia="Arial" w:hAnsi="Arial"/>
          <w:sz w:val="14"/>
          <w:szCs w:val="14"/>
          <w:b w:val="1"/>
          <w:bCs w:val="1"/>
          <w:color w:val="auto"/>
        </w:rPr>
        <w:t>APPENDIX A</w:t>
      </w:r>
    </w:p>
    <w:p>
      <w:pPr>
        <w:spacing w:after="0" w:line="206" w:lineRule="exact"/>
        <w:rPr>
          <w:sz w:val="20"/>
          <w:szCs w:val="20"/>
          <w:color w:val="auto"/>
        </w:rPr>
      </w:pPr>
    </w:p>
    <w:p>
      <w:pPr>
        <w:jc w:val="both"/>
        <w:ind w:left="10"/>
        <w:spacing w:after="0" w:line="238" w:lineRule="auto"/>
        <w:rPr>
          <w:sz w:val="20"/>
          <w:szCs w:val="20"/>
          <w:color w:val="auto"/>
        </w:rPr>
      </w:pPr>
      <w:r>
        <w:rPr>
          <w:rFonts w:ascii="Arial" w:cs="Arial" w:eastAsia="Arial" w:hAnsi="Arial"/>
          <w:sz w:val="15"/>
          <w:szCs w:val="15"/>
          <w:color w:val="auto"/>
        </w:rPr>
        <w:t>participating in an Offering Period as of the Exercise Date of such Offering Period shall be deemed to have (i) elected to participate in the immediately succeeding Offering Period and (ii) authorized the same payroll deduction percentage for such immediately succeeding Offering Period as was in effect for such Participant immediately prior to such succeeding Offering Period.</w:t>
      </w:r>
    </w:p>
    <w:p>
      <w:pPr>
        <w:spacing w:after="0" w:line="160" w:lineRule="exact"/>
        <w:rPr>
          <w:sz w:val="20"/>
          <w:szCs w:val="20"/>
          <w:color w:val="auto"/>
        </w:rPr>
      </w:pPr>
    </w:p>
    <w:p>
      <w:pPr>
        <w:ind w:left="330" w:hanging="330"/>
        <w:spacing w:after="0"/>
        <w:tabs>
          <w:tab w:leader="none" w:pos="330" w:val="left"/>
        </w:tabs>
        <w:numPr>
          <w:ilvl w:val="0"/>
          <w:numId w:val="64"/>
        </w:numPr>
        <w:rPr>
          <w:rFonts w:ascii="Arial" w:cs="Arial" w:eastAsia="Arial" w:hAnsi="Arial"/>
          <w:sz w:val="15"/>
          <w:szCs w:val="15"/>
          <w:color w:val="auto"/>
        </w:rPr>
      </w:pPr>
      <w:r>
        <w:rPr>
          <w:rFonts w:ascii="Arial" w:cs="Arial" w:eastAsia="Arial" w:hAnsi="Arial"/>
          <w:sz w:val="15"/>
          <w:szCs w:val="15"/>
          <w:i w:val="1"/>
          <w:iCs w:val="1"/>
          <w:u w:val="single" w:color="auto"/>
          <w:color w:val="auto"/>
        </w:rPr>
        <w:t>Payroll Deductions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10" w:firstLine="330"/>
        <w:spacing w:after="0" w:line="237" w:lineRule="auto"/>
        <w:tabs>
          <w:tab w:leader="none" w:pos="691" w:val="left"/>
        </w:tabs>
        <w:numPr>
          <w:ilvl w:val="2"/>
          <w:numId w:val="64"/>
        </w:numPr>
        <w:rPr>
          <w:rFonts w:ascii="Arial" w:cs="Arial" w:eastAsia="Arial" w:hAnsi="Arial"/>
          <w:sz w:val="15"/>
          <w:szCs w:val="15"/>
          <w:color w:val="auto"/>
        </w:rPr>
      </w:pPr>
      <w:r>
        <w:rPr>
          <w:rFonts w:ascii="Arial" w:cs="Arial" w:eastAsia="Arial" w:hAnsi="Arial"/>
          <w:sz w:val="15"/>
          <w:szCs w:val="15"/>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173" w:lineRule="exact"/>
        <w:rPr>
          <w:rFonts w:ascii="Arial" w:cs="Arial" w:eastAsia="Arial" w:hAnsi="Arial"/>
          <w:sz w:val="15"/>
          <w:szCs w:val="15"/>
          <w:color w:val="auto"/>
        </w:rPr>
      </w:pPr>
    </w:p>
    <w:p>
      <w:pPr>
        <w:jc w:val="both"/>
        <w:ind w:left="10" w:firstLine="318"/>
        <w:spacing w:after="0" w:line="237" w:lineRule="auto"/>
        <w:tabs>
          <w:tab w:leader="none" w:pos="673" w:val="left"/>
        </w:tabs>
        <w:numPr>
          <w:ilvl w:val="1"/>
          <w:numId w:val="64"/>
        </w:numPr>
        <w:rPr>
          <w:rFonts w:ascii="Arial" w:cs="Arial" w:eastAsia="Arial" w:hAnsi="Arial"/>
          <w:sz w:val="15"/>
          <w:szCs w:val="15"/>
          <w:color w:val="auto"/>
        </w:rPr>
      </w:pPr>
      <w:r>
        <w:rPr>
          <w:rFonts w:ascii="Arial" w:cs="Arial" w:eastAsia="Arial" w:hAnsi="Arial"/>
          <w:sz w:val="15"/>
          <w:szCs w:val="15"/>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175" w:lineRule="exact"/>
        <w:rPr>
          <w:rFonts w:ascii="Arial" w:cs="Arial" w:eastAsia="Arial" w:hAnsi="Arial"/>
          <w:sz w:val="15"/>
          <w:szCs w:val="15"/>
          <w:color w:val="auto"/>
        </w:rPr>
      </w:pPr>
    </w:p>
    <w:p>
      <w:pPr>
        <w:ind w:left="650" w:hanging="324"/>
        <w:spacing w:after="0"/>
        <w:tabs>
          <w:tab w:leader="none" w:pos="650" w:val="left"/>
        </w:tabs>
        <w:numPr>
          <w:ilvl w:val="1"/>
          <w:numId w:val="64"/>
        </w:numPr>
        <w:rPr>
          <w:rFonts w:ascii="Arial" w:cs="Arial" w:eastAsia="Arial" w:hAnsi="Arial"/>
          <w:sz w:val="15"/>
          <w:szCs w:val="15"/>
          <w:color w:val="auto"/>
        </w:rPr>
      </w:pPr>
      <w:r>
        <w:rPr>
          <w:rFonts w:ascii="Arial" w:cs="Arial" w:eastAsia="Arial" w:hAnsi="Arial"/>
          <w:sz w:val="15"/>
          <w:szCs w:val="15"/>
          <w:color w:val="auto"/>
        </w:rPr>
        <w:t>Except as provided in Section 10, a Participant may not change his contribution election during an Offering Period.</w:t>
      </w:r>
    </w:p>
    <w:p>
      <w:pPr>
        <w:spacing w:after="0" w:line="176" w:lineRule="exact"/>
        <w:rPr>
          <w:rFonts w:ascii="Arial" w:cs="Arial" w:eastAsia="Arial" w:hAnsi="Arial"/>
          <w:sz w:val="15"/>
          <w:szCs w:val="15"/>
          <w:color w:val="auto"/>
        </w:rPr>
      </w:pPr>
    </w:p>
    <w:p>
      <w:pPr>
        <w:ind w:left="10" w:firstLine="398"/>
        <w:spacing w:after="0"/>
        <w:tabs>
          <w:tab w:leader="none" w:pos="801" w:val="left"/>
        </w:tabs>
        <w:numPr>
          <w:ilvl w:val="4"/>
          <w:numId w:val="64"/>
        </w:numPr>
        <w:rPr>
          <w:rFonts w:ascii="Arial" w:cs="Arial" w:eastAsia="Arial" w:hAnsi="Arial"/>
          <w:sz w:val="15"/>
          <w:szCs w:val="15"/>
          <w:color w:val="auto"/>
        </w:rPr>
      </w:pPr>
      <w:r>
        <w:rPr>
          <w:rFonts w:ascii="Arial" w:cs="Arial" w:eastAsia="Arial" w:hAnsi="Arial"/>
          <w:sz w:val="15"/>
          <w:szCs w:val="15"/>
          <w:color w:val="auto"/>
        </w:rPr>
        <w:t>Notwithstanding the foregoing provisions of this Section 7, no Participant may make payroll deductions during any calendar year in excess of $21,250, or such other limit as may be established by the Committee, in its discretion.</w:t>
      </w:r>
    </w:p>
    <w:p>
      <w:pPr>
        <w:spacing w:after="0" w:line="159" w:lineRule="exact"/>
        <w:rPr>
          <w:rFonts w:ascii="Arial" w:cs="Arial" w:eastAsia="Arial" w:hAnsi="Arial"/>
          <w:sz w:val="15"/>
          <w:szCs w:val="15"/>
          <w:color w:val="auto"/>
        </w:rPr>
      </w:pPr>
    </w:p>
    <w:p>
      <w:pPr>
        <w:ind w:left="330" w:hanging="330"/>
        <w:spacing w:after="0"/>
        <w:tabs>
          <w:tab w:leader="none" w:pos="330" w:val="left"/>
        </w:tabs>
        <w:numPr>
          <w:ilvl w:val="0"/>
          <w:numId w:val="64"/>
        </w:numPr>
        <w:rPr>
          <w:rFonts w:ascii="Arial" w:cs="Arial" w:eastAsia="Arial" w:hAnsi="Arial"/>
          <w:sz w:val="15"/>
          <w:szCs w:val="15"/>
          <w:color w:val="auto"/>
        </w:rPr>
      </w:pPr>
      <w:r>
        <w:rPr>
          <w:rFonts w:ascii="Arial" w:cs="Arial" w:eastAsia="Arial" w:hAnsi="Arial"/>
          <w:sz w:val="15"/>
          <w:szCs w:val="15"/>
          <w:i w:val="1"/>
          <w:iCs w:val="1"/>
          <w:u w:val="single" w:color="auto"/>
          <w:color w:val="auto"/>
        </w:rPr>
        <w:t>Grant of Options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10" w:firstLine="327"/>
        <w:spacing w:after="0" w:line="263" w:lineRule="auto"/>
        <w:tabs>
          <w:tab w:leader="none" w:pos="694" w:val="left"/>
        </w:tabs>
        <w:numPr>
          <w:ilvl w:val="1"/>
          <w:numId w:val="64"/>
        </w:numPr>
        <w:rPr>
          <w:rFonts w:ascii="Arial" w:cs="Arial" w:eastAsia="Arial" w:hAnsi="Arial"/>
          <w:sz w:val="14"/>
          <w:szCs w:val="14"/>
          <w:color w:val="auto"/>
        </w:rPr>
      </w:pPr>
      <w:r>
        <w:rPr>
          <w:rFonts w:ascii="Arial" w:cs="Arial" w:eastAsia="Arial" w:hAnsi="Arial"/>
          <w:sz w:val="14"/>
          <w:szCs w:val="14"/>
          <w:color w:val="auto"/>
        </w:rPr>
        <w:t>On the Enrollment Date of each Offering Period, subject to the limitations set forth in Sections 3 and 8(b) hereof, each Eligible Employee shall be granted an option to purchase on the Exercise Date for such Offering Period a number of whole and, to the extent permitted by the Committee, fractional shares of the Company's Common Stock determined by dividing such Eligible Employee's payroll deductions accumulated during the Offering Period by the Exercise Price established for such Offering Period.</w:t>
      </w:r>
    </w:p>
    <w:p>
      <w:pPr>
        <w:spacing w:after="0" w:line="158" w:lineRule="exact"/>
        <w:rPr>
          <w:rFonts w:ascii="Arial" w:cs="Arial" w:eastAsia="Arial" w:hAnsi="Arial"/>
          <w:sz w:val="14"/>
          <w:szCs w:val="14"/>
          <w:color w:val="auto"/>
        </w:rPr>
      </w:pPr>
    </w:p>
    <w:p>
      <w:pPr>
        <w:jc w:val="both"/>
        <w:ind w:left="10" w:firstLine="375"/>
        <w:spacing w:after="0" w:line="257" w:lineRule="auto"/>
        <w:tabs>
          <w:tab w:leader="none" w:pos="766" w:val="left"/>
        </w:tabs>
        <w:numPr>
          <w:ilvl w:val="3"/>
          <w:numId w:val="64"/>
        </w:numPr>
        <w:rPr>
          <w:rFonts w:ascii="Arial" w:cs="Arial" w:eastAsia="Arial" w:hAnsi="Arial"/>
          <w:sz w:val="14"/>
          <w:szCs w:val="14"/>
          <w:color w:val="auto"/>
        </w:rPr>
      </w:pPr>
      <w:r>
        <w:rPr>
          <w:rFonts w:ascii="Arial" w:cs="Arial" w:eastAsia="Arial" w:hAnsi="Arial"/>
          <w:sz w:val="14"/>
          <w:szCs w:val="14"/>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149" w:lineRule="exact"/>
        <w:rPr>
          <w:rFonts w:ascii="Arial" w:cs="Arial" w:eastAsia="Arial" w:hAnsi="Arial"/>
          <w:sz w:val="14"/>
          <w:szCs w:val="14"/>
          <w:color w:val="auto"/>
        </w:rPr>
      </w:pPr>
    </w:p>
    <w:p>
      <w:pPr>
        <w:ind w:left="330" w:hanging="330"/>
        <w:spacing w:after="0"/>
        <w:tabs>
          <w:tab w:leader="none" w:pos="330" w:val="left"/>
        </w:tabs>
        <w:numPr>
          <w:ilvl w:val="0"/>
          <w:numId w:val="64"/>
        </w:numPr>
        <w:rPr>
          <w:rFonts w:ascii="Arial" w:cs="Arial" w:eastAsia="Arial" w:hAnsi="Arial"/>
          <w:sz w:val="15"/>
          <w:szCs w:val="15"/>
          <w:color w:val="auto"/>
        </w:rPr>
      </w:pPr>
      <w:r>
        <w:rPr>
          <w:rFonts w:ascii="Arial" w:cs="Arial" w:eastAsia="Arial" w:hAnsi="Arial"/>
          <w:sz w:val="15"/>
          <w:szCs w:val="15"/>
          <w:i w:val="1"/>
          <w:iCs w:val="1"/>
          <w:u w:val="single" w:color="auto"/>
          <w:color w:val="auto"/>
        </w:rPr>
        <w:t>Automatic Purchase</w:t>
      </w:r>
      <w:r>
        <w:rPr>
          <w:rFonts w:ascii="Arial" w:cs="Arial" w:eastAsia="Arial" w:hAnsi="Arial"/>
          <w:sz w:val="15"/>
          <w:szCs w:val="15"/>
          <w:color w:val="auto"/>
        </w:rPr>
        <w:t>.</w:t>
      </w:r>
    </w:p>
    <w:p>
      <w:pPr>
        <w:spacing w:after="0" w:line="191" w:lineRule="exact"/>
        <w:rPr>
          <w:sz w:val="20"/>
          <w:szCs w:val="20"/>
          <w:color w:val="auto"/>
        </w:rPr>
      </w:pPr>
    </w:p>
    <w:p>
      <w:pPr>
        <w:jc w:val="both"/>
        <w:ind w:left="10" w:firstLine="336"/>
        <w:spacing w:after="0" w:line="237" w:lineRule="auto"/>
        <w:rPr>
          <w:sz w:val="20"/>
          <w:szCs w:val="20"/>
          <w:color w:val="auto"/>
        </w:rPr>
      </w:pPr>
      <w:r>
        <w:rPr>
          <w:rFonts w:ascii="Arial" w:cs="Arial" w:eastAsia="Arial" w:hAnsi="Arial"/>
          <w:sz w:val="15"/>
          <w:szCs w:val="15"/>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to the extent permitted by the Committee, fractional shares subject to the option will be purchased for the Participant at the Exercise Price established for that Offering Period, as provided above in Section 8. Any accumulated payroll deductions in excess of the amount applied to purchase shares on the Exercise Date shall be refunded to the Participant as soon as administratively feasible after the Exercise Date, unless the Committee establishes otherwise.</w:t>
      </w:r>
    </w:p>
    <w:p>
      <w:pPr>
        <w:spacing w:after="0" w:line="160" w:lineRule="exact"/>
        <w:rPr>
          <w:sz w:val="20"/>
          <w:szCs w:val="20"/>
          <w:color w:val="auto"/>
        </w:rPr>
      </w:pPr>
    </w:p>
    <w:p>
      <w:pPr>
        <w:ind w:left="330" w:hanging="330"/>
        <w:spacing w:after="0"/>
        <w:tabs>
          <w:tab w:leader="none" w:pos="330" w:val="left"/>
        </w:tabs>
        <w:numPr>
          <w:ilvl w:val="0"/>
          <w:numId w:val="65"/>
        </w:numPr>
        <w:rPr>
          <w:rFonts w:ascii="Arial" w:cs="Arial" w:eastAsia="Arial" w:hAnsi="Arial"/>
          <w:sz w:val="15"/>
          <w:szCs w:val="15"/>
          <w:color w:val="auto"/>
        </w:rPr>
      </w:pPr>
      <w:r>
        <w:rPr>
          <w:rFonts w:ascii="Arial" w:cs="Arial" w:eastAsia="Arial" w:hAnsi="Arial"/>
          <w:sz w:val="15"/>
          <w:szCs w:val="15"/>
          <w:i w:val="1"/>
          <w:iCs w:val="1"/>
          <w:u w:val="single" w:color="auto"/>
          <w:color w:val="auto"/>
        </w:rPr>
        <w:t>Withdrawal; Termination of Employment</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10" w:firstLine="338"/>
        <w:spacing w:after="0" w:line="236" w:lineRule="auto"/>
        <w:tabs>
          <w:tab w:leader="none" w:pos="702" w:val="left"/>
        </w:tabs>
        <w:numPr>
          <w:ilvl w:val="1"/>
          <w:numId w:val="65"/>
        </w:numPr>
        <w:rPr>
          <w:rFonts w:ascii="Arial" w:cs="Arial" w:eastAsia="Arial" w:hAnsi="Arial"/>
          <w:sz w:val="15"/>
          <w:szCs w:val="15"/>
          <w:color w:val="auto"/>
        </w:rPr>
      </w:pPr>
      <w:r>
        <w:rPr>
          <w:rFonts w:ascii="Arial" w:cs="Arial" w:eastAsia="Arial" w:hAnsi="Arial"/>
          <w:sz w:val="15"/>
          <w:szCs w:val="15"/>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176" w:lineRule="exact"/>
        <w:rPr>
          <w:rFonts w:ascii="Arial" w:cs="Arial" w:eastAsia="Arial" w:hAnsi="Arial"/>
          <w:sz w:val="15"/>
          <w:szCs w:val="15"/>
          <w:color w:val="auto"/>
        </w:rPr>
      </w:pPr>
    </w:p>
    <w:p>
      <w:pPr>
        <w:jc w:val="both"/>
        <w:ind w:left="10" w:firstLine="380"/>
        <w:spacing w:after="0" w:line="238" w:lineRule="auto"/>
        <w:tabs>
          <w:tab w:leader="none" w:pos="774" w:val="left"/>
        </w:tabs>
        <w:numPr>
          <w:ilvl w:val="2"/>
          <w:numId w:val="65"/>
        </w:numPr>
        <w:rPr>
          <w:rFonts w:ascii="Arial" w:cs="Arial" w:eastAsia="Arial" w:hAnsi="Arial"/>
          <w:sz w:val="15"/>
          <w:szCs w:val="15"/>
          <w:color w:val="auto"/>
        </w:rPr>
      </w:pPr>
      <w:r>
        <w:rPr>
          <w:rFonts w:ascii="Arial" w:cs="Arial" w:eastAsia="Arial" w:hAnsi="Arial"/>
          <w:sz w:val="15"/>
          <w:szCs w:val="15"/>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155" w:lineRule="exact"/>
        <w:rPr>
          <w:sz w:val="20"/>
          <w:szCs w:val="20"/>
          <w:color w:val="auto"/>
        </w:rPr>
      </w:pPr>
    </w:p>
    <w:p>
      <w:pPr>
        <w:jc w:val="right"/>
        <w:spacing w:after="0"/>
        <w:tabs>
          <w:tab w:leader="none" w:pos="420" w:val="left"/>
          <w:tab w:leader="none" w:pos="20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160260" cy="196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-99060</wp:posOffset>
            </wp:positionV>
            <wp:extent cx="429260" cy="1143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70"/>
          </w:cols>
          <w:pgMar w:left="310" w:top="142" w:right="319" w:bottom="1440" w:gutter="0" w:footer="0" w:header="0"/>
        </w:sectPr>
      </w:pPr>
    </w:p>
    <w:bookmarkStart w:id="62" w:name="page63"/>
    <w:bookmarkEnd w:id="62"/>
    <w:p>
      <w:pPr>
        <w:ind w:left="1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5518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APPENDIX A</w:t>
      </w:r>
    </w:p>
    <w:p>
      <w:pPr>
        <w:spacing w:after="0" w:line="195" w:lineRule="exact"/>
        <w:rPr>
          <w:sz w:val="20"/>
          <w:szCs w:val="20"/>
          <w:color w:val="auto"/>
        </w:rPr>
      </w:pPr>
    </w:p>
    <w:p>
      <w:pPr>
        <w:jc w:val="both"/>
        <w:ind w:left="10" w:firstLine="425"/>
        <w:spacing w:after="0" w:line="238" w:lineRule="auto"/>
        <w:tabs>
          <w:tab w:leader="none" w:pos="833" w:val="left"/>
        </w:tabs>
        <w:numPr>
          <w:ilvl w:val="1"/>
          <w:numId w:val="66"/>
        </w:numPr>
        <w:rPr>
          <w:rFonts w:ascii="Arial" w:cs="Arial" w:eastAsia="Arial" w:hAnsi="Arial"/>
          <w:sz w:val="15"/>
          <w:szCs w:val="15"/>
          <w:color w:val="auto"/>
        </w:rPr>
      </w:pPr>
      <w:r>
        <w:rPr>
          <w:rFonts w:ascii="Arial" w:cs="Arial" w:eastAsia="Arial" w:hAnsi="Arial"/>
          <w:sz w:val="15"/>
          <w:szCs w:val="15"/>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160" w:lineRule="exact"/>
        <w:rPr>
          <w:rFonts w:ascii="Arial" w:cs="Arial" w:eastAsia="Arial" w:hAnsi="Arial"/>
          <w:sz w:val="15"/>
          <w:szCs w:val="15"/>
          <w:color w:val="auto"/>
        </w:rPr>
      </w:pPr>
    </w:p>
    <w:p>
      <w:pPr>
        <w:ind w:left="330" w:hanging="330"/>
        <w:spacing w:after="0"/>
        <w:tabs>
          <w:tab w:leader="none" w:pos="330" w:val="left"/>
        </w:tabs>
        <w:numPr>
          <w:ilvl w:val="0"/>
          <w:numId w:val="67"/>
        </w:numPr>
        <w:rPr>
          <w:rFonts w:ascii="Arial" w:cs="Arial" w:eastAsia="Arial" w:hAnsi="Arial"/>
          <w:sz w:val="15"/>
          <w:szCs w:val="15"/>
          <w:color w:val="auto"/>
        </w:rPr>
      </w:pPr>
      <w:r>
        <w:rPr>
          <w:rFonts w:ascii="Arial" w:cs="Arial" w:eastAsia="Arial" w:hAnsi="Arial"/>
          <w:sz w:val="15"/>
          <w:szCs w:val="15"/>
          <w:i w:val="1"/>
          <w:iCs w:val="1"/>
          <w:u w:val="single" w:color="auto"/>
          <w:color w:val="auto"/>
        </w:rPr>
        <w:t>Transferability</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left="330"/>
        <w:spacing w:after="0"/>
        <w:rPr>
          <w:rFonts w:ascii="Arial" w:cs="Arial" w:eastAsia="Arial" w:hAnsi="Arial"/>
          <w:sz w:val="15"/>
          <w:szCs w:val="15"/>
          <w:color w:val="auto"/>
        </w:rPr>
      </w:pPr>
      <w:r>
        <w:rPr>
          <w:rFonts w:ascii="Arial" w:cs="Arial" w:eastAsia="Arial" w:hAnsi="Arial"/>
          <w:sz w:val="15"/>
          <w:szCs w:val="15"/>
          <w:color w:val="auto"/>
        </w:rPr>
        <w:t>Options to purchase Common Stock granted under the Plan are not transferable, in any manner, by a Participant and are exercisable only by the Participant.</w:t>
      </w:r>
    </w:p>
    <w:p>
      <w:pPr>
        <w:spacing w:after="0" w:line="162" w:lineRule="exact"/>
        <w:rPr>
          <w:rFonts w:ascii="Arial" w:cs="Arial" w:eastAsia="Arial" w:hAnsi="Arial"/>
          <w:sz w:val="15"/>
          <w:szCs w:val="15"/>
          <w:color w:val="auto"/>
        </w:rPr>
      </w:pPr>
    </w:p>
    <w:p>
      <w:pPr>
        <w:ind w:left="330" w:hanging="330"/>
        <w:spacing w:after="0"/>
        <w:tabs>
          <w:tab w:leader="none" w:pos="330" w:val="left"/>
        </w:tabs>
        <w:numPr>
          <w:ilvl w:val="0"/>
          <w:numId w:val="67"/>
        </w:numPr>
        <w:rPr>
          <w:rFonts w:ascii="Arial" w:cs="Arial" w:eastAsia="Arial" w:hAnsi="Arial"/>
          <w:sz w:val="15"/>
          <w:szCs w:val="15"/>
          <w:color w:val="auto"/>
        </w:rPr>
      </w:pPr>
      <w:r>
        <w:rPr>
          <w:rFonts w:ascii="Arial" w:cs="Arial" w:eastAsia="Arial" w:hAnsi="Arial"/>
          <w:sz w:val="15"/>
          <w:szCs w:val="15"/>
          <w:i w:val="1"/>
          <w:iCs w:val="1"/>
          <w:u w:val="single" w:color="auto"/>
          <w:color w:val="auto"/>
        </w:rPr>
        <w:t>Reports</w:t>
      </w:r>
      <w:r>
        <w:rPr>
          <w:rFonts w:ascii="Arial" w:cs="Arial" w:eastAsia="Arial" w:hAnsi="Arial"/>
          <w:sz w:val="15"/>
          <w:szCs w:val="15"/>
          <w:color w:val="auto"/>
        </w:rPr>
        <w:t>.</w:t>
      </w:r>
    </w:p>
    <w:p>
      <w:pPr>
        <w:spacing w:after="0" w:line="191" w:lineRule="exact"/>
        <w:rPr>
          <w:sz w:val="20"/>
          <w:szCs w:val="20"/>
          <w:color w:val="auto"/>
        </w:rPr>
      </w:pPr>
    </w:p>
    <w:p>
      <w:pPr>
        <w:ind w:left="10" w:firstLine="352"/>
        <w:spacing w:after="0"/>
        <w:rPr>
          <w:sz w:val="20"/>
          <w:szCs w:val="20"/>
          <w:color w:val="auto"/>
        </w:rPr>
      </w:pPr>
      <w:r>
        <w:rPr>
          <w:rFonts w:ascii="Arial" w:cs="Arial" w:eastAsia="Arial" w:hAnsi="Arial"/>
          <w:sz w:val="15"/>
          <w:szCs w:val="15"/>
          <w:color w:val="auto"/>
        </w:rPr>
        <w:t>Individual notional accounts will be maintained for each Participant in the Plan. Following each Exercise Date, Participants who have purchased shares under Section 9 may access a summary of their purchases in the manner determined by the Committee.</w:t>
      </w:r>
    </w:p>
    <w:p>
      <w:pPr>
        <w:spacing w:after="0" w:line="159" w:lineRule="exact"/>
        <w:rPr>
          <w:sz w:val="20"/>
          <w:szCs w:val="20"/>
          <w:color w:val="auto"/>
        </w:rPr>
      </w:pPr>
    </w:p>
    <w:p>
      <w:pPr>
        <w:ind w:left="330" w:hanging="330"/>
        <w:spacing w:after="0"/>
        <w:tabs>
          <w:tab w:leader="none" w:pos="330" w:val="left"/>
        </w:tabs>
        <w:numPr>
          <w:ilvl w:val="0"/>
          <w:numId w:val="68"/>
        </w:numPr>
        <w:rPr>
          <w:rFonts w:ascii="Arial" w:cs="Arial" w:eastAsia="Arial" w:hAnsi="Arial"/>
          <w:sz w:val="15"/>
          <w:szCs w:val="15"/>
          <w:color w:val="auto"/>
        </w:rPr>
      </w:pPr>
      <w:r>
        <w:rPr>
          <w:rFonts w:ascii="Arial" w:cs="Arial" w:eastAsia="Arial" w:hAnsi="Arial"/>
          <w:sz w:val="15"/>
          <w:szCs w:val="15"/>
          <w:i w:val="1"/>
          <w:iCs w:val="1"/>
          <w:u w:val="single" w:color="auto"/>
          <w:color w:val="auto"/>
        </w:rPr>
        <w:t>Adjustments Upon Changes in Capitalization</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10" w:firstLine="338"/>
        <w:spacing w:after="0" w:line="237" w:lineRule="auto"/>
        <w:tabs>
          <w:tab w:leader="none" w:pos="711" w:val="left"/>
        </w:tabs>
        <w:numPr>
          <w:ilvl w:val="1"/>
          <w:numId w:val="68"/>
        </w:numPr>
        <w:rPr>
          <w:rFonts w:ascii="Arial" w:cs="Arial" w:eastAsia="Arial" w:hAnsi="Arial"/>
          <w:sz w:val="15"/>
          <w:szCs w:val="15"/>
          <w:color w:val="auto"/>
        </w:rPr>
      </w:pPr>
      <w:r>
        <w:rPr>
          <w:rFonts w:ascii="Arial" w:cs="Arial" w:eastAsia="Arial" w:hAnsi="Arial"/>
          <w:sz w:val="15"/>
          <w:szCs w:val="15"/>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175" w:lineRule="exact"/>
        <w:rPr>
          <w:rFonts w:ascii="Arial" w:cs="Arial" w:eastAsia="Arial" w:hAnsi="Arial"/>
          <w:sz w:val="15"/>
          <w:szCs w:val="15"/>
          <w:color w:val="auto"/>
        </w:rPr>
      </w:pPr>
    </w:p>
    <w:p>
      <w:pPr>
        <w:jc w:val="both"/>
        <w:ind w:left="10" w:firstLine="331"/>
        <w:spacing w:after="0" w:line="236" w:lineRule="auto"/>
        <w:tabs>
          <w:tab w:leader="none" w:pos="700" w:val="left"/>
        </w:tabs>
        <w:numPr>
          <w:ilvl w:val="1"/>
          <w:numId w:val="68"/>
        </w:numPr>
        <w:rPr>
          <w:rFonts w:ascii="Arial" w:cs="Arial" w:eastAsia="Arial" w:hAnsi="Arial"/>
          <w:sz w:val="15"/>
          <w:szCs w:val="15"/>
          <w:color w:val="auto"/>
        </w:rPr>
      </w:pPr>
      <w:r>
        <w:rPr>
          <w:rFonts w:ascii="Arial" w:cs="Arial" w:eastAsia="Arial" w:hAnsi="Arial"/>
          <w:sz w:val="15"/>
          <w:szCs w:val="15"/>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175" w:lineRule="exact"/>
        <w:rPr>
          <w:rFonts w:ascii="Arial" w:cs="Arial" w:eastAsia="Arial" w:hAnsi="Arial"/>
          <w:sz w:val="15"/>
          <w:szCs w:val="15"/>
          <w:color w:val="auto"/>
        </w:rPr>
      </w:pPr>
    </w:p>
    <w:p>
      <w:pPr>
        <w:jc w:val="both"/>
        <w:ind w:left="10" w:firstLine="416"/>
        <w:spacing w:after="0" w:line="238" w:lineRule="auto"/>
        <w:tabs>
          <w:tab w:leader="none" w:pos="819" w:val="left"/>
        </w:tabs>
        <w:numPr>
          <w:ilvl w:val="2"/>
          <w:numId w:val="68"/>
        </w:numPr>
        <w:rPr>
          <w:rFonts w:ascii="Arial" w:cs="Arial" w:eastAsia="Arial" w:hAnsi="Arial"/>
          <w:sz w:val="15"/>
          <w:szCs w:val="15"/>
          <w:color w:val="auto"/>
        </w:rPr>
      </w:pPr>
      <w:r>
        <w:rPr>
          <w:rFonts w:ascii="Arial" w:cs="Arial" w:eastAsia="Arial" w:hAnsi="Arial"/>
          <w:sz w:val="15"/>
          <w:szCs w:val="15"/>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160" w:lineRule="exact"/>
        <w:rPr>
          <w:rFonts w:ascii="Arial" w:cs="Arial" w:eastAsia="Arial" w:hAnsi="Arial"/>
          <w:sz w:val="15"/>
          <w:szCs w:val="15"/>
          <w:color w:val="auto"/>
        </w:rPr>
      </w:pPr>
    </w:p>
    <w:p>
      <w:pPr>
        <w:ind w:left="330" w:hanging="330"/>
        <w:spacing w:after="0"/>
        <w:tabs>
          <w:tab w:leader="none" w:pos="330" w:val="left"/>
        </w:tabs>
        <w:numPr>
          <w:ilvl w:val="0"/>
          <w:numId w:val="68"/>
        </w:numPr>
        <w:rPr>
          <w:rFonts w:ascii="Arial" w:cs="Arial" w:eastAsia="Arial" w:hAnsi="Arial"/>
          <w:sz w:val="15"/>
          <w:szCs w:val="15"/>
          <w:color w:val="auto"/>
        </w:rPr>
      </w:pPr>
      <w:r>
        <w:rPr>
          <w:rFonts w:ascii="Arial" w:cs="Arial" w:eastAsia="Arial" w:hAnsi="Arial"/>
          <w:sz w:val="15"/>
          <w:szCs w:val="15"/>
          <w:i w:val="1"/>
          <w:iCs w:val="1"/>
          <w:u w:val="single" w:color="auto"/>
          <w:color w:val="auto"/>
        </w:rPr>
        <w:t>Amendment of the Plan</w:t>
      </w:r>
      <w:r>
        <w:rPr>
          <w:rFonts w:ascii="Arial" w:cs="Arial" w:eastAsia="Arial" w:hAnsi="Arial"/>
          <w:sz w:val="15"/>
          <w:szCs w:val="15"/>
          <w:color w:val="auto"/>
        </w:rPr>
        <w:t>.</w:t>
      </w:r>
    </w:p>
    <w:p>
      <w:pPr>
        <w:spacing w:after="0" w:line="191" w:lineRule="exact"/>
        <w:rPr>
          <w:sz w:val="20"/>
          <w:szCs w:val="20"/>
          <w:color w:val="auto"/>
        </w:rPr>
      </w:pPr>
    </w:p>
    <w:p>
      <w:pPr>
        <w:jc w:val="both"/>
        <w:ind w:left="10" w:firstLine="330"/>
        <w:spacing w:after="0" w:line="237" w:lineRule="auto"/>
        <w:rPr>
          <w:sz w:val="20"/>
          <w:szCs w:val="20"/>
          <w:color w:val="auto"/>
        </w:rPr>
      </w:pPr>
      <w:r>
        <w:rPr>
          <w:rFonts w:ascii="Arial" w:cs="Arial" w:eastAsia="Arial" w:hAnsi="Arial"/>
          <w:sz w:val="15"/>
          <w:szCs w:val="15"/>
          <w:color w:val="auto"/>
        </w:rPr>
        <w:t>The Company may at any time, or from time to time, amend the Plan in any respect through action of the Board or, for any amendment that does not require shareholder approval, through action of the Plan Sponsor Committee of the Waste Management Employee Benefit Plans;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161" w:lineRule="exact"/>
        <w:rPr>
          <w:sz w:val="20"/>
          <w:szCs w:val="20"/>
          <w:color w:val="auto"/>
        </w:rPr>
      </w:pPr>
    </w:p>
    <w:p>
      <w:pPr>
        <w:ind w:left="330" w:hanging="330"/>
        <w:spacing w:after="0"/>
        <w:tabs>
          <w:tab w:leader="none" w:pos="330" w:val="left"/>
        </w:tabs>
        <w:numPr>
          <w:ilvl w:val="0"/>
          <w:numId w:val="69"/>
        </w:numPr>
        <w:rPr>
          <w:rFonts w:ascii="Arial" w:cs="Arial" w:eastAsia="Arial" w:hAnsi="Arial"/>
          <w:sz w:val="15"/>
          <w:szCs w:val="15"/>
          <w:color w:val="auto"/>
        </w:rPr>
      </w:pPr>
      <w:r>
        <w:rPr>
          <w:rFonts w:ascii="Arial" w:cs="Arial" w:eastAsia="Arial" w:hAnsi="Arial"/>
          <w:sz w:val="15"/>
          <w:szCs w:val="15"/>
          <w:i w:val="1"/>
          <w:iCs w:val="1"/>
          <w:u w:val="single" w:color="auto"/>
          <w:color w:val="auto"/>
        </w:rPr>
        <w:t>Termination of the Plan</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left="330"/>
        <w:spacing w:after="0"/>
        <w:rPr>
          <w:rFonts w:ascii="Arial" w:cs="Arial" w:eastAsia="Arial" w:hAnsi="Arial"/>
          <w:sz w:val="15"/>
          <w:szCs w:val="15"/>
          <w:color w:val="auto"/>
        </w:rPr>
      </w:pPr>
      <w:r>
        <w:rPr>
          <w:rFonts w:ascii="Arial" w:cs="Arial" w:eastAsia="Arial" w:hAnsi="Arial"/>
          <w:sz w:val="15"/>
          <w:szCs w:val="15"/>
          <w:color w:val="auto"/>
        </w:rPr>
        <w:t>The Plan and all rights of Eligible Employees hereunder shall terminate:</w:t>
      </w:r>
    </w:p>
    <w:p>
      <w:pPr>
        <w:spacing w:after="0" w:line="176" w:lineRule="exact"/>
        <w:rPr>
          <w:rFonts w:ascii="Arial" w:cs="Arial" w:eastAsia="Arial" w:hAnsi="Arial"/>
          <w:sz w:val="15"/>
          <w:szCs w:val="15"/>
          <w:color w:val="auto"/>
        </w:rPr>
      </w:pPr>
    </w:p>
    <w:p>
      <w:pPr>
        <w:ind w:left="10" w:right="20" w:firstLine="447"/>
        <w:spacing w:after="0"/>
        <w:tabs>
          <w:tab w:leader="none" w:pos="874" w:val="left"/>
        </w:tabs>
        <w:numPr>
          <w:ilvl w:val="2"/>
          <w:numId w:val="69"/>
        </w:numPr>
        <w:rPr>
          <w:rFonts w:ascii="Arial" w:cs="Arial" w:eastAsia="Arial" w:hAnsi="Arial"/>
          <w:sz w:val="15"/>
          <w:szCs w:val="15"/>
          <w:color w:val="auto"/>
        </w:rPr>
      </w:pPr>
      <w:r>
        <w:rPr>
          <w:rFonts w:ascii="Arial" w:cs="Arial" w:eastAsia="Arial" w:hAnsi="Arial"/>
          <w:sz w:val="15"/>
          <w:szCs w:val="15"/>
          <w:color w:val="auto"/>
        </w:rPr>
        <w:t>on the Exercise Date that Participants become entitled to purchase a number of shares greater than the number of reserved shares remaining available for purchase under the Plan; or</w:t>
      </w:r>
    </w:p>
    <w:p>
      <w:pPr>
        <w:spacing w:after="0" w:line="173" w:lineRule="exact"/>
        <w:rPr>
          <w:rFonts w:ascii="Arial" w:cs="Arial" w:eastAsia="Arial" w:hAnsi="Arial"/>
          <w:sz w:val="15"/>
          <w:szCs w:val="15"/>
          <w:color w:val="auto"/>
        </w:rPr>
      </w:pPr>
    </w:p>
    <w:p>
      <w:pPr>
        <w:ind w:left="670" w:hanging="344"/>
        <w:spacing w:after="0"/>
        <w:tabs>
          <w:tab w:leader="none" w:pos="670" w:val="left"/>
        </w:tabs>
        <w:numPr>
          <w:ilvl w:val="1"/>
          <w:numId w:val="69"/>
        </w:numPr>
        <w:rPr>
          <w:rFonts w:ascii="Arial" w:cs="Arial" w:eastAsia="Arial" w:hAnsi="Arial"/>
          <w:sz w:val="15"/>
          <w:szCs w:val="15"/>
          <w:color w:val="auto"/>
        </w:rPr>
      </w:pPr>
      <w:r>
        <w:rPr>
          <w:rFonts w:ascii="Arial" w:cs="Arial" w:eastAsia="Arial" w:hAnsi="Arial"/>
          <w:sz w:val="15"/>
          <w:szCs w:val="15"/>
          <w:color w:val="auto"/>
        </w:rPr>
        <w:t>at any time, at the discretion of the Board.</w:t>
      </w:r>
    </w:p>
    <w:p>
      <w:pPr>
        <w:spacing w:after="0" w:line="177" w:lineRule="exact"/>
        <w:rPr>
          <w:sz w:val="20"/>
          <w:szCs w:val="20"/>
          <w:color w:val="auto"/>
        </w:rPr>
      </w:pPr>
    </w:p>
    <w:p>
      <w:pPr>
        <w:ind w:left="10" w:firstLine="443"/>
        <w:spacing w:after="0"/>
        <w:rPr>
          <w:sz w:val="20"/>
          <w:szCs w:val="20"/>
          <w:color w:val="auto"/>
        </w:rPr>
      </w:pPr>
      <w:r>
        <w:rPr>
          <w:rFonts w:ascii="Arial" w:cs="Arial" w:eastAsia="Arial" w:hAnsi="Arial"/>
          <w:sz w:val="15"/>
          <w:szCs w:val="15"/>
          <w:color w:val="auto"/>
        </w:rPr>
        <w:t>In the event that the Plan terminates under circumstances described in Section 15(a) above, reserved shares remaining as of the termination date shall be sold to Participants on a pro rata basis.</w:t>
      </w:r>
    </w:p>
    <w:p>
      <w:pPr>
        <w:spacing w:after="0" w:line="159" w:lineRule="exact"/>
        <w:rPr>
          <w:sz w:val="20"/>
          <w:szCs w:val="20"/>
          <w:color w:val="auto"/>
        </w:rPr>
      </w:pPr>
    </w:p>
    <w:p>
      <w:pPr>
        <w:ind w:left="330" w:hanging="330"/>
        <w:spacing w:after="0"/>
        <w:tabs>
          <w:tab w:leader="none" w:pos="330" w:val="left"/>
        </w:tabs>
        <w:numPr>
          <w:ilvl w:val="0"/>
          <w:numId w:val="70"/>
        </w:numPr>
        <w:rPr>
          <w:rFonts w:ascii="Arial" w:cs="Arial" w:eastAsia="Arial" w:hAnsi="Arial"/>
          <w:sz w:val="15"/>
          <w:szCs w:val="15"/>
          <w:color w:val="auto"/>
        </w:rPr>
      </w:pPr>
      <w:r>
        <w:rPr>
          <w:rFonts w:ascii="Arial" w:cs="Arial" w:eastAsia="Arial" w:hAnsi="Arial"/>
          <w:sz w:val="15"/>
          <w:szCs w:val="15"/>
          <w:i w:val="1"/>
          <w:iCs w:val="1"/>
          <w:u w:val="single" w:color="auto"/>
          <w:color w:val="auto"/>
        </w:rPr>
        <w:t>Notices</w:t>
      </w:r>
      <w:r>
        <w:rPr>
          <w:rFonts w:ascii="Arial" w:cs="Arial" w:eastAsia="Arial" w:hAnsi="Arial"/>
          <w:sz w:val="15"/>
          <w:szCs w:val="15"/>
          <w:color w:val="auto"/>
        </w:rPr>
        <w:t>.</w:t>
      </w:r>
    </w:p>
    <w:p>
      <w:pPr>
        <w:spacing w:after="0" w:line="191" w:lineRule="exact"/>
        <w:rPr>
          <w:sz w:val="20"/>
          <w:szCs w:val="20"/>
          <w:color w:val="auto"/>
        </w:rPr>
      </w:pPr>
    </w:p>
    <w:p>
      <w:pPr>
        <w:ind w:left="10" w:right="20" w:firstLine="327"/>
        <w:spacing w:after="0"/>
        <w:rPr>
          <w:sz w:val="20"/>
          <w:szCs w:val="20"/>
          <w:color w:val="auto"/>
        </w:rPr>
      </w:pPr>
      <w:r>
        <w:rPr>
          <w:rFonts w:ascii="Arial" w:cs="Arial" w:eastAsia="Arial" w:hAnsi="Arial"/>
          <w:sz w:val="15"/>
          <w:szCs w:val="15"/>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55"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5"/>
          <w:szCs w:val="15"/>
          <w:color w:val="auto"/>
        </w:rPr>
        <w:t>A-4</w:t>
      </w:r>
      <w:r>
        <w:rPr>
          <w:sz w:val="20"/>
          <w:szCs w:val="20"/>
          <w:color w:val="auto"/>
        </w:rPr>
        <w:tab/>
      </w:r>
      <w:r>
        <w:rPr>
          <w:rFonts w:ascii="Arial" w:cs="Arial" w:eastAsia="Arial" w:hAnsi="Arial"/>
          <w:sz w:val="18"/>
          <w:szCs w:val="18"/>
          <w:b w:val="1"/>
          <w:bCs w:val="1"/>
          <w:color w:val="00673E"/>
        </w:rPr>
        <w:t xml:space="preserve">|  </w:t>
      </w:r>
      <w:r>
        <w:rPr>
          <w:sz w:val="1"/>
          <w:szCs w:val="1"/>
          <w:color w:val="auto"/>
        </w:rPr>
        <w:drawing>
          <wp:inline distT="0" distB="0" distL="0" distR="0">
            <wp:extent cx="429260" cy="11430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29260" cy="114300"/>
                    </a:xfrm>
                    <a:prstGeom prst="rect">
                      <a:avLst/>
                    </a:prstGeom>
                    <a:noFill/>
                    <a:ln>
                      <a:noFill/>
                    </a:ln>
                  </pic:spPr>
                </pic:pic>
              </a:graphicData>
            </a:graphic>
          </wp:inline>
        </w:drawing>
      </w:r>
      <w:r>
        <w:rPr>
          <w:rFonts w:ascii="Arial" w:cs="Arial" w:eastAsia="Arial" w:hAnsi="Arial"/>
          <w:sz w:val="15"/>
          <w:szCs w:val="15"/>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160260"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70"/>
          </w:cols>
          <w:pgMar w:left="310" w:top="142" w:right="319" w:bottom="1440" w:gutter="0" w:footer="0" w:header="0"/>
        </w:sectPr>
      </w:pPr>
    </w:p>
    <w:bookmarkStart w:id="63" w:name="page64"/>
    <w:bookmarkEnd w:id="63"/>
    <w:p>
      <w:pPr>
        <w:ind w:left="1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5518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73" w:lineRule="exact"/>
        <w:rPr>
          <w:sz w:val="20"/>
          <w:szCs w:val="20"/>
          <w:color w:val="auto"/>
        </w:rPr>
      </w:pPr>
    </w:p>
    <w:p>
      <w:pPr>
        <w:ind w:left="10370"/>
        <w:spacing w:after="0"/>
        <w:rPr>
          <w:sz w:val="20"/>
          <w:szCs w:val="20"/>
          <w:color w:val="auto"/>
        </w:rPr>
      </w:pPr>
      <w:r>
        <w:rPr>
          <w:rFonts w:ascii="Arial" w:cs="Arial" w:eastAsia="Arial" w:hAnsi="Arial"/>
          <w:sz w:val="14"/>
          <w:szCs w:val="14"/>
          <w:b w:val="1"/>
          <w:bCs w:val="1"/>
          <w:color w:val="auto"/>
        </w:rPr>
        <w:t>APPENDIX A</w:t>
      </w:r>
    </w:p>
    <w:p>
      <w:pPr>
        <w:spacing w:after="0" w:line="192" w:lineRule="exact"/>
        <w:rPr>
          <w:sz w:val="20"/>
          <w:szCs w:val="20"/>
          <w:color w:val="auto"/>
        </w:rPr>
      </w:pPr>
    </w:p>
    <w:p>
      <w:pPr>
        <w:ind w:left="330" w:hanging="330"/>
        <w:spacing w:after="0"/>
        <w:tabs>
          <w:tab w:leader="none" w:pos="330" w:val="left"/>
        </w:tabs>
        <w:numPr>
          <w:ilvl w:val="0"/>
          <w:numId w:val="71"/>
        </w:numPr>
        <w:rPr>
          <w:rFonts w:ascii="Arial" w:cs="Arial" w:eastAsia="Arial" w:hAnsi="Arial"/>
          <w:sz w:val="15"/>
          <w:szCs w:val="15"/>
          <w:color w:val="auto"/>
        </w:rPr>
      </w:pPr>
      <w:r>
        <w:rPr>
          <w:rFonts w:ascii="Arial" w:cs="Arial" w:eastAsia="Arial" w:hAnsi="Arial"/>
          <w:sz w:val="15"/>
          <w:szCs w:val="15"/>
          <w:i w:val="1"/>
          <w:iCs w:val="1"/>
          <w:u w:val="single" w:color="auto"/>
          <w:color w:val="auto"/>
        </w:rPr>
        <w:t>Shareholder Approval</w:t>
      </w:r>
      <w:r>
        <w:rPr>
          <w:rFonts w:ascii="Arial" w:cs="Arial" w:eastAsia="Arial" w:hAnsi="Arial"/>
          <w:sz w:val="15"/>
          <w:szCs w:val="15"/>
          <w:color w:val="auto"/>
        </w:rPr>
        <w:t>.</w:t>
      </w:r>
    </w:p>
    <w:p>
      <w:pPr>
        <w:spacing w:after="0" w:line="191" w:lineRule="exact"/>
        <w:rPr>
          <w:sz w:val="20"/>
          <w:szCs w:val="20"/>
          <w:color w:val="auto"/>
        </w:rPr>
      </w:pPr>
    </w:p>
    <w:p>
      <w:pPr>
        <w:ind w:left="10" w:firstLine="341"/>
        <w:spacing w:after="0"/>
        <w:rPr>
          <w:sz w:val="20"/>
          <w:szCs w:val="20"/>
          <w:color w:val="auto"/>
        </w:rPr>
      </w:pPr>
      <w:r>
        <w:rPr>
          <w:rFonts w:ascii="Arial" w:cs="Arial" w:eastAsia="Arial" w:hAnsi="Arial"/>
          <w:sz w:val="15"/>
          <w:szCs w:val="15"/>
          <w:color w:val="auto"/>
        </w:rPr>
        <w:t>This amended and restated Plan shall be subject to approval by the shareholders of the Company within twelve months after the date the amended and restated Plan is adopted by the Board of Directors.</w:t>
      </w:r>
    </w:p>
    <w:p>
      <w:pPr>
        <w:spacing w:after="0" w:line="159" w:lineRule="exact"/>
        <w:rPr>
          <w:sz w:val="20"/>
          <w:szCs w:val="20"/>
          <w:color w:val="auto"/>
        </w:rPr>
      </w:pPr>
    </w:p>
    <w:p>
      <w:pPr>
        <w:ind w:left="330" w:hanging="330"/>
        <w:spacing w:after="0"/>
        <w:tabs>
          <w:tab w:leader="none" w:pos="330" w:val="left"/>
        </w:tabs>
        <w:numPr>
          <w:ilvl w:val="0"/>
          <w:numId w:val="72"/>
        </w:numPr>
        <w:rPr>
          <w:rFonts w:ascii="Arial" w:cs="Arial" w:eastAsia="Arial" w:hAnsi="Arial"/>
          <w:sz w:val="15"/>
          <w:szCs w:val="15"/>
          <w:color w:val="auto"/>
        </w:rPr>
      </w:pPr>
      <w:r>
        <w:rPr>
          <w:rFonts w:ascii="Arial" w:cs="Arial" w:eastAsia="Arial" w:hAnsi="Arial"/>
          <w:sz w:val="15"/>
          <w:szCs w:val="15"/>
          <w:i w:val="1"/>
          <w:iCs w:val="1"/>
          <w:u w:val="single" w:color="auto"/>
          <w:color w:val="auto"/>
        </w:rPr>
        <w:t>Conditions Upon Issuance of Shares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10" w:firstLine="325"/>
        <w:spacing w:after="0" w:line="237" w:lineRule="auto"/>
        <w:tabs>
          <w:tab w:leader="none" w:pos="688" w:val="left"/>
        </w:tabs>
        <w:numPr>
          <w:ilvl w:val="1"/>
          <w:numId w:val="72"/>
        </w:numPr>
        <w:rPr>
          <w:rFonts w:ascii="Arial" w:cs="Arial" w:eastAsia="Arial" w:hAnsi="Arial"/>
          <w:sz w:val="15"/>
          <w:szCs w:val="15"/>
          <w:color w:val="auto"/>
        </w:rPr>
      </w:pPr>
      <w:r>
        <w:rPr>
          <w:rFonts w:ascii="Arial" w:cs="Arial" w:eastAsia="Arial" w:hAnsi="Arial"/>
          <w:sz w:val="15"/>
          <w:szCs w:val="15"/>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 Section 421) expires, or (ii) the date that a Participant specifically requests a certificate for shares purchased pursuant to the Plan.</w:t>
      </w:r>
    </w:p>
    <w:p>
      <w:pPr>
        <w:spacing w:after="0" w:line="173" w:lineRule="exact"/>
        <w:rPr>
          <w:rFonts w:ascii="Arial" w:cs="Arial" w:eastAsia="Arial" w:hAnsi="Arial"/>
          <w:sz w:val="15"/>
          <w:szCs w:val="15"/>
          <w:color w:val="auto"/>
        </w:rPr>
      </w:pPr>
    </w:p>
    <w:p>
      <w:pPr>
        <w:jc w:val="both"/>
        <w:ind w:left="10" w:firstLine="399"/>
        <w:spacing w:after="0" w:line="238" w:lineRule="auto"/>
        <w:tabs>
          <w:tab w:leader="none" w:pos="799" w:val="left"/>
        </w:tabs>
        <w:numPr>
          <w:ilvl w:val="3"/>
          <w:numId w:val="72"/>
        </w:numPr>
        <w:rPr>
          <w:rFonts w:ascii="Arial" w:cs="Arial" w:eastAsia="Arial" w:hAnsi="Arial"/>
          <w:sz w:val="15"/>
          <w:szCs w:val="15"/>
          <w:color w:val="auto"/>
        </w:rPr>
      </w:pPr>
      <w:r>
        <w:rPr>
          <w:rFonts w:ascii="Arial" w:cs="Arial" w:eastAsia="Arial" w:hAnsi="Arial"/>
          <w:sz w:val="15"/>
          <w:szCs w:val="15"/>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160" w:lineRule="exact"/>
        <w:rPr>
          <w:rFonts w:ascii="Arial" w:cs="Arial" w:eastAsia="Arial" w:hAnsi="Arial"/>
          <w:sz w:val="15"/>
          <w:szCs w:val="15"/>
          <w:color w:val="auto"/>
        </w:rPr>
      </w:pPr>
    </w:p>
    <w:p>
      <w:pPr>
        <w:ind w:left="330" w:hanging="330"/>
        <w:spacing w:after="0"/>
        <w:tabs>
          <w:tab w:leader="none" w:pos="330" w:val="left"/>
        </w:tabs>
        <w:numPr>
          <w:ilvl w:val="0"/>
          <w:numId w:val="72"/>
        </w:numPr>
        <w:rPr>
          <w:rFonts w:ascii="Arial" w:cs="Arial" w:eastAsia="Arial" w:hAnsi="Arial"/>
          <w:sz w:val="15"/>
          <w:szCs w:val="15"/>
          <w:color w:val="auto"/>
        </w:rPr>
      </w:pPr>
      <w:r>
        <w:rPr>
          <w:rFonts w:ascii="Arial" w:cs="Arial" w:eastAsia="Arial" w:hAnsi="Arial"/>
          <w:sz w:val="15"/>
          <w:szCs w:val="15"/>
          <w:i w:val="1"/>
          <w:iCs w:val="1"/>
          <w:u w:val="single" w:color="auto"/>
          <w:color w:val="auto"/>
        </w:rPr>
        <w:t>General Provisions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left="10" w:firstLine="316"/>
        <w:spacing w:after="0"/>
        <w:tabs>
          <w:tab w:leader="none" w:pos="677" w:val="left"/>
        </w:tabs>
        <w:numPr>
          <w:ilvl w:val="1"/>
          <w:numId w:val="72"/>
        </w:numPr>
        <w:rPr>
          <w:rFonts w:ascii="Arial" w:cs="Arial" w:eastAsia="Arial" w:hAnsi="Arial"/>
          <w:sz w:val="15"/>
          <w:szCs w:val="15"/>
          <w:color w:val="auto"/>
        </w:rPr>
      </w:pPr>
      <w:r>
        <w:rPr>
          <w:rFonts w:ascii="Arial" w:cs="Arial" w:eastAsia="Arial" w:hAnsi="Arial"/>
          <w:sz w:val="15"/>
          <w:szCs w:val="15"/>
          <w:color w:val="auto"/>
        </w:rPr>
        <w:t>Notwithstanding any provision of the Plan to the contrary and in accordance with Section 423 of the Code, all Eligible Employees who are granted options under the Plan shall have the same rights and privileges.</w:t>
      </w:r>
    </w:p>
    <w:p>
      <w:pPr>
        <w:spacing w:after="0" w:line="173" w:lineRule="exact"/>
        <w:rPr>
          <w:rFonts w:ascii="Arial" w:cs="Arial" w:eastAsia="Arial" w:hAnsi="Arial"/>
          <w:sz w:val="15"/>
          <w:szCs w:val="15"/>
          <w:color w:val="auto"/>
        </w:rPr>
      </w:pPr>
    </w:p>
    <w:p>
      <w:pPr>
        <w:ind w:left="670" w:hanging="344"/>
        <w:spacing w:after="0"/>
        <w:tabs>
          <w:tab w:leader="none" w:pos="670" w:val="left"/>
        </w:tabs>
        <w:numPr>
          <w:ilvl w:val="1"/>
          <w:numId w:val="72"/>
        </w:numPr>
        <w:rPr>
          <w:rFonts w:ascii="Arial" w:cs="Arial" w:eastAsia="Arial" w:hAnsi="Arial"/>
          <w:sz w:val="15"/>
          <w:szCs w:val="15"/>
          <w:color w:val="auto"/>
        </w:rPr>
      </w:pPr>
      <w:r>
        <w:rPr>
          <w:rFonts w:ascii="Arial" w:cs="Arial" w:eastAsia="Arial" w:hAnsi="Arial"/>
          <w:sz w:val="15"/>
          <w:szCs w:val="15"/>
          <w:color w:val="auto"/>
        </w:rPr>
        <w:t>Neither the Plan nor any compensation paid hereunder will confer on any Participant the right to continue as an employee or in any other capacity.</w:t>
      </w:r>
    </w:p>
    <w:p>
      <w:pPr>
        <w:spacing w:after="0" w:line="176" w:lineRule="exact"/>
        <w:rPr>
          <w:rFonts w:ascii="Arial" w:cs="Arial" w:eastAsia="Arial" w:hAnsi="Arial"/>
          <w:sz w:val="15"/>
          <w:szCs w:val="15"/>
          <w:color w:val="auto"/>
        </w:rPr>
      </w:pPr>
    </w:p>
    <w:p>
      <w:pPr>
        <w:jc w:val="both"/>
        <w:ind w:left="10" w:firstLine="342"/>
        <w:spacing w:after="0" w:line="238" w:lineRule="auto"/>
        <w:tabs>
          <w:tab w:leader="none" w:pos="700" w:val="left"/>
        </w:tabs>
        <w:numPr>
          <w:ilvl w:val="2"/>
          <w:numId w:val="72"/>
        </w:numPr>
        <w:rPr>
          <w:rFonts w:ascii="Arial" w:cs="Arial" w:eastAsia="Arial" w:hAnsi="Arial"/>
          <w:sz w:val="15"/>
          <w:szCs w:val="15"/>
          <w:color w:val="auto"/>
        </w:rPr>
      </w:pPr>
      <w:r>
        <w:rPr>
          <w:rFonts w:ascii="Arial" w:cs="Arial" w:eastAsia="Arial" w:hAnsi="Arial"/>
          <w:sz w:val="15"/>
          <w:szCs w:val="15"/>
          <w:color w:val="auto"/>
        </w:rPr>
        <w:t>A Participant will become a stockholder with respect to the shares of Common Stock that are purchased pursuant to options granted under the Plan only when the shares are issued to the Participant in accordance with the terms of the Plan. A Participant will have no rights as a stockholder with respect to shares of Common Stock for which an election to participate in an Offering Period has been made until such Participant becomes a stockholder as provided above.</w:t>
      </w:r>
    </w:p>
    <w:p>
      <w:pPr>
        <w:spacing w:after="0" w:line="174" w:lineRule="exact"/>
        <w:rPr>
          <w:rFonts w:ascii="Arial" w:cs="Arial" w:eastAsia="Arial" w:hAnsi="Arial"/>
          <w:sz w:val="15"/>
          <w:szCs w:val="15"/>
          <w:color w:val="auto"/>
        </w:rPr>
      </w:pPr>
    </w:p>
    <w:p>
      <w:pPr>
        <w:ind w:left="670" w:hanging="344"/>
        <w:spacing w:after="0"/>
        <w:tabs>
          <w:tab w:leader="none" w:pos="670" w:val="left"/>
        </w:tabs>
        <w:numPr>
          <w:ilvl w:val="2"/>
          <w:numId w:val="72"/>
        </w:numPr>
        <w:rPr>
          <w:rFonts w:ascii="Arial" w:cs="Arial" w:eastAsia="Arial" w:hAnsi="Arial"/>
          <w:sz w:val="15"/>
          <w:szCs w:val="15"/>
          <w:color w:val="auto"/>
        </w:rPr>
      </w:pPr>
      <w:r>
        <w:rPr>
          <w:rFonts w:ascii="Arial" w:cs="Arial" w:eastAsia="Arial" w:hAnsi="Arial"/>
          <w:sz w:val="15"/>
          <w:szCs w:val="15"/>
          <w:color w:val="auto"/>
        </w:rPr>
        <w:t>The Plan shall be binding on the Company and its successors and assigns.</w:t>
      </w:r>
    </w:p>
    <w:p>
      <w:pPr>
        <w:spacing w:after="0" w:line="176" w:lineRule="exact"/>
        <w:rPr>
          <w:rFonts w:ascii="Arial" w:cs="Arial" w:eastAsia="Arial" w:hAnsi="Arial"/>
          <w:sz w:val="15"/>
          <w:szCs w:val="15"/>
          <w:color w:val="auto"/>
        </w:rPr>
      </w:pPr>
    </w:p>
    <w:p>
      <w:pPr>
        <w:ind w:left="670" w:hanging="344"/>
        <w:spacing w:after="0"/>
        <w:tabs>
          <w:tab w:leader="none" w:pos="670" w:val="left"/>
        </w:tabs>
        <w:numPr>
          <w:ilvl w:val="2"/>
          <w:numId w:val="72"/>
        </w:numPr>
        <w:rPr>
          <w:rFonts w:ascii="Arial" w:cs="Arial" w:eastAsia="Arial" w:hAnsi="Arial"/>
          <w:sz w:val="15"/>
          <w:szCs w:val="15"/>
          <w:color w:val="auto"/>
        </w:rPr>
      </w:pPr>
      <w:r>
        <w:rPr>
          <w:rFonts w:ascii="Arial" w:cs="Arial" w:eastAsia="Arial" w:hAnsi="Arial"/>
          <w:sz w:val="15"/>
          <w:szCs w:val="15"/>
          <w:color w:val="auto"/>
        </w:rPr>
        <w:t>This Plan constitutes the entire plan with respect to the subject matter hereof and supersedes all prior plans with respect to the subject matter hereof.</w:t>
      </w:r>
    </w:p>
    <w:p>
      <w:pPr>
        <w:spacing w:after="0" w:line="176" w:lineRule="exact"/>
        <w:rPr>
          <w:rFonts w:ascii="Arial" w:cs="Arial" w:eastAsia="Arial" w:hAnsi="Arial"/>
          <w:sz w:val="15"/>
          <w:szCs w:val="15"/>
          <w:color w:val="auto"/>
        </w:rPr>
      </w:pPr>
    </w:p>
    <w:p>
      <w:pPr>
        <w:ind w:left="10" w:firstLine="320"/>
        <w:spacing w:after="0"/>
        <w:tabs>
          <w:tab w:leader="none" w:pos="640" w:val="left"/>
        </w:tabs>
        <w:numPr>
          <w:ilvl w:val="1"/>
          <w:numId w:val="73"/>
        </w:numPr>
        <w:rPr>
          <w:rFonts w:ascii="Arial" w:cs="Arial" w:eastAsia="Arial" w:hAnsi="Arial"/>
          <w:sz w:val="15"/>
          <w:szCs w:val="15"/>
          <w:color w:val="auto"/>
        </w:rPr>
      </w:pPr>
      <w:r>
        <w:rPr>
          <w:rFonts w:ascii="Arial" w:cs="Arial" w:eastAsia="Arial" w:hAnsi="Arial"/>
          <w:sz w:val="15"/>
          <w:szCs w:val="15"/>
          <w:color w:val="auto"/>
        </w:rPr>
        <w:t>The Plan and all rights hereunder shall be subject to and interpreted in accordance with the laws of the State of Texas, without reference to the principles of conflicts of laws, and to applicable Federal or other securities laws.</w:t>
      </w:r>
    </w:p>
    <w:p>
      <w:pPr>
        <w:spacing w:after="0" w:line="155" w:lineRule="exact"/>
        <w:rPr>
          <w:sz w:val="20"/>
          <w:szCs w:val="20"/>
          <w:color w:val="auto"/>
        </w:rPr>
      </w:pPr>
    </w:p>
    <w:p>
      <w:pPr>
        <w:jc w:val="right"/>
        <w:spacing w:after="0"/>
        <w:tabs>
          <w:tab w:leader="none" w:pos="420" w:val="left"/>
          <w:tab w:leader="none" w:pos="200" w:val="left"/>
        </w:tabs>
        <w:rPr>
          <w:sz w:val="20"/>
          <w:szCs w:val="20"/>
          <w:color w:val="auto"/>
        </w:rPr>
      </w:pPr>
      <w:r>
        <w:rPr>
          <w:rFonts w:ascii="Arial" w:cs="Arial" w:eastAsia="Arial" w:hAnsi="Arial"/>
          <w:sz w:val="15"/>
          <w:szCs w:val="15"/>
          <w:color w:val="auto"/>
        </w:rPr>
        <w:t>2020 Proxy Statement</w:t>
      </w:r>
      <w:r>
        <w:rPr>
          <w:sz w:val="20"/>
          <w:szCs w:val="20"/>
          <w:color w:val="auto"/>
        </w:rPr>
        <w:tab/>
      </w:r>
      <w:r>
        <w:rPr>
          <w:rFonts w:ascii="Arial" w:cs="Arial" w:eastAsia="Arial" w:hAnsi="Arial"/>
          <w:sz w:val="18"/>
          <w:szCs w:val="18"/>
          <w:b w:val="1"/>
          <w:bCs w:val="1"/>
          <w:color w:val="00673E"/>
        </w:rPr>
        <w:t>|</w:t>
      </w:r>
      <w:r>
        <w:rPr>
          <w:sz w:val="20"/>
          <w:szCs w:val="20"/>
          <w:color w:val="auto"/>
        </w:rPr>
        <w:tab/>
      </w: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160260" cy="19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-99060</wp:posOffset>
            </wp:positionV>
            <wp:extent cx="429260" cy="1143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29260" cy="114300"/>
                    </a:xfrm>
                    <a:prstGeom prst="rect">
                      <a:avLst/>
                    </a:prstGeom>
                    <a:noFill/>
                  </pic:spPr>
                </pic:pic>
              </a:graphicData>
            </a:graphic>
          </wp:anchor>
        </w:drawing>
      </w:r>
    </w:p>
    <w:p>
      <w:pPr>
        <w:sectPr>
          <w:pgSz w:w="11900" w:h="16838" w:orient="portrait"/>
          <w:cols w:equalWidth="0" w:num="1">
            <w:col w:w="11270"/>
          </w:cols>
          <w:pgMar w:left="310" w:top="142" w:right="319"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210820</wp:posOffset>
            </wp:positionV>
            <wp:extent cx="7207250" cy="93370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37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95885</wp:posOffset>
            </wp:positionV>
            <wp:extent cx="7207250" cy="9308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084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o"/>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o"/>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o"/>
      <w:numFmt w:val="bullet"/>
      <w:start w:val="1"/>
    </w:lvl>
    <w:lvl w:ilvl="1">
      <w:lvlJc w:val="left"/>
      <w:lvlText w:val="(%2)"/>
      <w:numFmt w:val="decimal"/>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1)"/>
      <w:numFmt w:val="decimal"/>
      <w:start w:val="3"/>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1)"/>
      <w:numFmt w:val="lowerLetter"/>
      <w:start w:val="2"/>
    </w:lvl>
  </w:abstractNum>
  <w:abstractNum w:abstractNumId="36">
    <w:nsid w:val="23F9C13C"/>
    <w:multiLevelType w:val="hybridMultilevel"/>
    <w:lvl w:ilvl="0">
      <w:lvlJc w:val="left"/>
      <w:lvlText w:val="(%1)"/>
      <w:numFmt w:val="lowerLetter"/>
      <w:start w:val="2"/>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3"/>
    </w:lvl>
  </w:abstractNum>
  <w:abstractNum w:abstractNumId="39">
    <w:nsid w:val="39386575"/>
    <w:multiLevelType w:val="hybridMultilevel"/>
    <w:lvl w:ilvl="0">
      <w:lvlJc w:val="left"/>
      <w:lvlText w:val="(%1)"/>
      <w:numFmt w:val="lowerLetter"/>
      <w:start w:val="1"/>
    </w:lvl>
  </w:abstractNum>
  <w:abstractNum w:abstractNumId="40">
    <w:nsid w:val="1CF10FD8"/>
    <w:multiLevelType w:val="hybridMultilevel"/>
    <w:lvl w:ilvl="0">
      <w:lvlJc w:val="left"/>
      <w:lvlText w:val="(%1)"/>
      <w:numFmt w:val="decimal"/>
      <w:start w:val="6"/>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3"/>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3"/>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6">
    <w:nsid w:val="2F305DEF"/>
    <w:multiLevelType w:val="hybridMultilevel"/>
    <w:lvl w:ilvl="0">
      <w:lvlJc w:val="left"/>
      <w:lvlText w:val="(%1)"/>
      <w:numFmt w:val="lowerLetter"/>
      <w:start w:val="4"/>
    </w:lvl>
    <w:lvl w:ilvl="1">
      <w:lvlJc w:val="left"/>
      <w:lvlText w:val="(%2)"/>
      <w:numFmt w:val="lowerLetter"/>
      <w:start w:val="6"/>
    </w:lvl>
    <w:lvl w:ilvl="2">
      <w:lvlJc w:val="left"/>
      <w:lvlText w:val="(%3)"/>
      <w:numFmt w:val="lowerLetter"/>
      <w:start w:val="8"/>
    </w:lvl>
    <w:lvl w:ilvl="3">
      <w:lvlJc w:val="left"/>
      <w:lvlText w:val="(%4)"/>
      <w:numFmt w:val="lowerLetter"/>
      <w:start w:val="6"/>
    </w:lvl>
  </w:abstractNum>
  <w:abstractNum w:abstractNumId="57">
    <w:nsid w:val="25A70BF7"/>
    <w:multiLevelType w:val="hybridMultilevel"/>
    <w:lvl w:ilvl="0">
      <w:lvlJc w:val="left"/>
      <w:lvlText w:val="(%1)"/>
      <w:numFmt w:val="lowerLetter"/>
      <w:start w:val="9"/>
    </w:lvl>
    <w:lvl w:ilvl="1">
      <w:lvlJc w:val="left"/>
      <w:lvlText w:val="(%2)"/>
      <w:numFmt w:val="lowerLetter"/>
      <w:start w:val="11"/>
    </w:lvl>
  </w:abstractNum>
  <w:abstractNum w:abstractNumId="58">
    <w:nsid w:val="1DBABF00"/>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5"/>
    </w:lvl>
    <w:lvl w:ilvl="3">
      <w:lvlJc w:val="left"/>
      <w:lvlText w:val="(%4)"/>
      <w:numFmt w:val="lowerLetter"/>
      <w:start w:val="17"/>
    </w:lvl>
    <w:lvl w:ilvl="4">
      <w:lvlJc w:val="left"/>
      <w:lvlText w:val="(%5)"/>
      <w:numFmt w:val="lowerLetter"/>
      <w:start w:val="14"/>
    </w:lvl>
    <w:lvl w:ilvl="5">
      <w:lvlJc w:val="left"/>
      <w:lvlText w:val="(%6)"/>
      <w:numFmt w:val="lowerLetter"/>
      <w:start w:val="14"/>
    </w:lvl>
  </w:abstractNum>
  <w:abstractNum w:abstractNumId="59">
    <w:nsid w:val="4AD084E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60">
    <w:nsid w:val="1F48EAA1"/>
    <w:multiLevelType w:val="hybridMultilevel"/>
    <w:lvl w:ilvl="0">
      <w:lvlJc w:val="left"/>
      <w:lvlText w:val="%1."/>
      <w:numFmt w:val="decimal"/>
      <w:start w:val="3"/>
    </w:lvl>
  </w:abstractNum>
  <w:abstractNum w:abstractNumId="61">
    <w:nsid w:val="1381823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abstractNum>
  <w:abstractNum w:abstractNumId="62">
    <w:nsid w:val="5DB70AE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abstractNum>
  <w:abstractNum w:abstractNumId="63">
    <w:nsid w:val="100F8FC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Letter"/>
      <w:start w:val="4"/>
    </w:lvl>
  </w:abstractNum>
  <w:abstractNum w:abstractNumId="64">
    <w:nsid w:val="6590700B"/>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abstractNum>
  <w:abstractNum w:abstractNumId="65">
    <w:nsid w:val="15014ACB"/>
    <w:multiLevelType w:val="hybridMultilevel"/>
    <w:lvl w:ilvl="0">
      <w:lvlJc w:val="left"/>
      <w:lvlText w:val="%1"/>
      <w:numFmt w:val="decimal"/>
      <w:start w:val="1"/>
    </w:lvl>
    <w:lvl w:ilvl="1">
      <w:lvlJc w:val="left"/>
      <w:lvlText w:val="(%2)"/>
      <w:numFmt w:val="lowerLetter"/>
      <w:start w:val="3"/>
    </w:lvl>
  </w:abstractNum>
  <w:abstractNum w:abstractNumId="66">
    <w:nsid w:val="5F5E7FD0"/>
    <w:multiLevelType w:val="hybridMultilevel"/>
    <w:lvl w:ilvl="0">
      <w:lvlJc w:val="left"/>
      <w:lvlText w:val="%1."/>
      <w:numFmt w:val="decimal"/>
      <w:start w:val="11"/>
    </w:lvl>
    <w:lvl w:ilvl="1">
      <w:lvlJc w:val="left"/>
      <w:lvlText w:val="%2"/>
      <w:numFmt w:val="lowerLetter"/>
      <w:start w:val="1"/>
    </w:lvl>
  </w:abstractNum>
  <w:abstractNum w:abstractNumId="67">
    <w:nsid w:val="98A3148"/>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3"/>
    </w:lvl>
  </w:abstractNum>
  <w:abstractNum w:abstractNumId="68">
    <w:nsid w:val="799D0247"/>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69">
    <w:nsid w:val="6B94764"/>
    <w:multiLevelType w:val="hybridMultilevel"/>
    <w:lvl w:ilvl="0">
      <w:lvlJc w:val="left"/>
      <w:lvlText w:val="%1."/>
      <w:numFmt w:val="decimal"/>
      <w:start w:val="16"/>
    </w:lvl>
  </w:abstractNum>
  <w:abstractNum w:abstractNumId="70">
    <w:nsid w:val="42C296BD"/>
    <w:multiLevelType w:val="hybridMultilevel"/>
    <w:lvl w:ilvl="0">
      <w:lvlJc w:val="left"/>
      <w:lvlText w:val="%1."/>
      <w:numFmt w:val="decimal"/>
      <w:start w:val="17"/>
    </w:lvl>
  </w:abstractNum>
  <w:abstractNum w:abstractNumId="71">
    <w:nsid w:val="168E121F"/>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3"/>
    </w:lvl>
    <w:lvl w:ilvl="3">
      <w:lvlJc w:val="left"/>
      <w:lvlText w:val="(%4)"/>
      <w:numFmt w:val="lowerLetter"/>
      <w:start w:val="2"/>
    </w:lvl>
  </w:abstractNum>
  <w:abstractNum w:abstractNumId="72">
    <w:nsid w:val="1EBA5D23"/>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2020-03-27T09:03:59Z</dcterms:created>
  <dcterms:modified xsi:type="dcterms:W3CDTF">2020-03-27T09:03:59Z</dcterms:modified>
</cp:coreProperties>
</file>