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r>
      <w:tr>
        <w:trPr>
          <w:trHeight w:val="216"/>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June 24, 2024 relating to the</w:t>
            </w:r>
          </w:p>
        </w:tc>
      </w:tr>
      <w:tr>
        <w:trPr>
          <w:trHeight w:val="216"/>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June 24, 2024</w:t>
            </w:r>
          </w:p>
        </w:tc>
      </w:tr>
      <w:tr>
        <w:trPr>
          <w:trHeight w:val="216"/>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Prospectus dated April 26, 2022</w:t>
            </w:r>
          </w:p>
        </w:tc>
      </w:tr>
      <w:tr>
        <w:trPr>
          <w:trHeight w:val="234"/>
        </w:trPr>
        <w:tc>
          <w:tcPr>
            <w:tcW w:w="3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Statement No. 333-264493</w:t>
            </w:r>
          </w:p>
        </w:tc>
      </w:tr>
      <w:tr>
        <w:trPr>
          <w:trHeight w:val="432"/>
        </w:trPr>
        <w:tc>
          <w:tcPr>
            <w:tcW w:w="3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60" w:type="dxa"/>
            <w:vAlign w:val="bottom"/>
          </w:tcPr>
          <w:p>
            <w:pPr>
              <w:jc w:val="center"/>
              <w:ind w:right="479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410"/>
        </w:trPr>
        <w:tc>
          <w:tcPr>
            <w:tcW w:w="3320" w:type="dxa"/>
            <w:vAlign w:val="bottom"/>
          </w:tcPr>
          <w:p>
            <w:pPr>
              <w:spacing w:after="0"/>
              <w:rPr>
                <w:sz w:val="24"/>
                <w:szCs w:val="24"/>
                <w:color w:val="auto"/>
              </w:rPr>
            </w:pPr>
          </w:p>
        </w:tc>
        <w:tc>
          <w:tcPr>
            <w:tcW w:w="7920" w:type="dxa"/>
            <w:vAlign w:val="bottom"/>
            <w:gridSpan w:val="2"/>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w w:val="99"/>
              </w:rPr>
              <w:t>$750,000,000 4.950% Senior Notes due 2027</w:t>
            </w:r>
          </w:p>
        </w:tc>
      </w:tr>
      <w:tr>
        <w:trPr>
          <w:trHeight w:val="238"/>
        </w:trPr>
        <w:tc>
          <w:tcPr>
            <w:tcW w:w="3320" w:type="dxa"/>
            <w:vAlign w:val="bottom"/>
          </w:tcPr>
          <w:p>
            <w:pPr>
              <w:spacing w:after="0"/>
              <w:rPr>
                <w:sz w:val="20"/>
                <w:szCs w:val="20"/>
                <w:color w:val="auto"/>
              </w:rPr>
            </w:pPr>
          </w:p>
        </w:tc>
        <w:tc>
          <w:tcPr>
            <w:tcW w:w="7920" w:type="dxa"/>
            <w:vAlign w:val="bottom"/>
            <w:gridSpan w:val="2"/>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w w:val="99"/>
              </w:rPr>
              <w:t>$750,000,000 4.950% Senior Notes due 2031</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Waste Management Holdings, Inc.</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Moody’s: A3</w:t>
            </w:r>
          </w:p>
        </w:tc>
      </w:tr>
      <w:tr>
        <w:trPr>
          <w:trHeight w:val="216"/>
        </w:trPr>
        <w:tc>
          <w:tcPr>
            <w:tcW w:w="3320" w:type="dxa"/>
            <w:vAlign w:val="bottom"/>
          </w:tcPr>
          <w:p>
            <w:pPr>
              <w:spacing w:after="0"/>
              <w:rPr>
                <w:sz w:val="18"/>
                <w:szCs w:val="18"/>
                <w:color w:val="auto"/>
              </w:rPr>
            </w:pP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S&amp;P: A-</w:t>
            </w:r>
          </w:p>
        </w:tc>
      </w:tr>
      <w:tr>
        <w:trPr>
          <w:trHeight w:val="234"/>
        </w:trPr>
        <w:tc>
          <w:tcPr>
            <w:tcW w:w="3320" w:type="dxa"/>
            <w:vAlign w:val="bottom"/>
          </w:tcPr>
          <w:p>
            <w:pPr>
              <w:spacing w:after="0"/>
              <w:rPr>
                <w:sz w:val="20"/>
                <w:szCs w:val="20"/>
                <w:color w:val="auto"/>
              </w:rPr>
            </w:pP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Fitch: A-</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June 24, 2024</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T+7; July 3, 2024</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2027</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$750,000,000</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2031</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$750,000,000</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2027</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July 3, 2027</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2031</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July 3, 2031</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2027</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4.950%</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2031</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4.950%</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2027</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4.625% due June 15, 2027</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2031</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4.625% due May 31, 2031</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2027</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100-13 ¼ / 4.474%</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2031</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102-06+ / 4.254%</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2027</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+52 basis points</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2031</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+80 basis points</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2027</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4.994%</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2031</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5.054%</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2027</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99.879% of the principal amount</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2031</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99.393% of the principal amount</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(before expenses):</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$1,489,665,000</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2027</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Semi-annually on January 3 and July 3, commencing on January 3, 2025</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2031</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Semi-annually on January 3 and July 3, commencing on January 3, 2025</w:t>
            </w:r>
          </w:p>
        </w:tc>
      </w:tr>
      <w:tr>
        <w:trPr>
          <w:trHeight w:val="702"/>
        </w:trPr>
        <w:tc>
          <w:tcPr>
            <w:tcW w:w="3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2027 Notes: Prior to June 3, 2027 (one month prior to the maturity date), the 2027 Notes are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 time,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at a redemption price equal to the greater of: (1) (a) the sum of the present values of the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remaining scheduled payments of principal and interest thereon discounted to the redemption</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date (assuming the 2027 Notes matured on June 3, 2027) on a semi-annual basis (assuming a</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360-day year consisting of twelve 30-day months) at the Treasury Rate plus 10 basis points,</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less (b) interest accrued to the redemption date, and (2) 100% of the principal amount of the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2027 Notes to be redeemed, plus, in either case, accrued and unpaid interest thereon to the</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redemption date.</w:t>
            </w:r>
          </w:p>
        </w:tc>
      </w:tr>
      <w:tr>
        <w:trPr>
          <w:trHeight w:val="414"/>
        </w:trPr>
        <w:tc>
          <w:tcPr>
            <w:tcW w:w="3060" w:type="dxa"/>
            <w:vAlign w:val="bottom"/>
          </w:tcPr>
          <w:p>
            <w:pPr>
              <w:spacing w:after="0"/>
              <w:rPr>
                <w:sz w:val="24"/>
                <w:szCs w:val="24"/>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On or after June 3, 2027 (one month prior to the maturity date), the 2027 Notes are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 time,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at a redemption price equal to 100% of the principal amount of the 2027 Notes to be</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redeemed, plus accrued and unpaid interest thereon to the redemption date.</w:t>
            </w:r>
          </w:p>
        </w:tc>
      </w:tr>
      <w:tr>
        <w:trPr>
          <w:trHeight w:val="414"/>
        </w:trPr>
        <w:tc>
          <w:tcPr>
            <w:tcW w:w="3060" w:type="dxa"/>
            <w:vAlign w:val="bottom"/>
          </w:tcPr>
          <w:p>
            <w:pPr>
              <w:spacing w:after="0"/>
              <w:rPr>
                <w:sz w:val="24"/>
                <w:szCs w:val="24"/>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2031 Notes: Prior to May 3, 2031 (two months prior to the maturity date), the 2031 Notes are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 time,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at a redemption price equal to the greater of: (1) (a) the sum of the present values of the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remaining scheduled payments of principal and interest thereon discounted to the redemption</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date (assuming the 2031 Notes matured on May 3, 2031) on a semi-annual basis (assuming a</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360-day year consisting of twelve 30-day months) at the Treasury Rate plus 15 basis points,</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less (b) interest accrued to the redemption date, and (2) 100% of the principal amount of the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2031 Notes to be redeemed, plus, in either case, accrued and unpaid interest thereon to the</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redemption date.</w:t>
            </w:r>
          </w:p>
        </w:tc>
      </w:tr>
      <w:tr>
        <w:trPr>
          <w:trHeight w:val="414"/>
        </w:trPr>
        <w:tc>
          <w:tcPr>
            <w:tcW w:w="3060" w:type="dxa"/>
            <w:vAlign w:val="bottom"/>
          </w:tcPr>
          <w:p>
            <w:pPr>
              <w:spacing w:after="0"/>
              <w:rPr>
                <w:sz w:val="24"/>
                <w:szCs w:val="24"/>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On or after May 3, 2031 (two months prior to the maturity date), the 2031 Notes are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 time,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at a redemption price equal to 100% of the principal amount of the 2031 Notes to be</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redeemed, plus accrued and unpaid interest thereon to the redemption date.</w:t>
            </w: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2027 Notes: 94106L BX6 / US94106LBX64</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2031 Notes: 94106L BY4 / US94106LBY48</w:t>
            </w:r>
          </w:p>
        </w:tc>
      </w:tr>
      <w:tr>
        <w:trPr>
          <w:trHeight w:val="702"/>
        </w:trPr>
        <w:tc>
          <w:tcPr>
            <w:tcW w:w="306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00" w:lineRule="exact"/>
        <w:rPr>
          <w:sz w:val="20"/>
          <w:szCs w:val="20"/>
          <w:color w:val="auto"/>
        </w:rPr>
      </w:pPr>
    </w:p>
    <w:p>
      <w:pPr>
        <w:sectPr>
          <w:pgSz w:w="11900" w:h="16838" w:orient="portrait"/>
          <w:cols w:equalWidth="0" w:num="2">
            <w:col w:w="3780" w:space="720"/>
            <w:col w:w="6700"/>
          </w:cols>
          <w:pgMar w:left="320" w:top="931" w:right="379"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Siebert Williams Shank &amp;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Brothers &amp; Co.</w:t>
      </w:r>
    </w:p>
    <w:p>
      <w:pPr>
        <w:spacing w:after="0" w:line="200" w:lineRule="exact"/>
        <w:rPr>
          <w:sz w:val="20"/>
          <w:szCs w:val="20"/>
          <w:color w:val="auto"/>
        </w:rPr>
      </w:pPr>
    </w:p>
    <w:p>
      <w:pPr>
        <w:sectPr>
          <w:pgSz w:w="11900" w:h="16838" w:orient="portrait"/>
          <w:cols w:equalWidth="0" w:num="2">
            <w:col w:w="3780" w:space="720"/>
            <w:col w:w="6700"/>
          </w:cols>
          <w:pgMar w:left="320" w:top="931" w:right="3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Note: A securities rating is not a recommendation to buy, sell or hold securities and may be subject to review or withdrawal at any time.</w:t>
      </w:r>
    </w:p>
    <w:p>
      <w:pPr>
        <w:spacing w:after="0" w:line="225" w:lineRule="exact"/>
        <w:rPr>
          <w:sz w:val="20"/>
          <w:szCs w:val="20"/>
          <w:color w:val="auto"/>
        </w:rPr>
      </w:pPr>
    </w:p>
    <w:p>
      <w:pPr>
        <w:jc w:val="both"/>
        <w:ind w:firstLine="8"/>
        <w:spacing w:after="0" w:line="258" w:lineRule="auto"/>
        <w:tabs>
          <w:tab w:leader="none" w:pos="2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delivery of the notes will be made against payment therefor on or about July 3, 2024, which is the seventh business day following the date of pricing of the notes (such settlement being referred to as “T+7”). Under Rule 15c6-1 of the Exchange Act, trades in the secondary market generally are required to settle in one business day unless the parties to any such trade expressly agree otherwise. Accordingly, purchasers who wish to trade the notes on any date prior to one business day before delivery will be required, by virtue of the fact that the notes initially will settle in T+7, to specify an alternate settlement cycle at the time of any such trade to prevent failed settlement and should consult their own advisers.</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in this term sheet supplements the information provided in the preliminary prospectus supplement dated June 24, 2024. To the extent information in this term sheet conflicts with information in the preliminary prospectus supplement, this term sheet controls. All capitalized terms used in this term sheet shall have the meaning ascribed to them in the preliminary prospectus supplement.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BNP Paribas Securities Corp. toll-free at 1 (800) 854-5674; (2) SMBC Nikko Securities America, Inc. toll-free at 1 (888) 868-6856; (3) Truist Securities, Inc. toll-free at 1 (800) 685-4786; or (4) Wells Fargo Securities, LLC toll-free at 1 (800) 645-3751.</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3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2024-06-24T15:48:30Z</dcterms:created>
  <dcterms:modified xsi:type="dcterms:W3CDTF">2024-06-24T15:48:30Z</dcterms:modified>
</cp:coreProperties>
</file>