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716,075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November 28, 2006, the last reported sale price of the common stock on the New York Stock Exchange was $37.12 per share.</w:t>
      </w:r>
    </w:p>
    <w:p>
      <w:pPr>
        <w:spacing w:after="0" w:line="62" w:lineRule="exact"/>
        <w:rPr>
          <w:sz w:val="20"/>
          <w:szCs w:val="20"/>
          <w:color w:val="auto"/>
        </w:rPr>
      </w:pPr>
    </w:p>
    <w:p>
      <w:pPr>
        <w:ind w:right="20" w:firstLine="222"/>
        <w:spacing w:after="0" w:line="308" w:lineRule="auto"/>
        <w:rPr>
          <w:sz w:val="20"/>
          <w:szCs w:val="20"/>
          <w:color w:val="auto"/>
        </w:rPr>
      </w:pPr>
      <w:r>
        <w:rPr>
          <w:rFonts w:ascii="Arial" w:cs="Arial" w:eastAsia="Arial" w:hAnsi="Arial"/>
          <w:sz w:val="17"/>
          <w:szCs w:val="17"/>
          <w:color w:val="auto"/>
        </w:rPr>
        <w:t>We are issuing the shares directly to warrant holders upon exercise by such holders of six currently outstanding warrants. The warrants, originally issued in 1996 and 1997, entitle the holders to purchase an aggregate of 716,075 shares of our common stock at purchase prices as follows:</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 Issuance Date</w:t>
            </w:r>
          </w:p>
        </w:tc>
        <w:tc>
          <w:tcPr>
            <w:tcW w:w="4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December 1, 1996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December 16, 1996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161,250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28.1390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December 20, 1996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January 2, 1997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26,875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27.9060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February 19, 1997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February 19, 1997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use the net proceeds of approximately $21 million from the sale of the shares for general corporate purposes.</w:t>
      </w:r>
    </w:p>
    <w:p>
      <w:pPr>
        <w:spacing w:after="0" w:line="113"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incorporated by reference into the Prospectus dated September 22, 2006.</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December 4,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November 30,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2019-12-20T03:54:16Z</dcterms:created>
  <dcterms:modified xsi:type="dcterms:W3CDTF">2019-12-20T03:54:16Z</dcterms:modified>
</cp:coreProperties>
</file>