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1001 Fannin, Houston, Texas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right="4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February 27, 2017, the Board of Directors of Waste Management, Inc. (the “Company”) elected Ms. Devina A. Rankin to serve as Senior Vice President, Chief Financial Officer and Treasurer.</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Ms. Rankin, age 41, had been serving as Vice President, Treasurer and Acting Chief Financial Officer since January 11, 2017. Ms. Rankin had previously served as the Company’s Vice President and Treasurer since August 2012, having been promoted from the position of Assistant Treasurer. She joined the Company in 2002 and has held a number of corporate finance positions of increasing responsibility during her tenure. Ms. Rankin began her career at Arthur Andersen, a public accounting firm, in 1999. Ms. Rankin earned a Bachelor of Business Administration and a Master of Science degree in accounting from Texas A&amp;M University and is a certified public accountant licensed in Texas.</w:t>
      </w:r>
    </w:p>
    <w:p>
      <w:pPr>
        <w:spacing w:after="0" w:line="17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In connection with her promotion, Ms. Rankin’s annual base salary was increased to $500,000, and her target annual cash incentive will be 90% of her base salary in effect from the date of her promotion, increased from 50% of her base salary in effect prior to her promotion. On February 28, 2017, she also received 11,268 performance share units and 25,907 stock options under the Company’s 2014 Stock Incentive Plan (the “Plan”). The material terms of such equity awards are the same as the terms of our named executive officers’ awards set forth below.</w:t>
      </w:r>
    </w:p>
    <w:p>
      <w:pPr>
        <w:spacing w:after="0" w:line="17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On February 28, 2017, the Management Development and Compensation Committee (the “Committee”) of the Board of Directors of the Company granted equity awards under the Plan to each of the Company’s currently-serving named executive officers (collectively, the “Executives”).</w:t>
      </w:r>
    </w:p>
    <w:p>
      <w:pPr>
        <w:spacing w:after="0" w:line="12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Each of the Executives, which includes James C. Fish, Jr., President and Chief Executive Officer; James E. Trevathan, Jr., Executive Vice President and Chief Operating Officer; Jeff M. Harris, Senior Vice President — Operations and John J. Morris, Jr., Senior Vice President — Operations, received performance share units and stock options. The number of performance share units granted to each of the Executives is as follows: Mr. Fish — 56,338; Mr. Trevathan — 24,226; Mr. Harris — 16,902 and Mr. Morris — 16,902. The material terms of the performance share units are described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Performance Share Units</w:t>
            </w:r>
          </w:p>
        </w:tc>
        <w:tc>
          <w:tcPr>
            <w:tcW w:w="1700" w:type="dxa"/>
            <w:vAlign w:val="bottom"/>
          </w:tcPr>
          <w:p>
            <w:pPr>
              <w:spacing w:after="0"/>
              <w:rPr>
                <w:sz w:val="17"/>
                <w:szCs w:val="17"/>
                <w:color w:val="auto"/>
              </w:rPr>
            </w:pPr>
          </w:p>
        </w:tc>
        <w:tc>
          <w:tcPr>
            <w:tcW w:w="7700" w:type="dxa"/>
            <w:vAlign w:val="bottom"/>
          </w:tcPr>
          <w:p>
            <w:pPr>
              <w:spacing w:after="0"/>
              <w:rPr>
                <w:sz w:val="17"/>
                <w:szCs w:val="17"/>
                <w:color w:val="auto"/>
              </w:rPr>
            </w:pPr>
          </w:p>
        </w:tc>
      </w:tr>
      <w:tr>
        <w:trPr>
          <w:trHeight w:val="465"/>
        </w:trPr>
        <w:tc>
          <w:tcPr>
            <w:tcW w:w="3660" w:type="dxa"/>
            <w:vAlign w:val="bottom"/>
            <w:gridSpan w:val="2"/>
          </w:tcPr>
          <w:p>
            <w:pPr>
              <w:spacing w:after="0"/>
              <w:rPr>
                <w:sz w:val="20"/>
                <w:szCs w:val="20"/>
                <w:color w:val="auto"/>
              </w:rPr>
            </w:pPr>
            <w:r>
              <w:rPr>
                <w:rFonts w:ascii="Arial" w:cs="Arial" w:eastAsia="Arial" w:hAnsi="Arial"/>
                <w:sz w:val="18"/>
                <w:szCs w:val="18"/>
                <w:color w:val="auto"/>
              </w:rPr>
              <w:t>Performance Calculation Date (“PCD”)</w:t>
            </w:r>
          </w:p>
        </w:tc>
        <w:tc>
          <w:tcPr>
            <w:tcW w:w="7700" w:type="dxa"/>
            <w:vAlign w:val="bottom"/>
          </w:tcPr>
          <w:p>
            <w:pPr>
              <w:ind w:left="800"/>
              <w:spacing w:after="0"/>
              <w:rPr>
                <w:sz w:val="20"/>
                <w:szCs w:val="20"/>
                <w:color w:val="auto"/>
              </w:rPr>
            </w:pPr>
            <w:r>
              <w:rPr>
                <w:rFonts w:ascii="Arial" w:cs="Arial" w:eastAsia="Arial" w:hAnsi="Arial"/>
                <w:sz w:val="18"/>
                <w:szCs w:val="18"/>
                <w:color w:val="auto"/>
              </w:rPr>
              <w:t>As of December 31, 2019; award (if any) paid out after completion of the audit of the</w:t>
            </w:r>
          </w:p>
        </w:tc>
      </w:tr>
      <w:tr>
        <w:trPr>
          <w:trHeight w:val="216"/>
        </w:trPr>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w w:val="94"/>
              </w:rPr>
              <w:t>Company’s 2019 year-end financial statements and certification by the Committee of actual</w:t>
            </w:r>
          </w:p>
        </w:tc>
      </w:tr>
      <w:tr>
        <w:trPr>
          <w:trHeight w:val="230"/>
        </w:trPr>
        <w:tc>
          <w:tcPr>
            <w:tcW w:w="1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level of achievement (“payment date”).</w:t>
            </w:r>
          </w:p>
        </w:tc>
      </w:tr>
      <w:tr>
        <w:trPr>
          <w:trHeight w:val="418"/>
        </w:trPr>
        <w:tc>
          <w:tcPr>
            <w:tcW w:w="3660" w:type="dxa"/>
            <w:vAlign w:val="bottom"/>
            <w:gridSpan w:val="2"/>
          </w:tcPr>
          <w:p>
            <w:pPr>
              <w:spacing w:after="0"/>
              <w:rPr>
                <w:sz w:val="20"/>
                <w:szCs w:val="20"/>
                <w:color w:val="auto"/>
              </w:rPr>
            </w:pPr>
            <w:r>
              <w:rPr>
                <w:rFonts w:ascii="Arial" w:cs="Arial" w:eastAsia="Arial" w:hAnsi="Arial"/>
                <w:sz w:val="18"/>
                <w:szCs w:val="18"/>
                <w:color w:val="auto"/>
              </w:rPr>
              <w:t>Performance Measure</w:t>
            </w:r>
          </w:p>
        </w:tc>
        <w:tc>
          <w:tcPr>
            <w:tcW w:w="7700" w:type="dxa"/>
            <w:vAlign w:val="bottom"/>
          </w:tcPr>
          <w:p>
            <w:pPr>
              <w:ind w:left="800"/>
              <w:spacing w:after="0"/>
              <w:rPr>
                <w:sz w:val="20"/>
                <w:szCs w:val="20"/>
                <w:color w:val="auto"/>
              </w:rPr>
            </w:pPr>
            <w:r>
              <w:rPr>
                <w:rFonts w:ascii="Arial" w:cs="Arial" w:eastAsia="Arial" w:hAnsi="Arial"/>
                <w:sz w:val="18"/>
                <w:szCs w:val="18"/>
                <w:color w:val="auto"/>
                <w:w w:val="93"/>
              </w:rPr>
              <w:t>50% of the PSUs will have an adjusted free cash flow performance measure, and 50% of the</w:t>
            </w:r>
          </w:p>
        </w:tc>
      </w:tr>
      <w:tr>
        <w:trPr>
          <w:trHeight w:val="216"/>
        </w:trPr>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w w:val="90"/>
              </w:rPr>
              <w:t>PSUs will have a total shareholder return relative to the S&amp;P 500 performance measure, in each</w:t>
            </w:r>
          </w:p>
        </w:tc>
      </w:tr>
      <w:tr>
        <w:trPr>
          <w:trHeight w:val="230"/>
        </w:trPr>
        <w:tc>
          <w:tcPr>
            <w:tcW w:w="1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case as set forth in the award agreement filed as an exhibit hereto.</w:t>
            </w:r>
          </w:p>
        </w:tc>
      </w:tr>
      <w:tr>
        <w:trPr>
          <w:trHeight w:val="418"/>
        </w:trPr>
        <w:tc>
          <w:tcPr>
            <w:tcW w:w="3660" w:type="dxa"/>
            <w:vAlign w:val="bottom"/>
            <w:gridSpan w:val="2"/>
          </w:tcPr>
          <w:p>
            <w:pPr>
              <w:spacing w:after="0"/>
              <w:rPr>
                <w:sz w:val="20"/>
                <w:szCs w:val="20"/>
                <w:color w:val="auto"/>
              </w:rPr>
            </w:pPr>
            <w:r>
              <w:rPr>
                <w:rFonts w:ascii="Arial" w:cs="Arial" w:eastAsia="Arial" w:hAnsi="Arial"/>
                <w:sz w:val="18"/>
                <w:szCs w:val="18"/>
                <w:color w:val="auto"/>
              </w:rPr>
              <w:t>Range of Possible Awards</w:t>
            </w:r>
          </w:p>
        </w:tc>
        <w:tc>
          <w:tcPr>
            <w:tcW w:w="7700" w:type="dxa"/>
            <w:vAlign w:val="bottom"/>
          </w:tcPr>
          <w:p>
            <w:pPr>
              <w:ind w:left="800"/>
              <w:spacing w:after="0"/>
              <w:rPr>
                <w:sz w:val="20"/>
                <w:szCs w:val="20"/>
                <w:color w:val="auto"/>
              </w:rPr>
            </w:pPr>
            <w:r>
              <w:rPr>
                <w:rFonts w:ascii="Arial" w:cs="Arial" w:eastAsia="Arial" w:hAnsi="Arial"/>
                <w:sz w:val="18"/>
                <w:szCs w:val="18"/>
                <w:color w:val="auto"/>
                <w:w w:val="96"/>
              </w:rPr>
              <w:t>0 — 200% of targeted amount, plus accrued dividend equivalents, based on actual results</w:t>
            </w:r>
          </w:p>
        </w:tc>
      </w:tr>
      <w:tr>
        <w:trPr>
          <w:trHeight w:val="230"/>
        </w:trPr>
        <w:tc>
          <w:tcPr>
            <w:tcW w:w="1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achieved.</w:t>
            </w:r>
          </w:p>
        </w:tc>
      </w:tr>
      <w:tr>
        <w:trPr>
          <w:trHeight w:val="432"/>
        </w:trPr>
        <w:tc>
          <w:tcPr>
            <w:tcW w:w="3660" w:type="dxa"/>
            <w:vAlign w:val="bottom"/>
            <w:gridSpan w:val="2"/>
          </w:tcPr>
          <w:p>
            <w:pPr>
              <w:spacing w:after="0"/>
              <w:rPr>
                <w:sz w:val="20"/>
                <w:szCs w:val="20"/>
                <w:color w:val="auto"/>
              </w:rPr>
            </w:pPr>
            <w:r>
              <w:rPr>
                <w:rFonts w:ascii="Arial" w:cs="Arial" w:eastAsia="Arial" w:hAnsi="Arial"/>
                <w:sz w:val="18"/>
                <w:szCs w:val="18"/>
                <w:color w:val="auto"/>
              </w:rPr>
              <w:t>Termination of Employment</w:t>
            </w:r>
          </w:p>
        </w:tc>
        <w:tc>
          <w:tcPr>
            <w:tcW w:w="7700" w:type="dxa"/>
            <w:vAlign w:val="bottom"/>
          </w:tcPr>
          <w:p>
            <w:pPr>
              <w:spacing w:after="0"/>
              <w:rPr>
                <w:sz w:val="24"/>
                <w:szCs w:val="24"/>
                <w:color w:val="auto"/>
              </w:rPr>
            </w:pPr>
          </w:p>
        </w:tc>
      </w:tr>
      <w:tr>
        <w:trPr>
          <w:trHeight w:val="432"/>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Death or Disability before PCD</w:t>
            </w:r>
          </w:p>
        </w:tc>
        <w:tc>
          <w:tcPr>
            <w:tcW w:w="7700" w:type="dxa"/>
            <w:vAlign w:val="bottom"/>
          </w:tcPr>
          <w:p>
            <w:pPr>
              <w:ind w:left="800"/>
              <w:spacing w:after="0"/>
              <w:rPr>
                <w:sz w:val="20"/>
                <w:szCs w:val="20"/>
                <w:color w:val="auto"/>
              </w:rPr>
            </w:pPr>
            <w:r>
              <w:rPr>
                <w:rFonts w:ascii="Arial" w:cs="Arial" w:eastAsia="Arial" w:hAnsi="Arial"/>
                <w:sz w:val="18"/>
                <w:szCs w:val="18"/>
                <w:color w:val="auto"/>
                <w:w w:val="95"/>
              </w:rPr>
              <w:t>Payable on payment date as if participant had remained an active employee through PCD.</w:t>
            </w:r>
          </w:p>
        </w:tc>
      </w:tr>
    </w:tbl>
    <w:p>
      <w:pPr>
        <w:sectPr>
          <w:pgSz w:w="11900" w:h="16838" w:orient="portrait"/>
          <w:cols w:equalWidth="0" w:num="1">
            <w:col w:w="11400"/>
          </w:cols>
          <w:pgMar w:left="240" w:top="270" w:right="259" w:bottom="1440" w:gutter="0" w:footer="0" w:header="0"/>
        </w:sectPr>
      </w:pPr>
    </w:p>
    <w:bookmarkStart w:id="2" w:name="page3"/>
    <w:bookmarkEnd w:id="2"/>
    <w:p>
      <w:pPr>
        <w:ind w:left="360" w:right="780"/>
        <w:spacing w:after="0" w:line="342" w:lineRule="auto"/>
        <w:rPr>
          <w:sz w:val="20"/>
          <w:szCs w:val="20"/>
          <w:color w:val="auto"/>
        </w:rPr>
      </w:pPr>
      <w:r>
        <w:rPr>
          <w:rFonts w:ascii="Arial" w:cs="Arial" w:eastAsia="Arial" w:hAnsi="Arial"/>
          <w:sz w:val="16"/>
          <w:szCs w:val="16"/>
          <w:color w:val="auto"/>
        </w:rPr>
        <w:t>Involuntary Termination for Cause or Voluntary Resignation before PCD</w:t>
      </w:r>
    </w:p>
    <w:p>
      <w:pPr>
        <w:spacing w:after="0" w:line="137" w:lineRule="exact"/>
        <w:rPr>
          <w:sz w:val="20"/>
          <w:szCs w:val="20"/>
          <w:color w:val="auto"/>
        </w:rPr>
      </w:pPr>
    </w:p>
    <w:p>
      <w:pPr>
        <w:ind w:left="360"/>
        <w:spacing w:after="0" w:line="308" w:lineRule="auto"/>
        <w:rPr>
          <w:sz w:val="20"/>
          <w:szCs w:val="20"/>
          <w:color w:val="auto"/>
        </w:rPr>
      </w:pPr>
      <w:r>
        <w:rPr>
          <w:rFonts w:ascii="Arial" w:cs="Arial" w:eastAsia="Arial" w:hAnsi="Arial"/>
          <w:sz w:val="17"/>
          <w:szCs w:val="17"/>
          <w:color w:val="auto"/>
        </w:rPr>
        <w:t>Involuntary Termination other than for Cause or Qualifying Retirement before PCD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Immediate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-215900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Payable on payment date based on actual results, prorated based on portion of performance period completed prior to termination of employment. In the case of Mr. Trevathan, such amount will not be prorated in the event his qualifying retirement occurs on or after December 31, 2018.</w:t>
      </w:r>
    </w:p>
    <w:p>
      <w:pPr>
        <w:spacing w:after="0" w:line="187" w:lineRule="exact"/>
        <w:rPr>
          <w:sz w:val="20"/>
          <w:szCs w:val="20"/>
          <w:color w:val="auto"/>
        </w:rPr>
      </w:pPr>
    </w:p>
    <w:p>
      <w:pPr>
        <w:sectPr>
          <w:pgSz w:w="11900" w:h="16838" w:orient="portrait"/>
          <w:cols w:equalWidth="0" w:num="2">
            <w:col w:w="3840" w:space="620"/>
            <w:col w:w="6940"/>
          </w:cols>
          <w:pgMar w:left="240" w:top="274" w:right="259" w:bottom="1440" w:gutter="0" w:footer="0" w:header="0"/>
        </w:sectPr>
      </w:pPr>
    </w:p>
    <w:p>
      <w:pPr>
        <w:ind w:left="360"/>
        <w:spacing w:after="0"/>
        <w:tabs>
          <w:tab w:leader="none" w:pos="4440" w:val="left"/>
        </w:tabs>
        <w:rPr>
          <w:sz w:val="20"/>
          <w:szCs w:val="20"/>
          <w:color w:val="auto"/>
        </w:rPr>
      </w:pPr>
      <w:r>
        <w:rPr>
          <w:rFonts w:ascii="Arial" w:cs="Arial" w:eastAsia="Arial" w:hAnsi="Arial"/>
          <w:sz w:val="18"/>
          <w:szCs w:val="18"/>
          <w:color w:val="auto"/>
        </w:rPr>
        <w:t>Change in Control before PCD</w:t>
      </w:r>
      <w:r>
        <w:rPr>
          <w:sz w:val="20"/>
          <w:szCs w:val="20"/>
          <w:color w:val="auto"/>
        </w:rPr>
        <w:tab/>
      </w:r>
      <w:r>
        <w:rPr>
          <w:rFonts w:ascii="Arial" w:cs="Arial" w:eastAsia="Arial" w:hAnsi="Arial"/>
          <w:sz w:val="16"/>
          <w:szCs w:val="16"/>
          <w:color w:val="auto"/>
        </w:rPr>
        <w:t>Performance measured prior to the change in control and paid on prorated basis on actual results</w:t>
      </w:r>
    </w:p>
    <w:p>
      <w:pPr>
        <w:spacing w:after="0" w:line="23" w:lineRule="exact"/>
        <w:rPr>
          <w:sz w:val="20"/>
          <w:szCs w:val="20"/>
          <w:color w:val="auto"/>
        </w:rPr>
      </w:pPr>
    </w:p>
    <w:p>
      <w:pPr>
        <w:ind w:left="4460"/>
        <w:spacing w:after="0" w:line="270" w:lineRule="auto"/>
        <w:rPr>
          <w:sz w:val="20"/>
          <w:szCs w:val="20"/>
          <w:color w:val="auto"/>
        </w:rPr>
      </w:pPr>
      <w:r>
        <w:rPr>
          <w:rFonts w:ascii="Arial" w:cs="Arial" w:eastAsia="Arial" w:hAnsi="Arial"/>
          <w:sz w:val="17"/>
          <w:szCs w:val="17"/>
          <w:color w:val="auto"/>
        </w:rPr>
        <w:t>achieved up to such date. Thereafter, participant also generally receives a replacement award of restricted stock units in the successor entity generally equal to the number of PSUs that would have been earned had no change in control occurred and target performance levels had been met from the time of the change of control through December 31, 2019, adjusted for any conversion factors in the change in control transaction. The new restricted stock units in the successor entity would vest on December 31, 2019.</w:t>
      </w:r>
    </w:p>
    <w:p>
      <w:pPr>
        <w:spacing w:after="0" w:line="179"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Committee also granted stock options to the Executives to purchase the following number of shares of the Company’s common stock: Mr. Fish — 129,534; Mr. Trevathan — 55,699; Mr. Harris — 38,860 and Mr. Morris — 38,860. The material terms of the stock options are described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Stock Options</w:t>
            </w:r>
          </w:p>
        </w:tc>
        <w:tc>
          <w:tcPr>
            <w:tcW w:w="3100" w:type="dxa"/>
            <w:vAlign w:val="bottom"/>
          </w:tcPr>
          <w:p>
            <w:pPr>
              <w:spacing w:after="0"/>
              <w:rPr>
                <w:sz w:val="17"/>
                <w:szCs w:val="17"/>
                <w:color w:val="auto"/>
              </w:rPr>
            </w:pPr>
          </w:p>
        </w:tc>
        <w:tc>
          <w:tcPr>
            <w:tcW w:w="7160" w:type="dxa"/>
            <w:vAlign w:val="bottom"/>
          </w:tcPr>
          <w:p>
            <w:pPr>
              <w:spacing w:after="0"/>
              <w:rPr>
                <w:sz w:val="17"/>
                <w:szCs w:val="17"/>
                <w:color w:val="auto"/>
              </w:rPr>
            </w:pPr>
          </w:p>
        </w:tc>
      </w:tr>
      <w:tr>
        <w:trPr>
          <w:trHeight w:val="465"/>
        </w:trPr>
        <w:tc>
          <w:tcPr>
            <w:tcW w:w="4200" w:type="dxa"/>
            <w:vAlign w:val="bottom"/>
            <w:gridSpan w:val="2"/>
          </w:tcPr>
          <w:p>
            <w:pPr>
              <w:spacing w:after="0"/>
              <w:rPr>
                <w:sz w:val="20"/>
                <w:szCs w:val="20"/>
                <w:color w:val="auto"/>
              </w:rPr>
            </w:pPr>
            <w:r>
              <w:rPr>
                <w:rFonts w:ascii="Arial" w:cs="Arial" w:eastAsia="Arial" w:hAnsi="Arial"/>
                <w:sz w:val="18"/>
                <w:szCs w:val="18"/>
                <w:color w:val="auto"/>
              </w:rPr>
              <w:t>Vesting Schedule</w:t>
            </w:r>
          </w:p>
        </w:tc>
        <w:tc>
          <w:tcPr>
            <w:tcW w:w="7160" w:type="dxa"/>
            <w:vAlign w:val="bottom"/>
          </w:tcPr>
          <w:p>
            <w:pPr>
              <w:ind w:left="260"/>
              <w:spacing w:after="0"/>
              <w:rPr>
                <w:sz w:val="20"/>
                <w:szCs w:val="20"/>
                <w:color w:val="auto"/>
              </w:rPr>
            </w:pPr>
            <w:r>
              <w:rPr>
                <w:rFonts w:ascii="Arial" w:cs="Arial" w:eastAsia="Arial" w:hAnsi="Arial"/>
                <w:sz w:val="18"/>
                <w:szCs w:val="18"/>
                <w:color w:val="auto"/>
              </w:rPr>
              <w:t>25% on first anniversary;</w:t>
            </w:r>
          </w:p>
        </w:tc>
      </w:tr>
      <w:tr>
        <w:trPr>
          <w:trHeight w:val="216"/>
        </w:trPr>
        <w:tc>
          <w:tcPr>
            <w:tcW w:w="1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160" w:type="dxa"/>
            <w:vAlign w:val="bottom"/>
          </w:tcPr>
          <w:p>
            <w:pPr>
              <w:ind w:left="260"/>
              <w:spacing w:after="0"/>
              <w:rPr>
                <w:sz w:val="20"/>
                <w:szCs w:val="20"/>
                <w:color w:val="auto"/>
              </w:rPr>
            </w:pPr>
            <w:r>
              <w:rPr>
                <w:rFonts w:ascii="Arial" w:cs="Arial" w:eastAsia="Arial" w:hAnsi="Arial"/>
                <w:sz w:val="18"/>
                <w:szCs w:val="18"/>
                <w:color w:val="auto"/>
              </w:rPr>
              <w:t>25% on second anniversary; and</w:t>
            </w:r>
          </w:p>
        </w:tc>
      </w:tr>
      <w:tr>
        <w:trPr>
          <w:trHeight w:val="230"/>
        </w:trPr>
        <w:tc>
          <w:tcPr>
            <w:tcW w:w="1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160" w:type="dxa"/>
            <w:vAlign w:val="bottom"/>
          </w:tcPr>
          <w:p>
            <w:pPr>
              <w:ind w:left="260"/>
              <w:spacing w:after="0"/>
              <w:rPr>
                <w:sz w:val="20"/>
                <w:szCs w:val="20"/>
                <w:color w:val="auto"/>
              </w:rPr>
            </w:pPr>
            <w:r>
              <w:rPr>
                <w:rFonts w:ascii="Arial" w:cs="Arial" w:eastAsia="Arial" w:hAnsi="Arial"/>
                <w:sz w:val="18"/>
                <w:szCs w:val="18"/>
                <w:color w:val="auto"/>
              </w:rPr>
              <w:t>50% on third anniversary.</w:t>
            </w:r>
          </w:p>
        </w:tc>
      </w:tr>
      <w:tr>
        <w:trPr>
          <w:trHeight w:val="446"/>
        </w:trPr>
        <w:tc>
          <w:tcPr>
            <w:tcW w:w="4200" w:type="dxa"/>
            <w:vAlign w:val="bottom"/>
            <w:gridSpan w:val="2"/>
          </w:tcPr>
          <w:p>
            <w:pPr>
              <w:spacing w:after="0"/>
              <w:rPr>
                <w:sz w:val="20"/>
                <w:szCs w:val="20"/>
                <w:color w:val="auto"/>
              </w:rPr>
            </w:pPr>
            <w:r>
              <w:rPr>
                <w:rFonts w:ascii="Arial" w:cs="Arial" w:eastAsia="Arial" w:hAnsi="Arial"/>
                <w:sz w:val="18"/>
                <w:szCs w:val="18"/>
                <w:color w:val="auto"/>
              </w:rPr>
              <w:t>Term</w:t>
            </w:r>
          </w:p>
        </w:tc>
        <w:tc>
          <w:tcPr>
            <w:tcW w:w="7160" w:type="dxa"/>
            <w:vAlign w:val="bottom"/>
          </w:tcPr>
          <w:p>
            <w:pPr>
              <w:ind w:left="260"/>
              <w:spacing w:after="0"/>
              <w:rPr>
                <w:sz w:val="20"/>
                <w:szCs w:val="20"/>
                <w:color w:val="auto"/>
              </w:rPr>
            </w:pPr>
            <w:r>
              <w:rPr>
                <w:rFonts w:ascii="Arial" w:cs="Arial" w:eastAsia="Arial" w:hAnsi="Arial"/>
                <w:sz w:val="18"/>
                <w:szCs w:val="18"/>
                <w:color w:val="auto"/>
              </w:rPr>
              <w:t>10 years from date of grant.</w:t>
            </w: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7160" w:type="dxa"/>
            <w:vAlign w:val="bottom"/>
          </w:tcPr>
          <w:p>
            <w:pPr>
              <w:ind w:left="260"/>
              <w:spacing w:after="0"/>
              <w:rPr>
                <w:sz w:val="20"/>
                <w:szCs w:val="20"/>
                <w:color w:val="auto"/>
              </w:rPr>
            </w:pPr>
            <w:r>
              <w:rPr>
                <w:rFonts w:ascii="Arial" w:cs="Arial" w:eastAsia="Arial" w:hAnsi="Arial"/>
                <w:sz w:val="18"/>
                <w:szCs w:val="18"/>
                <w:color w:val="auto"/>
              </w:rPr>
              <w:t>Fair Market Value on date of grant—$73.335.</w:t>
            </w: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rPr>
              <w:t>Termination of Employment</w:t>
            </w:r>
          </w:p>
        </w:tc>
        <w:tc>
          <w:tcPr>
            <w:tcW w:w="7160" w:type="dxa"/>
            <w:vAlign w:val="bottom"/>
          </w:tcPr>
          <w:p>
            <w:pPr>
              <w:spacing w:after="0"/>
              <w:rPr>
                <w:sz w:val="24"/>
                <w:szCs w:val="24"/>
                <w:color w:val="auto"/>
              </w:rPr>
            </w:pPr>
          </w:p>
        </w:tc>
      </w:tr>
      <w:tr>
        <w:trPr>
          <w:trHeight w:val="418"/>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Death or Disability</w:t>
            </w:r>
          </w:p>
        </w:tc>
        <w:tc>
          <w:tcPr>
            <w:tcW w:w="7160" w:type="dxa"/>
            <w:vAlign w:val="bottom"/>
          </w:tcPr>
          <w:p>
            <w:pPr>
              <w:ind w:left="260"/>
              <w:spacing w:after="0"/>
              <w:rPr>
                <w:sz w:val="20"/>
                <w:szCs w:val="20"/>
                <w:color w:val="auto"/>
              </w:rPr>
            </w:pPr>
            <w:r>
              <w:rPr>
                <w:rFonts w:ascii="Arial" w:cs="Arial" w:eastAsia="Arial" w:hAnsi="Arial"/>
                <w:sz w:val="18"/>
                <w:szCs w:val="18"/>
                <w:color w:val="auto"/>
                <w:w w:val="91"/>
              </w:rPr>
              <w:t>All options immediately vest and remain exercisable for one year, but in no event later than the</w:t>
            </w:r>
          </w:p>
        </w:tc>
      </w:tr>
      <w:tr>
        <w:trPr>
          <w:trHeight w:val="230"/>
        </w:trPr>
        <w:tc>
          <w:tcPr>
            <w:tcW w:w="1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160" w:type="dxa"/>
            <w:vAlign w:val="bottom"/>
          </w:tcPr>
          <w:p>
            <w:pPr>
              <w:ind w:left="260"/>
              <w:spacing w:after="0"/>
              <w:rPr>
                <w:sz w:val="20"/>
                <w:szCs w:val="20"/>
                <w:color w:val="auto"/>
              </w:rPr>
            </w:pPr>
            <w:r>
              <w:rPr>
                <w:rFonts w:ascii="Arial" w:cs="Arial" w:eastAsia="Arial" w:hAnsi="Arial"/>
                <w:sz w:val="18"/>
                <w:szCs w:val="18"/>
                <w:color w:val="auto"/>
              </w:rPr>
              <w:t>original term.</w:t>
            </w:r>
          </w:p>
        </w:tc>
      </w:tr>
      <w:tr>
        <w:trPr>
          <w:trHeight w:val="432"/>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Qualifying Retirement</w:t>
            </w:r>
          </w:p>
        </w:tc>
        <w:tc>
          <w:tcPr>
            <w:tcW w:w="7160" w:type="dxa"/>
            <w:vAlign w:val="bottom"/>
          </w:tcPr>
          <w:p>
            <w:pPr>
              <w:ind w:left="260"/>
              <w:spacing w:after="0"/>
              <w:rPr>
                <w:sz w:val="20"/>
                <w:szCs w:val="20"/>
                <w:color w:val="auto"/>
              </w:rPr>
            </w:pPr>
            <w:r>
              <w:rPr>
                <w:rFonts w:ascii="Arial" w:cs="Arial" w:eastAsia="Arial" w:hAnsi="Arial"/>
                <w:sz w:val="18"/>
                <w:szCs w:val="18"/>
                <w:color w:val="auto"/>
                <w:w w:val="91"/>
              </w:rPr>
              <w:t>Continued vesting and exercisability for three years, but in no event later than the original term.</w:t>
            </w:r>
          </w:p>
        </w:tc>
      </w:tr>
      <w:tr>
        <w:trPr>
          <w:trHeight w:val="418"/>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Involuntary Termination other than for Cause or</w:t>
            </w:r>
          </w:p>
        </w:tc>
        <w:tc>
          <w:tcPr>
            <w:tcW w:w="7160" w:type="dxa"/>
            <w:vAlign w:val="bottom"/>
          </w:tcPr>
          <w:p>
            <w:pPr>
              <w:ind w:left="260"/>
              <w:spacing w:after="0"/>
              <w:rPr>
                <w:sz w:val="20"/>
                <w:szCs w:val="20"/>
                <w:color w:val="auto"/>
              </w:rPr>
            </w:pPr>
            <w:r>
              <w:rPr>
                <w:rFonts w:ascii="Arial" w:cs="Arial" w:eastAsia="Arial" w:hAnsi="Arial"/>
                <w:sz w:val="18"/>
                <w:szCs w:val="18"/>
                <w:color w:val="auto"/>
                <w:w w:val="93"/>
              </w:rPr>
              <w:t>All vested options remain exercisable for 90 days, but in no event later than the original term.</w:t>
            </w:r>
          </w:p>
        </w:tc>
      </w:tr>
      <w:tr>
        <w:trPr>
          <w:trHeight w:val="230"/>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Voluntary Resignation</w:t>
            </w:r>
          </w:p>
        </w:tc>
        <w:tc>
          <w:tcPr>
            <w:tcW w:w="7160" w:type="dxa"/>
            <w:vAlign w:val="bottom"/>
          </w:tcPr>
          <w:p>
            <w:pPr>
              <w:spacing w:after="0"/>
              <w:rPr>
                <w:sz w:val="20"/>
                <w:szCs w:val="20"/>
                <w:color w:val="auto"/>
              </w:rPr>
            </w:pPr>
          </w:p>
        </w:tc>
      </w:tr>
      <w:tr>
        <w:trPr>
          <w:trHeight w:val="432"/>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Involuntary Termination for Cause</w:t>
            </w:r>
          </w:p>
        </w:tc>
        <w:tc>
          <w:tcPr>
            <w:tcW w:w="7160" w:type="dxa"/>
            <w:vAlign w:val="bottom"/>
          </w:tcPr>
          <w:p>
            <w:pPr>
              <w:ind w:left="260"/>
              <w:spacing w:after="0"/>
              <w:rPr>
                <w:sz w:val="20"/>
                <w:szCs w:val="20"/>
                <w:color w:val="auto"/>
              </w:rPr>
            </w:pPr>
            <w:r>
              <w:rPr>
                <w:rFonts w:ascii="Arial" w:cs="Arial" w:eastAsia="Arial" w:hAnsi="Arial"/>
                <w:sz w:val="18"/>
                <w:szCs w:val="18"/>
                <w:color w:val="auto"/>
              </w:rPr>
              <w:t>All options are forfeited, whether or not exercisable.</w:t>
            </w:r>
          </w:p>
        </w:tc>
      </w:tr>
      <w:tr>
        <w:trPr>
          <w:trHeight w:val="418"/>
        </w:trPr>
        <w:tc>
          <w:tcPr>
            <w:tcW w:w="4200" w:type="dxa"/>
            <w:vAlign w:val="bottom"/>
            <w:gridSpan w:val="2"/>
          </w:tcPr>
          <w:p>
            <w:pPr>
              <w:ind w:left="360"/>
              <w:spacing w:after="0"/>
              <w:rPr>
                <w:sz w:val="20"/>
                <w:szCs w:val="20"/>
                <w:color w:val="auto"/>
              </w:rPr>
            </w:pPr>
            <w:r>
              <w:rPr>
                <w:rFonts w:ascii="Arial" w:cs="Arial" w:eastAsia="Arial" w:hAnsi="Arial"/>
                <w:sz w:val="18"/>
                <w:szCs w:val="18"/>
                <w:color w:val="auto"/>
                <w:w w:val="99"/>
              </w:rPr>
              <w:t>Involuntary Termination or Resignation for Good</w:t>
            </w:r>
          </w:p>
        </w:tc>
        <w:tc>
          <w:tcPr>
            <w:tcW w:w="7160" w:type="dxa"/>
            <w:vAlign w:val="bottom"/>
          </w:tcPr>
          <w:p>
            <w:pPr>
              <w:ind w:left="260"/>
              <w:spacing w:after="0"/>
              <w:rPr>
                <w:sz w:val="20"/>
                <w:szCs w:val="20"/>
                <w:color w:val="auto"/>
              </w:rPr>
            </w:pPr>
            <w:r>
              <w:rPr>
                <w:rFonts w:ascii="Arial" w:cs="Arial" w:eastAsia="Arial" w:hAnsi="Arial"/>
                <w:sz w:val="18"/>
                <w:szCs w:val="18"/>
                <w:color w:val="auto"/>
                <w:w w:val="92"/>
              </w:rPr>
              <w:t>All options immediately vest and remain exercisable for three years, but in no event later than</w:t>
            </w:r>
          </w:p>
        </w:tc>
      </w:tr>
      <w:tr>
        <w:trPr>
          <w:trHeight w:val="230"/>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Reason following a Change in Control</w:t>
            </w:r>
          </w:p>
        </w:tc>
        <w:tc>
          <w:tcPr>
            <w:tcW w:w="7160" w:type="dxa"/>
            <w:vAlign w:val="bottom"/>
          </w:tcPr>
          <w:p>
            <w:pPr>
              <w:ind w:left="260"/>
              <w:spacing w:after="0"/>
              <w:rPr>
                <w:sz w:val="20"/>
                <w:szCs w:val="20"/>
                <w:color w:val="auto"/>
              </w:rPr>
            </w:pPr>
            <w:r>
              <w:rPr>
                <w:rFonts w:ascii="Arial" w:cs="Arial" w:eastAsia="Arial" w:hAnsi="Arial"/>
                <w:sz w:val="18"/>
                <w:szCs w:val="18"/>
                <w:color w:val="auto"/>
              </w:rPr>
              <w:t>the original term.</w:t>
            </w:r>
          </w:p>
        </w:tc>
      </w:tr>
    </w:tbl>
    <w:p>
      <w:pPr>
        <w:sectPr>
          <w:pgSz w:w="11900" w:h="16838" w:orient="portrait"/>
          <w:cols w:equalWidth="0" w:num="1">
            <w:col w:w="11400"/>
          </w:cols>
          <w:pgMar w:left="240" w:top="274" w:right="259" w:bottom="1440" w:gutter="0" w:footer="0" w:header="0"/>
          <w:type w:val="continuous"/>
        </w:sectPr>
      </w:pPr>
    </w:p>
    <w:bookmarkStart w:id="3" w:name="page4"/>
    <w:bookmarkEnd w:id="3"/>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form of award agreement for the equity awards granted to Messrs. Fish, Harris and Morris and Ms. Rankin is filed as exhibit 10.1 to this Form 8-K, and the award agreement for the equity awards granted to Mr. Trevathan is filed as exhibit 10.2 to this Form 8-K. The descriptions of the material terms of the awards are qualified in their entirety by reference to the applicable award agreement.</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6220" w:type="dxa"/>
            <w:vAlign w:val="bottom"/>
          </w:tcPr>
          <w:p>
            <w:pPr>
              <w:ind w:left="320"/>
              <w:spacing w:after="0"/>
              <w:rPr>
                <w:sz w:val="20"/>
                <w:szCs w:val="20"/>
                <w:color w:val="auto"/>
              </w:rPr>
            </w:pPr>
            <w:r>
              <w:rPr>
                <w:rFonts w:ascii="Arial" w:cs="Arial" w:eastAsia="Arial" w:hAnsi="Arial"/>
                <w:sz w:val="14"/>
                <w:szCs w:val="14"/>
                <w:b w:val="1"/>
                <w:bCs w:val="1"/>
                <w:color w:val="auto"/>
              </w:rPr>
              <w:t>Description of Exhibit</w:t>
            </w:r>
          </w:p>
        </w:tc>
      </w:tr>
      <w:tr>
        <w:trPr>
          <w:trHeight w:val="309"/>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6220" w:type="dxa"/>
            <w:vAlign w:val="bottom"/>
          </w:tcPr>
          <w:p>
            <w:pPr>
              <w:ind w:left="320"/>
              <w:spacing w:after="0"/>
              <w:rPr>
                <w:sz w:val="20"/>
                <w:szCs w:val="20"/>
                <w:color w:val="auto"/>
              </w:rPr>
            </w:pPr>
            <w:r>
              <w:rPr>
                <w:rFonts w:ascii="Arial" w:cs="Arial" w:eastAsia="Arial" w:hAnsi="Arial"/>
                <w:sz w:val="18"/>
                <w:szCs w:val="18"/>
                <w:color w:val="auto"/>
              </w:rPr>
              <w:t>Form of 2017 Senior Leadership Team Award Agreement</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6220" w:type="dxa"/>
            <w:vAlign w:val="bottom"/>
          </w:tcPr>
          <w:p>
            <w:pPr>
              <w:ind w:left="320"/>
              <w:spacing w:after="0"/>
              <w:rPr>
                <w:sz w:val="20"/>
                <w:szCs w:val="20"/>
                <w:color w:val="auto"/>
              </w:rPr>
            </w:pPr>
            <w:r>
              <w:rPr>
                <w:rFonts w:ascii="Arial" w:cs="Arial" w:eastAsia="Arial" w:hAnsi="Arial"/>
                <w:sz w:val="18"/>
                <w:szCs w:val="18"/>
                <w:color w:val="auto"/>
                <w:w w:val="89"/>
              </w:rPr>
              <w:t>2017 Senior Leadership Team Award Agreement with Mr. James E. Trevathan, Jr.</w:t>
            </w:r>
          </w:p>
        </w:tc>
      </w:tr>
    </w:tbl>
    <w:p>
      <w:pPr>
        <w:sectPr>
          <w:pgSz w:w="11900" w:h="16838" w:orient="portrait"/>
          <w:cols w:equalWidth="0" w:num="1">
            <w:col w:w="11420"/>
          </w:cols>
          <w:pgMar w:left="240" w:top="274" w:right="2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March 3, 2017</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Charles C. Boettcher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Legal Officer</w:t>
      </w:r>
    </w:p>
    <w:p>
      <w:pPr>
        <w:sectPr>
          <w:pgSz w:w="11900" w:h="16838" w:orient="portrait"/>
          <w:cols w:equalWidth="0" w:num="1">
            <w:col w:w="11340"/>
          </w:cols>
          <w:pgMar w:left="240" w:top="270"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427"/>
        </w:trPr>
        <w:tc>
          <w:tcPr>
            <w:tcW w:w="110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080" w:type="dxa"/>
            <w:vAlign w:val="bottom"/>
          </w:tcPr>
          <w:p>
            <w:pPr>
              <w:ind w:left="400"/>
              <w:spacing w:after="0"/>
              <w:rPr>
                <w:sz w:val="20"/>
                <w:szCs w:val="20"/>
                <w:color w:val="auto"/>
              </w:rPr>
            </w:pPr>
            <w:r>
              <w:rPr>
                <w:rFonts w:ascii="Arial" w:cs="Arial" w:eastAsia="Arial" w:hAnsi="Arial"/>
                <w:sz w:val="14"/>
                <w:szCs w:val="14"/>
                <w:b w:val="1"/>
                <w:bCs w:val="1"/>
                <w:color w:val="auto"/>
              </w:rPr>
              <w:t>Description of Exhibit</w:t>
            </w:r>
          </w:p>
        </w:tc>
        <w:tc>
          <w:tcPr>
            <w:tcW w:w="10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8"/>
                <w:szCs w:val="18"/>
                <w:color w:val="auto"/>
              </w:rPr>
              <w:t>10.l</w:t>
            </w:r>
          </w:p>
        </w:tc>
        <w:tc>
          <w:tcPr>
            <w:tcW w:w="6300" w:type="dxa"/>
            <w:vAlign w:val="bottom"/>
            <w:gridSpan w:val="3"/>
          </w:tcPr>
          <w:p>
            <w:pPr>
              <w:ind w:left="400"/>
              <w:spacing w:after="0"/>
              <w:rPr>
                <w:sz w:val="20"/>
                <w:szCs w:val="20"/>
                <w:color w:val="auto"/>
              </w:rPr>
            </w:pPr>
            <w:r>
              <w:rPr>
                <w:rFonts w:ascii="Arial" w:cs="Arial" w:eastAsia="Arial" w:hAnsi="Arial"/>
                <w:sz w:val="18"/>
                <w:szCs w:val="18"/>
                <w:color w:val="auto"/>
              </w:rPr>
              <w:t>Form of 2017 Senior Leadership Team Award Agreement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10.2</w:t>
            </w:r>
          </w:p>
        </w:tc>
        <w:tc>
          <w:tcPr>
            <w:tcW w:w="6300" w:type="dxa"/>
            <w:vAlign w:val="bottom"/>
            <w:gridSpan w:val="3"/>
          </w:tcPr>
          <w:p>
            <w:pPr>
              <w:ind w:left="400"/>
              <w:spacing w:after="0"/>
              <w:rPr>
                <w:sz w:val="20"/>
                <w:szCs w:val="20"/>
                <w:color w:val="auto"/>
              </w:rPr>
            </w:pPr>
            <w:r>
              <w:rPr>
                <w:rFonts w:ascii="Arial" w:cs="Arial" w:eastAsia="Arial" w:hAnsi="Arial"/>
                <w:sz w:val="18"/>
                <w:szCs w:val="18"/>
                <w:color w:val="auto"/>
                <w:w w:val="89"/>
              </w:rPr>
              <w:t>2017 Senior Leadership Team Award Agreement with Mr. James E. Trevathan, Jr.</w:t>
            </w:r>
          </w:p>
        </w:tc>
      </w:tr>
    </w:tbl>
    <w:p>
      <w:pPr>
        <w:ind w:left="40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ind w:left="10280"/>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jc w:val="center"/>
        <w:ind w:left="260" w:right="940"/>
        <w:spacing w:after="0" w:line="253" w:lineRule="auto"/>
        <w:rPr>
          <w:sz w:val="20"/>
          <w:szCs w:val="20"/>
          <w:color w:val="auto"/>
        </w:rPr>
      </w:pPr>
      <w:r>
        <w:rPr>
          <w:rFonts w:ascii="Arial" w:cs="Arial" w:eastAsia="Arial" w:hAnsi="Arial"/>
          <w:sz w:val="54"/>
          <w:szCs w:val="54"/>
          <w:b w:val="1"/>
          <w:bCs w:val="1"/>
          <w:color w:val="auto"/>
        </w:rPr>
        <w:t>2017 Long Term Incentive Compensation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 the Senior Leadership Team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 2014 Stock Incentive Plan</w:t>
      </w:r>
    </w:p>
    <w:p>
      <w:pPr>
        <w:spacing w:after="0" w:line="20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This Award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entered into effective as of February 28, 2017 (the “</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 by and between Waste Management,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(together with its Subsidiaries and Affiliates, “</w:t>
      </w:r>
      <w:r>
        <w:rPr>
          <w:rFonts w:ascii="Arial" w:cs="Arial" w:eastAsia="Arial" w:hAnsi="Arial"/>
          <w:sz w:val="16"/>
          <w:szCs w:val="16"/>
          <w:b w:val="1"/>
          <w:bCs w:val="1"/>
          <w:i w:val="1"/>
          <w:iCs w:val="1"/>
          <w:color w:val="auto"/>
        </w:rPr>
        <w:t>WM</w:t>
      </w:r>
      <w:r>
        <w:rPr>
          <w:rFonts w:ascii="Arial" w:cs="Arial" w:eastAsia="Arial" w:hAnsi="Arial"/>
          <w:sz w:val="16"/>
          <w:szCs w:val="16"/>
          <w:color w:val="auto"/>
        </w:rPr>
        <w:t>”), and you (“</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At all times, the Awards under this Agreement are subject to the terms and conditions of the Waste Management, Inc. 2014 Stock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this Agreement, and all applicable administrative interpretations and practices. A copy of the Plan is available online at </w:t>
      </w:r>
      <w:r>
        <w:rPr>
          <w:rFonts w:ascii="Arial" w:cs="Arial" w:eastAsia="Arial" w:hAnsi="Arial"/>
          <w:sz w:val="16"/>
          <w:szCs w:val="16"/>
          <w:b w:val="1"/>
          <w:bCs w:val="1"/>
          <w:color w:val="auto"/>
        </w:rPr>
        <w:t>http://visor.wm.com</w:t>
      </w:r>
      <w:r>
        <w:rPr>
          <w:rFonts w:ascii="Arial" w:cs="Arial" w:eastAsia="Arial" w:hAnsi="Arial"/>
          <w:sz w:val="16"/>
          <w:szCs w:val="16"/>
          <w:color w:val="auto"/>
        </w:rPr>
        <w:t xml:space="preserve"> under the Legal tab. Once there, scroll to the bottom of the Legal page, then choose Documents, Stock Incentive Plan and choose “2014 Stock Incentive Plan.” A description of the Plan appears on the same page under “2014 Stock Incentive Plan Prospectus” (the “Prospectus”). Please also see the Company’s Form 10-K included in its most recent Annual Report, available on the Investor Relations page of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under Financial Reporting – Annual Reports, for information about the Company. By executing this Agreement, you consent to receipt of the Plan, the Prospectus, and the Annual Reports by electronic access as set forth in this paragraph.</w:t>
      </w:r>
    </w:p>
    <w:p>
      <w:pPr>
        <w:spacing w:after="0" w:line="162"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u w:val="single" w:color="auto"/>
          <w:color w:val="auto"/>
        </w:rPr>
        <w:t>You must execute this Agreement in full, online in accordance with the instructions below, prior to March 31, 2017, in order for this Agreement to become effective</w:t>
      </w:r>
      <w:r>
        <w:rPr>
          <w:rFonts w:ascii="Arial" w:cs="Arial" w:eastAsia="Arial" w:hAnsi="Arial"/>
          <w:sz w:val="16"/>
          <w:szCs w:val="16"/>
          <w:b w:val="1"/>
          <w:bCs w:val="1"/>
          <w:color w:val="auto"/>
        </w:rPr>
        <w:t>. If you do not execute this Agreement by correctly following the instructions below, your Awards may be cancelled.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Important Instructions for Executing this Agreement</w:t>
      </w:r>
    </w:p>
    <w:p>
      <w:pPr>
        <w:spacing w:after="0" w:line="23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If you have previously received a stock-based incentive award, simply log on to </w:t>
      </w:r>
      <w:r>
        <w:rPr>
          <w:rFonts w:ascii="Arial" w:cs="Arial" w:eastAsia="Arial" w:hAnsi="Arial"/>
          <w:sz w:val="18"/>
          <w:szCs w:val="18"/>
          <w:b w:val="1"/>
          <w:bCs w:val="1"/>
          <w:color w:val="auto"/>
        </w:rPr>
        <w:t>www.mywmtotalrewards.com</w:t>
      </w:r>
      <w:r>
        <w:rPr>
          <w:rFonts w:ascii="Arial" w:cs="Arial" w:eastAsia="Arial" w:hAnsi="Arial"/>
          <w:sz w:val="18"/>
          <w:szCs w:val="18"/>
          <w:color w:val="auto"/>
        </w:rPr>
        <w:t xml:space="preserve"> using your My WM Total Rewards user ID and password. If you have forgotten your user ID or password, there are instructions on the site to help you. Under the “My Compensation” section, click on the link to view your grants at the website maintained by the third party stock administrator appointed by the Company. Follow the online instructions and complete all of the steps required to accept the award.</w:t>
      </w:r>
    </w:p>
    <w:p>
      <w:pPr>
        <w:spacing w:after="0" w:line="18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If you are a new Plan participant, you must open a Limited Individual Investor Account (LIIA) before you can accept your awards. This account is separate from any other brokerage account you may have at the third party stock administrator. To open your LIIA, log on to </w:t>
      </w:r>
      <w:r>
        <w:rPr>
          <w:rFonts w:ascii="Arial" w:cs="Arial" w:eastAsia="Arial" w:hAnsi="Arial"/>
          <w:sz w:val="16"/>
          <w:szCs w:val="16"/>
          <w:b w:val="1"/>
          <w:bCs w:val="1"/>
          <w:color w:val="auto"/>
        </w:rPr>
        <w:t>www.mywmtotalrewards.com</w:t>
      </w:r>
      <w:r>
        <w:rPr>
          <w:rFonts w:ascii="Arial" w:cs="Arial" w:eastAsia="Arial" w:hAnsi="Arial"/>
          <w:sz w:val="16"/>
          <w:szCs w:val="16"/>
          <w:color w:val="auto"/>
        </w:rPr>
        <w:t xml:space="preserve"> using your My WM Total Rewards user ID and password. If you have forgotten your user ID or password, there are instructions on the site to help you. Under the “My Compensation” section, click on the link to the secure website maintained by the third party stock administrator appointed by the Company. You may also log in directly at </w:t>
      </w:r>
      <w:r>
        <w:rPr>
          <w:rFonts w:ascii="Arial" w:cs="Arial" w:eastAsia="Arial" w:hAnsi="Arial"/>
          <w:sz w:val="16"/>
          <w:szCs w:val="16"/>
          <w:b w:val="1"/>
          <w:bCs w:val="1"/>
          <w:color w:val="auto"/>
        </w:rPr>
        <w:t>www.benefits.ml.com</w:t>
      </w:r>
      <w:r>
        <w:rPr>
          <w:rFonts w:ascii="Arial" w:cs="Arial" w:eastAsia="Arial" w:hAnsi="Arial"/>
          <w:sz w:val="16"/>
          <w:szCs w:val="16"/>
          <w:color w:val="auto"/>
        </w:rPr>
        <w:t>. Once logged in, follow the prompts to “Open a Brokerage Account”. When you have successfully created your account, follow the online instructions and complete all of the steps required to accept the award.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Performance Share Units</w:t>
      </w:r>
    </w:p>
    <w:p>
      <w:pPr>
        <w:spacing w:after="0" w:line="265" w:lineRule="exact"/>
        <w:rPr>
          <w:sz w:val="20"/>
          <w:szCs w:val="20"/>
          <w:color w:val="auto"/>
        </w:rPr>
      </w:pPr>
    </w:p>
    <w:p>
      <w:pPr>
        <w:ind w:left="460" w:right="220" w:hanging="452"/>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PSU Grant</w:t>
      </w:r>
      <w:r>
        <w:rPr>
          <w:rFonts w:ascii="Arial" w:cs="Arial" w:eastAsia="Arial" w:hAnsi="Arial"/>
          <w:sz w:val="18"/>
          <w:szCs w:val="18"/>
          <w:color w:val="auto"/>
        </w:rPr>
        <w:t>. The Company grants to Employee a Performance Share Unit Award (a “</w:t>
      </w:r>
      <w:r>
        <w:rPr>
          <w:rFonts w:ascii="Arial" w:cs="Arial" w:eastAsia="Arial" w:hAnsi="Arial"/>
          <w:sz w:val="18"/>
          <w:szCs w:val="18"/>
          <w:b w:val="1"/>
          <w:bCs w:val="1"/>
          <w:i w:val="1"/>
          <w:iCs w:val="1"/>
          <w:color w:val="auto"/>
        </w:rPr>
        <w:t>PSU Award</w:t>
      </w:r>
      <w:r>
        <w:rPr>
          <w:rFonts w:ascii="Arial" w:cs="Arial" w:eastAsia="Arial" w:hAnsi="Arial"/>
          <w:sz w:val="18"/>
          <w:szCs w:val="18"/>
          <w:color w:val="auto"/>
        </w:rPr>
        <w:t>”), as provided in the Notice of Long-Term Incentive Award dated February 28, 2017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Each Performance Share Unit (“</w:t>
      </w:r>
      <w:r>
        <w:rPr>
          <w:rFonts w:ascii="Arial" w:cs="Arial" w:eastAsia="Arial" w:hAnsi="Arial"/>
          <w:sz w:val="18"/>
          <w:szCs w:val="18"/>
          <w:b w:val="1"/>
          <w:bCs w:val="1"/>
          <w:i w:val="1"/>
          <w:iCs w:val="1"/>
          <w:color w:val="auto"/>
        </w:rPr>
        <w:t>PSU</w:t>
      </w:r>
      <w:r>
        <w:rPr>
          <w:rFonts w:ascii="Arial" w:cs="Arial" w:eastAsia="Arial" w:hAnsi="Arial"/>
          <w:sz w:val="18"/>
          <w:szCs w:val="18"/>
          <w:color w:val="auto"/>
        </w:rPr>
        <w:t>”) is a notational unit of measurement denominated in shares of common stock of the Company, $.01 par value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7" w:name="page8"/>
    <w:bookmarkEnd w:id="7"/>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PSU Metrics.</w:t>
      </w:r>
    </w:p>
    <w:p>
      <w:pPr>
        <w:spacing w:after="0" w:line="130" w:lineRule="exact"/>
        <w:rPr>
          <w:rFonts w:ascii="Arial" w:cs="Arial" w:eastAsia="Arial" w:hAnsi="Arial"/>
          <w:sz w:val="18"/>
          <w:szCs w:val="18"/>
          <w:color w:val="auto"/>
        </w:rPr>
      </w:pPr>
    </w:p>
    <w:p>
      <w:pPr>
        <w:ind w:left="892" w:right="180" w:hanging="446"/>
        <w:spacing w:after="0" w:line="259" w:lineRule="auto"/>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Performance Period</w:t>
      </w:r>
      <w:r>
        <w:rPr>
          <w:rFonts w:ascii="Arial" w:cs="Arial" w:eastAsia="Arial" w:hAnsi="Arial"/>
          <w:sz w:val="18"/>
          <w:szCs w:val="18"/>
          <w:i w:val="1"/>
          <w:iCs w:val="1"/>
          <w:color w:val="auto"/>
        </w:rPr>
        <w:t>”</w:t>
      </w:r>
      <w:r>
        <w:rPr>
          <w:rFonts w:ascii="Arial" w:cs="Arial" w:eastAsia="Arial" w:hAnsi="Arial"/>
          <w:sz w:val="18"/>
          <w:szCs w:val="18"/>
          <w:color w:val="auto"/>
        </w:rPr>
        <w:t xml:space="preserve"> for this PSU Award is the 36-month period beginning January 1, 2017, and ending on December 31, 2019. Vesting and payout of your PSU Award is based upon the level of achievement of the </w:t>
      </w:r>
      <w:r>
        <w:rPr>
          <w:rFonts w:ascii="Arial" w:cs="Arial" w:eastAsia="Arial" w:hAnsi="Arial"/>
          <w:sz w:val="18"/>
          <w:szCs w:val="18"/>
          <w:b w:val="1"/>
          <w:bCs w:val="1"/>
          <w:i w:val="1"/>
          <w:iCs w:val="1"/>
          <w:color w:val="auto"/>
        </w:rPr>
        <w:t>Performance Goals</w:t>
      </w:r>
      <w:r>
        <w:rPr>
          <w:rFonts w:ascii="Arial" w:cs="Arial" w:eastAsia="Arial" w:hAnsi="Arial"/>
          <w:sz w:val="18"/>
          <w:szCs w:val="18"/>
          <w:color w:val="auto"/>
        </w:rPr>
        <w:t xml:space="preserve"> that have been set by the Management Development and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The Performance Goals set by the Committee for your PSU Awards are described in paragraph 3 below.</w:t>
      </w:r>
    </w:p>
    <w:p>
      <w:pPr>
        <w:spacing w:after="0" w:line="92" w:lineRule="exact"/>
        <w:rPr>
          <w:rFonts w:ascii="Arial" w:cs="Arial" w:eastAsia="Arial" w:hAnsi="Arial"/>
          <w:sz w:val="18"/>
          <w:szCs w:val="18"/>
          <w:color w:val="auto"/>
        </w:rPr>
      </w:pPr>
    </w:p>
    <w:p>
      <w:pPr>
        <w:ind w:left="892" w:hanging="446"/>
        <w:spacing w:after="0" w:line="279" w:lineRule="auto"/>
        <w:tabs>
          <w:tab w:leader="none" w:pos="892" w:val="left"/>
        </w:tabs>
        <w:numPr>
          <w:ilvl w:val="1"/>
          <w:numId w:val="3"/>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in order to be eligible to receive any payout with respect to the PSU Award, the Committee must certify that the Company has achieved cumulative Pre-Tax Income from Operations (as defined in the 2005 Annual Incentive Plan) that is positive over the Performance Period. In addition, no payout pursuant to your PSU Award shall occur with respect to any shares with a value that exceeds 1.0% of such cumulative Pre-Tax Income from Operations over the Performance Period.</w:t>
      </w:r>
    </w:p>
    <w:p>
      <w:pPr>
        <w:spacing w:after="0" w:line="76" w:lineRule="exact"/>
        <w:rPr>
          <w:rFonts w:ascii="Arial" w:cs="Arial" w:eastAsia="Arial" w:hAnsi="Arial"/>
          <w:sz w:val="17"/>
          <w:szCs w:val="17"/>
          <w:color w:val="auto"/>
        </w:rPr>
      </w:pPr>
    </w:p>
    <w:p>
      <w:pPr>
        <w:ind w:left="892" w:hanging="446"/>
        <w:spacing w:after="0" w:line="291" w:lineRule="auto"/>
        <w:tabs>
          <w:tab w:leader="none" w:pos="892"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Subject to the requirements set forth in paragraph 2.b. above, the performance measure selected by the Committee to serve as the Performance Goal for half (50%) of your Target PSU Award is </w:t>
      </w:r>
      <w:r>
        <w:rPr>
          <w:rFonts w:ascii="Arial" w:cs="Arial" w:eastAsia="Arial" w:hAnsi="Arial"/>
          <w:sz w:val="16"/>
          <w:szCs w:val="16"/>
          <w:b w:val="1"/>
          <w:bCs w:val="1"/>
          <w:i w:val="1"/>
          <w:iCs w:val="1"/>
          <w:color w:val="auto"/>
        </w:rPr>
        <w:t>Adjusted Free Cash Flow</w:t>
      </w:r>
      <w:r>
        <w:rPr>
          <w:rFonts w:ascii="Arial" w:cs="Arial" w:eastAsia="Arial" w:hAnsi="Arial"/>
          <w:sz w:val="16"/>
          <w:szCs w:val="16"/>
          <w:color w:val="auto"/>
        </w:rPr>
        <w:t xml:space="preserve"> (defined in paragraph 2.d. below). The performance measure selected by the Committee to serve as the Performance Goal for the other half (50%) of your Target PSU Award is </w:t>
      </w:r>
      <w:r>
        <w:rPr>
          <w:rFonts w:ascii="Arial" w:cs="Arial" w:eastAsia="Arial" w:hAnsi="Arial"/>
          <w:sz w:val="16"/>
          <w:szCs w:val="16"/>
          <w:b w:val="1"/>
          <w:bCs w:val="1"/>
          <w:i w:val="1"/>
          <w:iCs w:val="1"/>
          <w:color w:val="auto"/>
        </w:rPr>
        <w:t>Total Shareholder Return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Relative to the S&amp;P 500</w:t>
      </w:r>
      <w:r>
        <w:rPr>
          <w:rFonts w:ascii="Arial" w:cs="Arial" w:eastAsia="Arial" w:hAnsi="Arial"/>
          <w:sz w:val="16"/>
          <w:szCs w:val="16"/>
          <w:color w:val="auto"/>
        </w:rPr>
        <w:t>, or “</w:t>
      </w:r>
      <w:r>
        <w:rPr>
          <w:rFonts w:ascii="Arial" w:cs="Arial" w:eastAsia="Arial" w:hAnsi="Arial"/>
          <w:sz w:val="16"/>
          <w:szCs w:val="16"/>
          <w:b w:val="1"/>
          <w:bCs w:val="1"/>
          <w:i w:val="1"/>
          <w:iCs w:val="1"/>
          <w:color w:val="auto"/>
        </w:rPr>
        <w:t>TSR</w:t>
      </w:r>
      <w:r>
        <w:rPr>
          <w:rFonts w:ascii="Arial" w:cs="Arial" w:eastAsia="Arial" w:hAnsi="Arial"/>
          <w:sz w:val="16"/>
          <w:szCs w:val="16"/>
          <w:color w:val="auto"/>
        </w:rPr>
        <w:t>” (as defined in paragraph 2.e. below). To determine the payout (if any) under your PSU Award, the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determine the level of the Performance Goal reached (“</w:t>
      </w:r>
      <w:r>
        <w:rPr>
          <w:rFonts w:ascii="Arial" w:cs="Arial" w:eastAsia="Arial" w:hAnsi="Arial"/>
          <w:sz w:val="16"/>
          <w:szCs w:val="16"/>
          <w:b w:val="1"/>
          <w:bCs w:val="1"/>
          <w:i w:val="1"/>
          <w:iCs w:val="1"/>
          <w:color w:val="auto"/>
        </w:rPr>
        <w:t>Achievement</w:t>
      </w:r>
      <w:r>
        <w:rPr>
          <w:rFonts w:ascii="Arial" w:cs="Arial" w:eastAsia="Arial" w:hAnsi="Arial"/>
          <w:sz w:val="16"/>
          <w:szCs w:val="16"/>
          <w:color w:val="auto"/>
        </w:rPr>
        <w:t>”) and the corresponding payout percentage applicable to each half of your Target PSU Award under paragraph 3 below. The Committee’s determinations, and the related calculations, including the calculation of Adjusted Free Cash Flow and TSR, are made by, and in the sole discretion of, the Committee, and are final and not subject to appeal.</w:t>
      </w:r>
    </w:p>
    <w:p>
      <w:pPr>
        <w:spacing w:after="0" w:line="72" w:lineRule="exact"/>
        <w:rPr>
          <w:rFonts w:ascii="Arial" w:cs="Arial" w:eastAsia="Arial" w:hAnsi="Arial"/>
          <w:sz w:val="16"/>
          <w:szCs w:val="16"/>
          <w:color w:val="auto"/>
        </w:rPr>
      </w:pPr>
    </w:p>
    <w:p>
      <w:pPr>
        <w:ind w:left="892" w:hanging="446"/>
        <w:spacing w:after="0"/>
        <w:tabs>
          <w:tab w:leader="none" w:pos="892" w:val="left"/>
        </w:tabs>
        <w:numPr>
          <w:ilvl w:val="1"/>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Adjusted Free Cash Flow </w:t>
      </w:r>
      <w:r>
        <w:rPr>
          <w:rFonts w:ascii="Arial" w:cs="Arial" w:eastAsia="Arial" w:hAnsi="Arial"/>
          <w:sz w:val="16"/>
          <w:szCs w:val="16"/>
          <w:color w:val="auto"/>
        </w:rPr>
        <w:t>is the cash flow provided by operating activities of WM for the Performance Period with the following adjustments:</w:t>
      </w:r>
    </w:p>
    <w:p>
      <w:pPr>
        <w:spacing w:after="0" w:line="153" w:lineRule="exact"/>
        <w:rPr>
          <w:rFonts w:ascii="Arial" w:cs="Arial" w:eastAsia="Arial" w:hAnsi="Arial"/>
          <w:sz w:val="16"/>
          <w:szCs w:val="16"/>
          <w:color w:val="auto"/>
        </w:rPr>
      </w:pPr>
    </w:p>
    <w:p>
      <w:pPr>
        <w:ind w:left="1472" w:hanging="567"/>
        <w:spacing w:after="0"/>
        <w:tabs>
          <w:tab w:leader="none" w:pos="1472" w:val="left"/>
        </w:tabs>
        <w:numPr>
          <w:ilvl w:val="2"/>
          <w:numId w:val="3"/>
        </w:numPr>
        <w:rPr>
          <w:rFonts w:ascii="Arial" w:cs="Arial" w:eastAsia="Arial" w:hAnsi="Arial"/>
          <w:sz w:val="18"/>
          <w:szCs w:val="18"/>
          <w:color w:val="auto"/>
        </w:rPr>
      </w:pPr>
      <w:r>
        <w:rPr>
          <w:rFonts w:ascii="Arial" w:cs="Arial" w:eastAsia="Arial" w:hAnsi="Arial"/>
          <w:sz w:val="18"/>
          <w:szCs w:val="18"/>
          <w:color w:val="auto"/>
        </w:rPr>
        <w:t>Capital expenditures are excluded;</w:t>
      </w:r>
    </w:p>
    <w:p>
      <w:pPr>
        <w:spacing w:after="0" w:line="130" w:lineRule="exact"/>
        <w:rPr>
          <w:rFonts w:ascii="Arial" w:cs="Arial" w:eastAsia="Arial" w:hAnsi="Arial"/>
          <w:sz w:val="18"/>
          <w:szCs w:val="18"/>
          <w:color w:val="auto"/>
        </w:rPr>
      </w:pPr>
    </w:p>
    <w:p>
      <w:pPr>
        <w:ind w:left="1472" w:right="280" w:hanging="567"/>
        <w:spacing w:after="0" w:line="264" w:lineRule="auto"/>
        <w:tabs>
          <w:tab w:leader="none" w:pos="1472" w:val="left"/>
        </w:tabs>
        <w:numPr>
          <w:ilvl w:val="2"/>
          <w:numId w:val="3"/>
        </w:numPr>
        <w:rPr>
          <w:rFonts w:ascii="Arial" w:cs="Arial" w:eastAsia="Arial" w:hAnsi="Arial"/>
          <w:sz w:val="18"/>
          <w:szCs w:val="18"/>
          <w:color w:val="auto"/>
        </w:rPr>
      </w:pPr>
      <w:r>
        <w:rPr>
          <w:rFonts w:ascii="Arial" w:cs="Arial" w:eastAsia="Arial" w:hAnsi="Arial"/>
          <w:sz w:val="18"/>
          <w:szCs w:val="18"/>
          <w:color w:val="auto"/>
        </w:rPr>
        <w:t>Payments related to costs (including legal costs) associated with labor disruptions (e.g., strikes) and actual or potential multiemployer plan withdrawal liability(ies) are excluded as expenditures required as a result of past labor commitments combined with changing economic conditions of the present business climate;</w:t>
      </w:r>
    </w:p>
    <w:p>
      <w:pPr>
        <w:spacing w:after="0" w:line="86" w:lineRule="exact"/>
        <w:rPr>
          <w:rFonts w:ascii="Arial" w:cs="Arial" w:eastAsia="Arial" w:hAnsi="Arial"/>
          <w:sz w:val="18"/>
          <w:szCs w:val="18"/>
          <w:color w:val="auto"/>
        </w:rPr>
      </w:pPr>
    </w:p>
    <w:p>
      <w:pPr>
        <w:ind w:left="1472" w:right="540" w:hanging="567"/>
        <w:spacing w:after="0" w:line="277" w:lineRule="auto"/>
        <w:tabs>
          <w:tab w:leader="none" w:pos="1472" w:val="left"/>
        </w:tabs>
        <w:numPr>
          <w:ilvl w:val="2"/>
          <w:numId w:val="3"/>
        </w:numPr>
        <w:rPr>
          <w:rFonts w:ascii="Arial" w:cs="Arial" w:eastAsia="Arial" w:hAnsi="Arial"/>
          <w:sz w:val="18"/>
          <w:szCs w:val="18"/>
          <w:color w:val="auto"/>
        </w:rPr>
      </w:pPr>
      <w:r>
        <w:rPr>
          <w:rFonts w:ascii="Arial" w:cs="Arial" w:eastAsia="Arial" w:hAnsi="Arial"/>
          <w:sz w:val="18"/>
          <w:szCs w:val="18"/>
          <w:color w:val="auto"/>
        </w:rPr>
        <w:t>Strategic acquisition, restructuring, transformation and reorganization costs are excluded in recognition of WM’s goals to increase customer and business base while minimizing operating costs; and</w:t>
      </w:r>
    </w:p>
    <w:p>
      <w:pPr>
        <w:spacing w:after="0" w:line="75" w:lineRule="exact"/>
        <w:rPr>
          <w:rFonts w:ascii="Arial" w:cs="Arial" w:eastAsia="Arial" w:hAnsi="Arial"/>
          <w:sz w:val="18"/>
          <w:szCs w:val="18"/>
          <w:color w:val="auto"/>
        </w:rPr>
      </w:pPr>
    </w:p>
    <w:p>
      <w:pPr>
        <w:ind w:left="1472" w:hanging="567"/>
        <w:spacing w:after="0"/>
        <w:tabs>
          <w:tab w:leader="none" w:pos="1472" w:val="left"/>
        </w:tabs>
        <w:numPr>
          <w:ilvl w:val="2"/>
          <w:numId w:val="3"/>
        </w:numPr>
        <w:rPr>
          <w:rFonts w:ascii="Arial" w:cs="Arial" w:eastAsia="Arial" w:hAnsi="Arial"/>
          <w:sz w:val="18"/>
          <w:szCs w:val="18"/>
          <w:color w:val="auto"/>
        </w:rPr>
      </w:pPr>
      <w:r>
        <w:rPr>
          <w:rFonts w:ascii="Arial" w:cs="Arial" w:eastAsia="Arial" w:hAnsi="Arial"/>
          <w:sz w:val="18"/>
          <w:szCs w:val="18"/>
          <w:color w:val="auto"/>
        </w:rPr>
        <w:t>Cash proceeds from the divestiture of businesses and other assets are included.</w:t>
      </w:r>
    </w:p>
    <w:p>
      <w:pPr>
        <w:spacing w:after="0" w:line="117" w:lineRule="exact"/>
        <w:rPr>
          <w:sz w:val="20"/>
          <w:szCs w:val="20"/>
          <w:color w:val="auto"/>
        </w:rPr>
      </w:pPr>
    </w:p>
    <w:p>
      <w:pPr>
        <w:ind w:left="912" w:right="20"/>
        <w:spacing w:after="0" w:line="277" w:lineRule="auto"/>
        <w:rPr>
          <w:sz w:val="20"/>
          <w:szCs w:val="20"/>
          <w:color w:val="auto"/>
        </w:rPr>
      </w:pPr>
      <w:r>
        <w:rPr>
          <w:rFonts w:ascii="Arial" w:cs="Arial" w:eastAsia="Arial" w:hAnsi="Arial"/>
          <w:sz w:val="18"/>
          <w:szCs w:val="18"/>
          <w:color w:val="auto"/>
        </w:rPr>
        <w:t xml:space="preserve">The Committee, solely in its discretion, is permitted to make other adjustments to reflect management’s performance consistent with maximizing shareholder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other adjustments shall not reduce the Adjusted Free Cash Flow amount.</w:t>
      </w:r>
    </w:p>
    <w:p>
      <w:pPr>
        <w:spacing w:after="0" w:line="76" w:lineRule="exact"/>
        <w:rPr>
          <w:sz w:val="20"/>
          <w:szCs w:val="20"/>
          <w:color w:val="auto"/>
        </w:rPr>
      </w:pPr>
    </w:p>
    <w:p>
      <w:pPr>
        <w:ind w:left="892" w:right="140" w:hanging="446"/>
        <w:spacing w:after="0" w:line="277" w:lineRule="auto"/>
        <w:tabs>
          <w:tab w:leader="none" w:pos="892"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Total Shareholder Return Relative to the S&amp;P 500 or “TSR” </w:t>
      </w:r>
      <w:r>
        <w:rPr>
          <w:rFonts w:ascii="Arial" w:cs="Arial" w:eastAsia="Arial" w:hAnsi="Arial"/>
          <w:sz w:val="18"/>
          <w:szCs w:val="18"/>
          <w:color w:val="auto"/>
        </w:rPr>
        <w:t>is the percentile performance of the Company as compared to the other S&amp;P 500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for the Performance Period. For these purposes:</w:t>
      </w:r>
    </w:p>
    <w:p>
      <w:pPr>
        <w:spacing w:after="0" w:line="75" w:lineRule="exact"/>
        <w:rPr>
          <w:rFonts w:ascii="Arial" w:cs="Arial" w:eastAsia="Arial" w:hAnsi="Arial"/>
          <w:sz w:val="18"/>
          <w:szCs w:val="18"/>
          <w:color w:val="auto"/>
        </w:rPr>
      </w:pPr>
    </w:p>
    <w:p>
      <w:pPr>
        <w:ind w:left="1472" w:right="60" w:hanging="567"/>
        <w:spacing w:after="0" w:line="308" w:lineRule="auto"/>
        <w:tabs>
          <w:tab w:leader="none" w:pos="1472" w:val="left"/>
        </w:tabs>
        <w:numPr>
          <w:ilvl w:val="1"/>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S&amp;P 500 Companies </w:t>
      </w:r>
      <w:r>
        <w:rPr>
          <w:rFonts w:ascii="Arial" w:cs="Arial" w:eastAsia="Arial" w:hAnsi="Arial"/>
          <w:sz w:val="17"/>
          <w:szCs w:val="17"/>
          <w:color w:val="auto"/>
        </w:rPr>
        <w:t>means all of the entities listed on the Standard &amp; Poor’s 500 Composite Index, including the Company, on the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is 30 trading days prior to the commencement of the Performance Period, with the following modifications:</w:t>
      </w:r>
    </w:p>
    <w:p>
      <w:pPr>
        <w:spacing w:after="0" w:line="38" w:lineRule="exact"/>
        <w:rPr>
          <w:rFonts w:ascii="Arial" w:cs="Arial" w:eastAsia="Arial" w:hAnsi="Arial"/>
          <w:sz w:val="17"/>
          <w:szCs w:val="17"/>
          <w:color w:val="auto"/>
        </w:rPr>
      </w:pPr>
    </w:p>
    <w:p>
      <w:pPr>
        <w:ind w:left="1492" w:right="380" w:firstLine="389"/>
        <w:spacing w:after="0" w:line="277" w:lineRule="auto"/>
        <w:tabs>
          <w:tab w:leader="none" w:pos="2109" w:val="left"/>
        </w:tabs>
        <w:numPr>
          <w:ilvl w:val="2"/>
          <w:numId w:val="4"/>
        </w:numPr>
        <w:rPr>
          <w:rFonts w:ascii="Arial" w:cs="Arial" w:eastAsia="Arial" w:hAnsi="Arial"/>
          <w:sz w:val="18"/>
          <w:szCs w:val="18"/>
          <w:color w:val="auto"/>
        </w:rPr>
      </w:pPr>
      <w:r>
        <w:rPr>
          <w:rFonts w:ascii="Arial" w:cs="Arial" w:eastAsia="Arial" w:hAnsi="Arial"/>
          <w:sz w:val="18"/>
          <w:szCs w:val="18"/>
          <w:color w:val="auto"/>
        </w:rPr>
        <w:t xml:space="preserve">except as provided in paragraph 2.e.i.B. below, only those entities that continue to trade throughout the Performance Period without interruption on a </w:t>
      </w:r>
      <w:r>
        <w:rPr>
          <w:rFonts w:ascii="Arial" w:cs="Arial" w:eastAsia="Arial" w:hAnsi="Arial"/>
          <w:sz w:val="18"/>
          <w:szCs w:val="18"/>
          <w:b w:val="1"/>
          <w:bCs w:val="1"/>
          <w:i w:val="1"/>
          <w:iCs w:val="1"/>
          <w:color w:val="auto"/>
        </w:rPr>
        <w:t>National Exchange</w:t>
      </w:r>
      <w:r>
        <w:rPr>
          <w:rFonts w:ascii="Arial" w:cs="Arial" w:eastAsia="Arial" w:hAnsi="Arial"/>
          <w:sz w:val="18"/>
          <w:szCs w:val="18"/>
          <w:color w:val="auto"/>
        </w:rPr>
        <w:t xml:space="preserve"> shall be included; and</w:t>
      </w:r>
    </w:p>
    <w:p>
      <w:pPr>
        <w:spacing w:after="0" w:line="62" w:lineRule="exact"/>
        <w:rPr>
          <w:rFonts w:ascii="Arial" w:cs="Arial" w:eastAsia="Arial" w:hAnsi="Arial"/>
          <w:sz w:val="18"/>
          <w:szCs w:val="18"/>
          <w:color w:val="auto"/>
        </w:rPr>
      </w:pPr>
    </w:p>
    <w:p>
      <w:pPr>
        <w:ind w:left="2092" w:hanging="211"/>
        <w:spacing w:after="0"/>
        <w:tabs>
          <w:tab w:leader="none" w:pos="2092" w:val="left"/>
        </w:tabs>
        <w:numPr>
          <w:ilvl w:val="2"/>
          <w:numId w:val="4"/>
        </w:numPr>
        <w:rPr>
          <w:rFonts w:ascii="Arial" w:cs="Arial" w:eastAsia="Arial" w:hAnsi="Arial"/>
          <w:sz w:val="17"/>
          <w:szCs w:val="17"/>
          <w:color w:val="auto"/>
        </w:rPr>
      </w:pPr>
      <w:r>
        <w:rPr>
          <w:rFonts w:ascii="Arial" w:cs="Arial" w:eastAsia="Arial" w:hAnsi="Arial"/>
          <w:sz w:val="17"/>
          <w:szCs w:val="17"/>
          <w:color w:val="auto"/>
        </w:rPr>
        <w:t>any such entity that files for bankruptcy (“Bankrupt Peer”) during the Performance Period shall continue to be included.</w:t>
      </w:r>
    </w:p>
    <w:p>
      <w:pPr>
        <w:spacing w:after="0" w:line="129" w:lineRule="exact"/>
        <w:rPr>
          <w:sz w:val="20"/>
          <w:szCs w:val="20"/>
          <w:color w:val="auto"/>
        </w:rPr>
      </w:pPr>
    </w:p>
    <w:p>
      <w:pPr>
        <w:ind w:left="1492" w:right="500"/>
        <w:spacing w:after="0" w:line="277" w:lineRule="auto"/>
        <w:rPr>
          <w:sz w:val="20"/>
          <w:szCs w:val="20"/>
          <w:color w:val="auto"/>
        </w:rPr>
      </w:pPr>
      <w:r>
        <w:rPr>
          <w:rFonts w:ascii="Arial" w:cs="Arial" w:eastAsia="Arial" w:hAnsi="Arial"/>
          <w:sz w:val="18"/>
          <w:szCs w:val="18"/>
          <w:color w:val="auto"/>
        </w:rPr>
        <w:t>For these purposes “</w:t>
      </w:r>
      <w:r>
        <w:rPr>
          <w:rFonts w:ascii="Arial" w:cs="Arial" w:eastAsia="Arial" w:hAnsi="Arial"/>
          <w:sz w:val="18"/>
          <w:szCs w:val="18"/>
          <w:b w:val="1"/>
          <w:bCs w:val="1"/>
          <w:i w:val="1"/>
          <w:iCs w:val="1"/>
          <w:color w:val="auto"/>
        </w:rPr>
        <w:t>National Exchange</w:t>
      </w:r>
      <w:r>
        <w:rPr>
          <w:rFonts w:ascii="Arial" w:cs="Arial" w:eastAsia="Arial" w:hAnsi="Arial"/>
          <w:sz w:val="18"/>
          <w:szCs w:val="18"/>
          <w:color w:val="auto"/>
        </w:rPr>
        <w:t>” shall mean a securities exchange that has registered with the SEC under Section 6 of the Securities Exchange Act of 1934.</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4" w:right="279" w:bottom="1440" w:gutter="0" w:footer="0" w:header="0"/>
        </w:sectPr>
      </w:pPr>
    </w:p>
    <w:bookmarkStart w:id="8" w:name="page9"/>
    <w:bookmarkEnd w:id="8"/>
    <w:p>
      <w:pPr>
        <w:ind w:left="1480" w:hanging="567"/>
        <w:spacing w:after="0" w:line="255" w:lineRule="auto"/>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Total Shareholder Return </w:t>
      </w:r>
      <w:r>
        <w:rPr>
          <w:rFonts w:ascii="Arial" w:cs="Arial" w:eastAsia="Arial" w:hAnsi="Arial"/>
          <w:sz w:val="18"/>
          <w:szCs w:val="18"/>
          <w:color w:val="auto"/>
        </w:rPr>
        <w:t>is the result of dividing (1) the sum of the cumulative value of an entity’s dividends for the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plus the entity’s Ending Price, minus the Beginning Price, by (2) the Beginning Price. For purposes of determining the cumulative value of an entity’s dividends during the Performance Period, it will be assumed that all dividends declared and paid with respect to a particular entity during the Performance Period were reinvested in such entity at the ex-dividend date, using the closing price on such date. The aggregate shares, or fractional shares thereof, that will be assumed to be purchased as part of the reinvestment calculation will be multiplied by the Ending Price to determine the cumulative value of an entity’s dividends for the Performance Period. For these purposes:</w:t>
      </w:r>
    </w:p>
    <w:p>
      <w:pPr>
        <w:spacing w:after="0" w:line="94" w:lineRule="exact"/>
        <w:rPr>
          <w:rFonts w:ascii="Arial" w:cs="Arial" w:eastAsia="Arial" w:hAnsi="Arial"/>
          <w:sz w:val="18"/>
          <w:szCs w:val="18"/>
          <w:color w:val="auto"/>
        </w:rPr>
      </w:pPr>
    </w:p>
    <w:p>
      <w:pPr>
        <w:ind w:left="1920" w:right="300" w:hanging="440"/>
        <w:spacing w:after="0" w:line="308" w:lineRule="auto"/>
        <w:tabs>
          <w:tab w:leader="none" w:pos="1920" w:val="left"/>
        </w:tabs>
        <w:numPr>
          <w:ilvl w:val="3"/>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Price </w:t>
      </w:r>
      <w:r>
        <w:rPr>
          <w:rFonts w:ascii="Arial" w:cs="Arial" w:eastAsia="Arial" w:hAnsi="Arial"/>
          <w:sz w:val="17"/>
          <w:szCs w:val="17"/>
          <w:color w:val="auto"/>
        </w:rPr>
        <w:t>is the per share closing price, as reported by the Bloomberg L.P. (or any other publicly available reporting service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may designate from time to time) of a share or share equivalent on the applicable stock exchange.</w:t>
      </w:r>
    </w:p>
    <w:p>
      <w:pPr>
        <w:spacing w:after="0" w:line="51" w:lineRule="exact"/>
        <w:rPr>
          <w:rFonts w:ascii="Arial" w:cs="Arial" w:eastAsia="Arial" w:hAnsi="Arial"/>
          <w:sz w:val="17"/>
          <w:szCs w:val="17"/>
          <w:color w:val="auto"/>
        </w:rPr>
      </w:pPr>
    </w:p>
    <w:p>
      <w:pPr>
        <w:ind w:left="1920" w:right="400" w:hanging="440"/>
        <w:spacing w:after="0" w:line="277" w:lineRule="auto"/>
        <w:tabs>
          <w:tab w:leader="none" w:pos="1920" w:val="left"/>
        </w:tabs>
        <w:numPr>
          <w:ilvl w:val="3"/>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Beginning Price </w:t>
      </w:r>
      <w:r>
        <w:rPr>
          <w:rFonts w:ascii="Arial" w:cs="Arial" w:eastAsia="Arial" w:hAnsi="Arial"/>
          <w:sz w:val="18"/>
          <w:szCs w:val="18"/>
          <w:color w:val="auto"/>
        </w:rPr>
        <w:t>is the average Price for the period of 20 trading days immediately preceding the first day of the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w:t>
      </w:r>
    </w:p>
    <w:p>
      <w:pPr>
        <w:spacing w:after="0" w:line="75" w:lineRule="exact"/>
        <w:rPr>
          <w:rFonts w:ascii="Arial" w:cs="Arial" w:eastAsia="Arial" w:hAnsi="Arial"/>
          <w:sz w:val="18"/>
          <w:szCs w:val="18"/>
          <w:color w:val="auto"/>
        </w:rPr>
      </w:pPr>
    </w:p>
    <w:p>
      <w:pPr>
        <w:ind w:left="1920" w:right="540" w:hanging="440"/>
        <w:spacing w:after="0" w:line="277" w:lineRule="auto"/>
        <w:tabs>
          <w:tab w:leader="none" w:pos="1920" w:val="left"/>
        </w:tabs>
        <w:numPr>
          <w:ilvl w:val="3"/>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Ending Price </w:t>
      </w:r>
      <w:r>
        <w:rPr>
          <w:rFonts w:ascii="Arial" w:cs="Arial" w:eastAsia="Arial" w:hAnsi="Arial"/>
          <w:sz w:val="18"/>
          <w:szCs w:val="18"/>
          <w:color w:val="auto"/>
        </w:rPr>
        <w:t>is the average Price for the period of 20 trading days immediately preceding and including the final day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Period.</w:t>
      </w:r>
    </w:p>
    <w:p>
      <w:pPr>
        <w:spacing w:after="0" w:line="75" w:lineRule="exact"/>
        <w:rPr>
          <w:rFonts w:ascii="Arial" w:cs="Arial" w:eastAsia="Arial" w:hAnsi="Arial"/>
          <w:sz w:val="18"/>
          <w:szCs w:val="18"/>
          <w:color w:val="auto"/>
        </w:rPr>
      </w:pPr>
    </w:p>
    <w:p>
      <w:pPr>
        <w:ind w:left="1920" w:hanging="440"/>
        <w:spacing w:after="0" w:line="277" w:lineRule="auto"/>
        <w:tabs>
          <w:tab w:leader="none" w:pos="1920" w:val="left"/>
        </w:tabs>
        <w:numPr>
          <w:ilvl w:val="3"/>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Bankrupt Peer</w:t>
      </w:r>
      <w:r>
        <w:rPr>
          <w:rFonts w:ascii="Arial" w:cs="Arial" w:eastAsia="Arial" w:hAnsi="Arial"/>
          <w:sz w:val="18"/>
          <w:szCs w:val="18"/>
          <w:color w:val="auto"/>
        </w:rPr>
        <w:t>: Notwithstanding anything in the foregoing to the contrary, any Bankrupt Peer shall have a Total Shareholder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negative one hundred percent (-100%).</w:t>
      </w:r>
    </w:p>
    <w:p>
      <w:pPr>
        <w:spacing w:after="0" w:line="75" w:lineRule="exact"/>
        <w:rPr>
          <w:rFonts w:ascii="Arial" w:cs="Arial" w:eastAsia="Arial" w:hAnsi="Arial"/>
          <w:sz w:val="18"/>
          <w:szCs w:val="18"/>
          <w:color w:val="auto"/>
        </w:rPr>
      </w:pPr>
    </w:p>
    <w:p>
      <w:pPr>
        <w:ind w:left="1480" w:right="20" w:hanging="567"/>
        <w:spacing w:after="0" w:line="257" w:lineRule="auto"/>
        <w:tabs>
          <w:tab w:leader="none" w:pos="1480" w:val="left"/>
        </w:tabs>
        <w:numPr>
          <w:ilvl w:val="2"/>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Relative TSR Percentile Rank </w:t>
      </w:r>
      <w:r>
        <w:rPr>
          <w:rFonts w:ascii="Arial" w:cs="Arial" w:eastAsia="Arial" w:hAnsi="Arial"/>
          <w:sz w:val="18"/>
          <w:szCs w:val="18"/>
          <w:color w:val="auto"/>
        </w:rPr>
        <w:t>is the percentile performance of the Company as compared to the S&amp;P 500 Companies. Relative TSR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Percentile Rank is determined by ranking the Company and all other S&amp;P 500 Companies according to their respective Total Shareholder Return for the Performance Period. The ranking is in order from minimum-to-maximum, with the lowest performing entity assigned a rank of one. The Company’s ranking is then divided by the total number of entities within the S&amp;P 500 Companies to get the Relative TSR Percentile Rank.</w:t>
      </w:r>
    </w:p>
    <w:p>
      <w:pPr>
        <w:spacing w:after="0" w:line="2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PSU Payout Percentage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xml:space="preserve"> are the levels of performance set by the Committee on the Grant Date with respect to each measure of performance.</w:t>
      </w:r>
    </w:p>
    <w:p>
      <w:pPr>
        <w:spacing w:after="0" w:line="153" w:lineRule="exact"/>
        <w:rPr>
          <w:rFonts w:ascii="Arial" w:cs="Arial" w:eastAsia="Arial" w:hAnsi="Arial"/>
          <w:sz w:val="16"/>
          <w:szCs w:val="16"/>
          <w:color w:val="auto"/>
        </w:rPr>
      </w:pPr>
    </w:p>
    <w:p>
      <w:pPr>
        <w:ind w:left="900" w:right="6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Target PSU Award</w:t>
      </w:r>
      <w:r>
        <w:rPr>
          <w:rFonts w:ascii="Arial" w:cs="Arial" w:eastAsia="Arial" w:hAnsi="Arial"/>
          <w:sz w:val="18"/>
          <w:szCs w:val="18"/>
          <w:color w:val="auto"/>
        </w:rPr>
        <w:t>” for this Agreement is based on the target number of PSUs granted by the Committee and announced in the Notice. If Achievement falls between two levels of Achievement, the resulting payout percentage will be straight–line interpolated (rounding to the nearest 0.1 percent) between the payout percentages for those two levels of Achievement.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Achievement Levels and Corresponding Payouts for PSUs Dependent on Adjusted Cash Flow Performance Measure</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20" w:type="dxa"/>
            <w:vAlign w:val="bottom"/>
            <w:gridSpan w:val="3"/>
          </w:tcPr>
          <w:p>
            <w:pPr>
              <w:ind w:left="560"/>
              <w:spacing w:after="0"/>
              <w:rPr>
                <w:sz w:val="20"/>
                <w:szCs w:val="20"/>
                <w:color w:val="auto"/>
              </w:rPr>
            </w:pPr>
            <w:r>
              <w:rPr>
                <w:rFonts w:ascii="Arial" w:cs="Arial" w:eastAsia="Arial" w:hAnsi="Arial"/>
                <w:sz w:val="14"/>
                <w:szCs w:val="14"/>
                <w:b w:val="1"/>
                <w:bCs w:val="1"/>
                <w:color w:val="auto"/>
              </w:rPr>
              <w:t>Adjusted Free</w:t>
            </w:r>
          </w:p>
        </w:tc>
        <w:tc>
          <w:tcPr>
            <w:tcW w:w="9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1"/>
              </w:rPr>
              <w:t>Payout Percentage for the</w:t>
            </w: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of Achievement</w:t>
            </w:r>
          </w:p>
        </w:tc>
        <w:tc>
          <w:tcPr>
            <w:tcW w:w="560" w:type="dxa"/>
            <w:vAlign w:val="bottom"/>
          </w:tcPr>
          <w:p>
            <w:pPr>
              <w:spacing w:after="0"/>
              <w:rPr>
                <w:sz w:val="12"/>
                <w:szCs w:val="12"/>
                <w:color w:val="auto"/>
              </w:rPr>
            </w:pPr>
          </w:p>
        </w:tc>
        <w:tc>
          <w:tcPr>
            <w:tcW w:w="12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Cash Flow Over the</w:t>
            </w:r>
          </w:p>
        </w:tc>
        <w:tc>
          <w:tcPr>
            <w:tcW w:w="9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applicable half of your</w:t>
            </w:r>
          </w:p>
        </w:tc>
        <w:tc>
          <w:tcPr>
            <w:tcW w:w="0" w:type="dxa"/>
            <w:vAlign w:val="bottom"/>
          </w:tcPr>
          <w:p>
            <w:pPr>
              <w:spacing w:after="0"/>
              <w:rPr>
                <w:sz w:val="1"/>
                <w:szCs w:val="1"/>
                <w:color w:val="auto"/>
              </w:rPr>
            </w:pPr>
          </w:p>
        </w:tc>
      </w:tr>
      <w:tr>
        <w:trPr>
          <w:trHeight w:val="158"/>
        </w:trPr>
        <w:tc>
          <w:tcPr>
            <w:tcW w:w="3940" w:type="dxa"/>
            <w:vAlign w:val="bottom"/>
            <w:gridSpan w:val="2"/>
            <w:vMerge w:val="continue"/>
          </w:tcPr>
          <w:p>
            <w:pPr>
              <w:spacing w:after="0"/>
              <w:rPr>
                <w:sz w:val="13"/>
                <w:szCs w:val="13"/>
                <w:color w:val="auto"/>
              </w:rPr>
            </w:pPr>
          </w:p>
        </w:tc>
        <w:tc>
          <w:tcPr>
            <w:tcW w:w="1820" w:type="dxa"/>
            <w:vAlign w:val="bottom"/>
            <w:gridSpan w:val="3"/>
          </w:tcPr>
          <w:p>
            <w:pPr>
              <w:ind w:left="560"/>
              <w:spacing w:after="0" w:line="158" w:lineRule="exact"/>
              <w:rPr>
                <w:sz w:val="20"/>
                <w:szCs w:val="20"/>
                <w:color w:val="auto"/>
              </w:rPr>
            </w:pPr>
            <w:r>
              <w:rPr>
                <w:rFonts w:ascii="Arial" w:cs="Arial" w:eastAsia="Arial" w:hAnsi="Arial"/>
                <w:sz w:val="14"/>
                <w:szCs w:val="14"/>
                <w:b w:val="1"/>
                <w:bCs w:val="1"/>
                <w:color w:val="auto"/>
                <w:w w:val="93"/>
              </w:rPr>
              <w:t>Performance Period</w:t>
            </w:r>
          </w:p>
        </w:tc>
        <w:tc>
          <w:tcPr>
            <w:tcW w:w="920" w:type="dxa"/>
            <w:vAlign w:val="bottom"/>
          </w:tcPr>
          <w:p>
            <w:pPr>
              <w:spacing w:after="0"/>
              <w:rPr>
                <w:sz w:val="13"/>
                <w:szCs w:val="13"/>
                <w:color w:val="auto"/>
              </w:rPr>
            </w:pPr>
          </w:p>
        </w:tc>
        <w:tc>
          <w:tcPr>
            <w:tcW w:w="2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Target PSU Award</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 xml:space="preserve">Threshold Performance </w:t>
            </w:r>
            <w:r>
              <w:rPr>
                <w:rFonts w:ascii="Arial" w:cs="Arial" w:eastAsia="Arial" w:hAnsi="Arial"/>
                <w:sz w:val="18"/>
                <w:szCs w:val="18"/>
                <w:color w:val="auto"/>
              </w:rPr>
              <w:t>(the minimum level of</w:t>
            </w: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Achievement to qualify for any payout of the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Adjusted Free Cash Flow half of your Target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PSU Award.)</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4.566 billion</w:t>
            </w:r>
          </w:p>
        </w:tc>
        <w:tc>
          <w:tcPr>
            <w:tcW w:w="920" w:type="dxa"/>
            <w:vAlign w:val="bottom"/>
            <w:shd w:val="clear" w:color="auto" w:fill="CCEEFF"/>
          </w:tcPr>
          <w:p>
            <w:pPr>
              <w:spacing w:after="0"/>
              <w:rPr>
                <w:sz w:val="20"/>
                <w:szCs w:val="20"/>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 of Target PSU Award</w:t>
            </w:r>
          </w:p>
        </w:tc>
        <w:tc>
          <w:tcPr>
            <w:tcW w:w="0" w:type="dxa"/>
            <w:vAlign w:val="bottom"/>
          </w:tcPr>
          <w:p>
            <w:pPr>
              <w:spacing w:after="0"/>
              <w:rPr>
                <w:sz w:val="1"/>
                <w:szCs w:val="1"/>
                <w:color w:val="auto"/>
              </w:rPr>
            </w:pPr>
          </w:p>
        </w:tc>
      </w:tr>
      <w:tr>
        <w:trPr>
          <w:trHeight w:val="202"/>
        </w:trPr>
        <w:tc>
          <w:tcPr>
            <w:tcW w:w="394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w w:val="98"/>
              </w:rPr>
              <w:t xml:space="preserve">Target Performance </w:t>
            </w:r>
            <w:r>
              <w:rPr>
                <w:rFonts w:ascii="Arial" w:cs="Arial" w:eastAsia="Arial" w:hAnsi="Arial"/>
                <w:sz w:val="18"/>
                <w:szCs w:val="18"/>
                <w:color w:val="auto"/>
                <w:w w:val="98"/>
              </w:rPr>
              <w:t>(the level of Achievement to</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qualify for 100% payout of the Adjusted Free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Cash Flow half of your Target PSU Award.)</w:t>
            </w: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60" w:type="dxa"/>
            <w:vAlign w:val="bottom"/>
          </w:tcPr>
          <w:p>
            <w:pPr>
              <w:ind w:left="140"/>
              <w:spacing w:after="0"/>
              <w:rPr>
                <w:sz w:val="20"/>
                <w:szCs w:val="20"/>
                <w:color w:val="auto"/>
              </w:rPr>
            </w:pPr>
            <w:r>
              <w:rPr>
                <w:rFonts w:ascii="Arial" w:cs="Arial" w:eastAsia="Arial" w:hAnsi="Arial"/>
                <w:sz w:val="18"/>
                <w:szCs w:val="18"/>
                <w:color w:val="auto"/>
                <w:w w:val="93"/>
              </w:rPr>
              <w:t>4.951 billion</w:t>
            </w:r>
          </w:p>
        </w:tc>
        <w:tc>
          <w:tcPr>
            <w:tcW w:w="2920" w:type="dxa"/>
            <w:vAlign w:val="bottom"/>
            <w:gridSpan w:val="2"/>
          </w:tcPr>
          <w:p>
            <w:pPr>
              <w:jc w:val="center"/>
              <w:ind w:left="810"/>
              <w:spacing w:after="0"/>
              <w:rPr>
                <w:sz w:val="20"/>
                <w:szCs w:val="20"/>
                <w:color w:val="auto"/>
              </w:rPr>
            </w:pPr>
            <w:r>
              <w:rPr>
                <w:rFonts w:ascii="Arial" w:cs="Arial" w:eastAsia="Arial" w:hAnsi="Arial"/>
                <w:sz w:val="18"/>
                <w:szCs w:val="18"/>
                <w:color w:val="auto"/>
                <w:w w:val="89"/>
              </w:rPr>
              <w:t>100% of Target PSU Award</w:t>
            </w: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 xml:space="preserve">Maximum Performance </w:t>
            </w:r>
            <w:r>
              <w:rPr>
                <w:rFonts w:ascii="Arial" w:cs="Arial" w:eastAsia="Arial" w:hAnsi="Arial"/>
                <w:sz w:val="18"/>
                <w:szCs w:val="18"/>
                <w:color w:val="auto"/>
              </w:rPr>
              <w:t>(the maximum level of</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Achievement that results in an increased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number of PSUs paid out under the Adjusted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Free Cash Flow half of your Target PSU</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Award.)</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5.336 billion</w:t>
            </w:r>
          </w:p>
        </w:tc>
        <w:tc>
          <w:tcPr>
            <w:tcW w:w="292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89"/>
              </w:rPr>
              <w:t>200% of Target PSU Award</w:t>
            </w: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Achievement Levels and Corresponding Payouts for PSUs Dependent on TSR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Total Shareholder Return Relative to the S&amp;P 500 over the Performance Period</w:t>
      </w:r>
    </w:p>
    <w:p>
      <w:pPr>
        <w:spacing w:after="0" w:line="10" w:lineRule="exact"/>
        <w:rPr>
          <w:sz w:val="20"/>
          <w:szCs w:val="20"/>
          <w:color w:val="auto"/>
        </w:rPr>
      </w:pPr>
    </w:p>
    <w:tbl>
      <w:tblPr>
        <w:tblLayout w:type="fixed"/>
        <w:tblInd w:w="1380" w:type="dxa"/>
        <w:tblCellMar>
          <w:top w:w="0" w:type="dxa"/>
          <w:left w:w="0" w:type="dxa"/>
          <w:bottom w:w="0" w:type="dxa"/>
          <w:right w:w="0" w:type="dxa"/>
        </w:tblCellMar>
      </w:tblPr>
      <w:tr>
        <w:trPr>
          <w:trHeight w:val="119"/>
        </w:trPr>
        <w:tc>
          <w:tcPr>
            <w:tcW w:w="1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900" w:type="dxa"/>
            <w:vAlign w:val="bottom"/>
          </w:tcPr>
          <w:p>
            <w:pPr>
              <w:jc w:val="center"/>
              <w:ind w:right="533"/>
              <w:spacing w:after="0" w:line="119" w:lineRule="exact"/>
              <w:rPr>
                <w:sz w:val="20"/>
                <w:szCs w:val="20"/>
                <w:color w:val="auto"/>
              </w:rPr>
            </w:pPr>
            <w:r>
              <w:rPr>
                <w:rFonts w:ascii="Arial" w:cs="Arial" w:eastAsia="Arial" w:hAnsi="Arial"/>
                <w:sz w:val="13"/>
                <w:szCs w:val="13"/>
                <w:b w:val="1"/>
                <w:bCs w:val="1"/>
                <w:color w:val="auto"/>
                <w:w w:val="97"/>
              </w:rPr>
              <w:t>Payout Percentage</w:t>
            </w:r>
          </w:p>
        </w:tc>
        <w:tc>
          <w:tcPr>
            <w:tcW w:w="0" w:type="dxa"/>
            <w:vAlign w:val="bottom"/>
          </w:tcPr>
          <w:p>
            <w:pPr>
              <w:spacing w:after="0"/>
              <w:rPr>
                <w:sz w:val="1"/>
                <w:szCs w:val="1"/>
                <w:color w:val="auto"/>
              </w:rPr>
            </w:pPr>
          </w:p>
        </w:tc>
      </w:tr>
      <w:tr>
        <w:trPr>
          <w:trHeight w:val="158"/>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of Achievement</w:t>
            </w:r>
          </w:p>
        </w:tc>
        <w:tc>
          <w:tcPr>
            <w:tcW w:w="280" w:type="dxa"/>
            <w:vAlign w:val="bottom"/>
          </w:tcPr>
          <w:p>
            <w:pPr>
              <w:spacing w:after="0"/>
              <w:rPr>
                <w:sz w:val="13"/>
                <w:szCs w:val="13"/>
                <w:color w:val="auto"/>
              </w:rPr>
            </w:pPr>
          </w:p>
        </w:tc>
        <w:tc>
          <w:tcPr>
            <w:tcW w:w="15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5"/>
              </w:rPr>
              <w:t>Relative TSR</w:t>
            </w:r>
          </w:p>
        </w:tc>
        <w:tc>
          <w:tcPr>
            <w:tcW w:w="24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for the applicable half</w:t>
            </w:r>
          </w:p>
        </w:tc>
        <w:tc>
          <w:tcPr>
            <w:tcW w:w="0" w:type="dxa"/>
            <w:vAlign w:val="bottom"/>
          </w:tcPr>
          <w:p>
            <w:pPr>
              <w:spacing w:after="0"/>
              <w:rPr>
                <w:sz w:val="1"/>
                <w:szCs w:val="1"/>
                <w:color w:val="auto"/>
              </w:rPr>
            </w:pPr>
          </w:p>
        </w:tc>
      </w:tr>
      <w:tr>
        <w:trPr>
          <w:trHeight w:val="162"/>
        </w:trPr>
        <w:tc>
          <w:tcPr>
            <w:tcW w:w="4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Percentile Rank</w:t>
            </w:r>
          </w:p>
        </w:tc>
        <w:tc>
          <w:tcPr>
            <w:tcW w:w="2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of your Target PSU Award</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shd w:val="clear" w:color="auto" w:fill="000000"/>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3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 xml:space="preserve">Threshold Performance </w:t>
            </w:r>
            <w:r>
              <w:rPr>
                <w:rFonts w:ascii="Arial" w:cs="Arial" w:eastAsia="Arial" w:hAnsi="Arial"/>
                <w:sz w:val="18"/>
                <w:szCs w:val="18"/>
                <w:color w:val="auto"/>
              </w:rPr>
              <w:t>(the minimum level of</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Achievement to qualify for any payout of the TSR</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half of your Target PSU Award.)</w:t>
            </w:r>
          </w:p>
        </w:tc>
        <w:tc>
          <w:tcPr>
            <w:tcW w:w="18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25</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of Target PSU Award</w:t>
            </w:r>
          </w:p>
        </w:tc>
        <w:tc>
          <w:tcPr>
            <w:tcW w:w="0" w:type="dxa"/>
            <w:vAlign w:val="bottom"/>
          </w:tcPr>
          <w:p>
            <w:pPr>
              <w:spacing w:after="0"/>
              <w:rPr>
                <w:sz w:val="1"/>
                <w:szCs w:val="1"/>
                <w:color w:val="auto"/>
              </w:rPr>
            </w:pPr>
          </w:p>
        </w:tc>
      </w:tr>
      <w:tr>
        <w:trPr>
          <w:trHeight w:val="202"/>
        </w:trPr>
        <w:tc>
          <w:tcPr>
            <w:tcW w:w="4360" w:type="dxa"/>
            <w:vAlign w:val="bottom"/>
            <w:gridSpan w:val="3"/>
          </w:tcPr>
          <w:p>
            <w:pPr>
              <w:spacing w:after="0" w:line="201" w:lineRule="exact"/>
              <w:rPr>
                <w:sz w:val="20"/>
                <w:szCs w:val="20"/>
                <w:color w:val="auto"/>
              </w:rPr>
            </w:pPr>
            <w:r>
              <w:rPr>
                <w:rFonts w:ascii="Arial" w:cs="Arial" w:eastAsia="Arial" w:hAnsi="Arial"/>
                <w:sz w:val="18"/>
                <w:szCs w:val="18"/>
                <w:b w:val="1"/>
                <w:bCs w:val="1"/>
                <w:i w:val="1"/>
                <w:iCs w:val="1"/>
                <w:color w:val="auto"/>
              </w:rPr>
              <w:t xml:space="preserve">Target Performance </w:t>
            </w:r>
            <w:r>
              <w:rPr>
                <w:rFonts w:ascii="Arial" w:cs="Arial" w:eastAsia="Arial" w:hAnsi="Arial"/>
                <w:sz w:val="18"/>
                <w:szCs w:val="18"/>
                <w:color w:val="auto"/>
              </w:rPr>
              <w:t>(the level of Achievement to</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3"/>
          </w:tcPr>
          <w:p>
            <w:pPr>
              <w:ind w:left="180"/>
              <w:spacing w:after="0"/>
              <w:rPr>
                <w:sz w:val="20"/>
                <w:szCs w:val="20"/>
                <w:color w:val="auto"/>
              </w:rPr>
            </w:pPr>
            <w:r>
              <w:rPr>
                <w:rFonts w:ascii="Arial" w:cs="Arial" w:eastAsia="Arial" w:hAnsi="Arial"/>
                <w:sz w:val="18"/>
                <w:szCs w:val="18"/>
                <w:color w:val="auto"/>
              </w:rPr>
              <w:t>qualify for 100% payout of the TSR half of your</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3"/>
          </w:tcPr>
          <w:p>
            <w:pPr>
              <w:ind w:left="180"/>
              <w:spacing w:after="0"/>
              <w:rPr>
                <w:sz w:val="20"/>
                <w:szCs w:val="20"/>
                <w:color w:val="auto"/>
              </w:rPr>
            </w:pPr>
            <w:r>
              <w:rPr>
                <w:rFonts w:ascii="Arial" w:cs="Arial" w:eastAsia="Arial" w:hAnsi="Arial"/>
                <w:sz w:val="18"/>
                <w:szCs w:val="18"/>
                <w:color w:val="auto"/>
              </w:rPr>
              <w:t>Target PSU Award.)</w:t>
            </w:r>
          </w:p>
        </w:tc>
        <w:tc>
          <w:tcPr>
            <w:tcW w:w="184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50</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100% of Target PSU Award</w:t>
            </w:r>
          </w:p>
        </w:tc>
        <w:tc>
          <w:tcPr>
            <w:tcW w:w="0" w:type="dxa"/>
            <w:vAlign w:val="bottom"/>
          </w:tcPr>
          <w:p>
            <w:pPr>
              <w:spacing w:after="0"/>
              <w:rPr>
                <w:sz w:val="1"/>
                <w:szCs w:val="1"/>
                <w:color w:val="auto"/>
              </w:rPr>
            </w:pPr>
          </w:p>
        </w:tc>
      </w:tr>
      <w:tr>
        <w:trPr>
          <w:trHeight w:val="202"/>
        </w:trPr>
        <w:tc>
          <w:tcPr>
            <w:tcW w:w="43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 xml:space="preserve">Maximum Performance </w:t>
            </w:r>
            <w:r>
              <w:rPr>
                <w:rFonts w:ascii="Arial" w:cs="Arial" w:eastAsia="Arial" w:hAnsi="Arial"/>
                <w:sz w:val="18"/>
                <w:szCs w:val="18"/>
                <w:color w:val="auto"/>
              </w:rPr>
              <w:t>(the maximum level of</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Achievement that results in an increased number of</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6"/>
              </w:rPr>
              <w:t>PSUs paid out under the TSR half of your Target PSU</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Award.)</w:t>
            </w:r>
          </w:p>
        </w:tc>
        <w:tc>
          <w:tcPr>
            <w:tcW w:w="18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75</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 of Target PSU Award</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9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Timing and Form of Payment of PSU Award</w:t>
      </w:r>
      <w:r>
        <w:rPr>
          <w:rFonts w:ascii="Arial" w:cs="Arial" w:eastAsia="Arial" w:hAnsi="Arial"/>
          <w:sz w:val="16"/>
          <w:szCs w:val="16"/>
          <w:color w:val="auto"/>
        </w:rPr>
        <w:t>. After the close of the Performance Period, the Committee will certify (with respect to each portion of your Target PSU Award relating to the separate Performance Goals) Achievement and determine the corresponding payout percentage of the PSU Award by multiplying the applicable half of the PSU Award by the applicable payout percentage. The results will sum to the total number of shares of Common Stock that you are entitled to receive (the “</w:t>
      </w:r>
      <w:r>
        <w:rPr>
          <w:rFonts w:ascii="Arial" w:cs="Arial" w:eastAsia="Arial" w:hAnsi="Arial"/>
          <w:sz w:val="16"/>
          <w:szCs w:val="16"/>
          <w:b w:val="1"/>
          <w:bCs w:val="1"/>
          <w:i w:val="1"/>
          <w:iCs w:val="1"/>
          <w:color w:val="auto"/>
        </w:rPr>
        <w:t>PSU Awarded Shares</w:t>
      </w:r>
      <w:r>
        <w:rPr>
          <w:rFonts w:ascii="Arial" w:cs="Arial" w:eastAsia="Arial" w:hAnsi="Arial"/>
          <w:sz w:val="16"/>
          <w:szCs w:val="16"/>
          <w:color w:val="auto"/>
        </w:rPr>
        <w:t>”). Unless you have a valid Deferral Election in place for your PSU Award (see paragraph 8 under “</w:t>
      </w:r>
      <w:r>
        <w:rPr>
          <w:rFonts w:ascii="Arial" w:cs="Arial" w:eastAsia="Arial" w:hAnsi="Arial"/>
          <w:sz w:val="16"/>
          <w:szCs w:val="16"/>
          <w:b w:val="1"/>
          <w:bCs w:val="1"/>
          <w:color w:val="auto"/>
        </w:rPr>
        <w:t>Important Award Details</w:t>
      </w:r>
      <w:r>
        <w:rPr>
          <w:rFonts w:ascii="Arial" w:cs="Arial" w:eastAsia="Arial" w:hAnsi="Arial"/>
          <w:sz w:val="16"/>
          <w:szCs w:val="16"/>
          <w:color w:val="auto"/>
        </w:rPr>
        <w:t xml:space="preserve">” for further information on permitted deferrals), the Company will deliver the PSU Awarded Shares and payment of the corresponding </w:t>
      </w: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xml:space="preserve"> (as defined in paragraph 7 under “</w:t>
      </w:r>
      <w:r>
        <w:rPr>
          <w:rFonts w:ascii="Arial" w:cs="Arial" w:eastAsia="Arial" w:hAnsi="Arial"/>
          <w:sz w:val="16"/>
          <w:szCs w:val="16"/>
          <w:b w:val="1"/>
          <w:bCs w:val="1"/>
          <w:color w:val="auto"/>
        </w:rPr>
        <w:t>Important Award Details</w:t>
      </w:r>
      <w:r>
        <w:rPr>
          <w:rFonts w:ascii="Arial" w:cs="Arial" w:eastAsia="Arial" w:hAnsi="Arial"/>
          <w:sz w:val="16"/>
          <w:szCs w:val="16"/>
          <w:color w:val="auto"/>
        </w:rPr>
        <w:t>”) as soon as administratively feasible (and no later than 74 days after the end of the Performance Period) after the Committee’s certification and determination.</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Stock Options</w:t>
      </w:r>
    </w:p>
    <w:p>
      <w:pPr>
        <w:spacing w:after="0" w:line="265" w:lineRule="exact"/>
        <w:rPr>
          <w:sz w:val="20"/>
          <w:szCs w:val="20"/>
          <w:color w:val="auto"/>
        </w:rPr>
      </w:pPr>
    </w:p>
    <w:p>
      <w:pPr>
        <w:ind w:left="460" w:hanging="452"/>
        <w:spacing w:after="0" w:line="286"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Stock Option Grant</w:t>
      </w:r>
      <w:r>
        <w:rPr>
          <w:rFonts w:ascii="Arial" w:cs="Arial" w:eastAsia="Arial" w:hAnsi="Arial"/>
          <w:sz w:val="17"/>
          <w:szCs w:val="17"/>
          <w:color w:val="auto"/>
        </w:rPr>
        <w:t>. The Company grants to Employee a stock option award (the “</w:t>
      </w:r>
      <w:r>
        <w:rPr>
          <w:rFonts w:ascii="Arial" w:cs="Arial" w:eastAsia="Arial" w:hAnsi="Arial"/>
          <w:sz w:val="17"/>
          <w:szCs w:val="17"/>
          <w:b w:val="1"/>
          <w:bCs w:val="1"/>
          <w:i w:val="1"/>
          <w:iCs w:val="1"/>
          <w:color w:val="auto"/>
        </w:rPr>
        <w:t>Stock Option Award</w:t>
      </w:r>
      <w:r>
        <w:rPr>
          <w:rFonts w:ascii="Arial" w:cs="Arial" w:eastAsia="Arial" w:hAnsi="Arial"/>
          <w:sz w:val="17"/>
          <w:szCs w:val="17"/>
          <w:color w:val="auto"/>
        </w:rPr>
        <w:t>”) for the number of shares (“</w:t>
      </w:r>
      <w:r>
        <w:rPr>
          <w:rFonts w:ascii="Arial" w:cs="Arial" w:eastAsia="Arial" w:hAnsi="Arial"/>
          <w:sz w:val="17"/>
          <w:szCs w:val="17"/>
          <w:b w:val="1"/>
          <w:bCs w:val="1"/>
          <w:i w:val="1"/>
          <w:iCs w:val="1"/>
          <w:color w:val="auto"/>
        </w:rPr>
        <w:t>Stock Options</w:t>
      </w:r>
      <w:r>
        <w:rPr>
          <w:rFonts w:ascii="Arial" w:cs="Arial" w:eastAsia="Arial" w:hAnsi="Arial"/>
          <w:sz w:val="17"/>
          <w:szCs w:val="17"/>
          <w:color w:val="auto"/>
        </w:rPr>
        <w:t>”) of Common Stock provided in the Notice. This Stock Option Award grants Employee the right to purchase shares of Common Stock at the Grant Price. The “</w:t>
      </w:r>
      <w:r>
        <w:rPr>
          <w:rFonts w:ascii="Arial" w:cs="Arial" w:eastAsia="Arial" w:hAnsi="Arial"/>
          <w:sz w:val="17"/>
          <w:szCs w:val="17"/>
          <w:b w:val="1"/>
          <w:bCs w:val="1"/>
          <w:i w:val="1"/>
          <w:iCs w:val="1"/>
          <w:color w:val="auto"/>
        </w:rPr>
        <w:t>Grant Price</w:t>
      </w:r>
      <w:r>
        <w:rPr>
          <w:rFonts w:ascii="Arial" w:cs="Arial" w:eastAsia="Arial" w:hAnsi="Arial"/>
          <w:sz w:val="17"/>
          <w:szCs w:val="17"/>
          <w:color w:val="auto"/>
        </w:rPr>
        <w:t>” is the Fair Market Value (as defined in the Plan) of a share of Common Stock on the Grant Date.</w:t>
      </w:r>
    </w:p>
    <w:p>
      <w:pPr>
        <w:spacing w:after="0" w:line="70" w:lineRule="exact"/>
        <w:rPr>
          <w:rFonts w:ascii="Arial" w:cs="Arial" w:eastAsia="Arial" w:hAnsi="Arial"/>
          <w:sz w:val="17"/>
          <w:szCs w:val="17"/>
          <w:color w:val="auto"/>
        </w:rPr>
      </w:pPr>
    </w:p>
    <w:p>
      <w:pPr>
        <w:ind w:left="460" w:right="4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Notwithstanding any other provisions of this Agreement, the maximum term of the Stock Option Award is the 10</w:t>
      </w:r>
      <w:r>
        <w:rPr>
          <w:rFonts w:ascii="Arial" w:cs="Arial" w:eastAsia="Arial" w:hAnsi="Arial"/>
          <w:sz w:val="15"/>
          <w:szCs w:val="15"/>
          <w:color w:val="auto"/>
        </w:rPr>
        <w:t>th</w:t>
      </w:r>
      <w:r>
        <w:rPr>
          <w:rFonts w:ascii="Arial" w:cs="Arial" w:eastAsia="Arial" w:hAnsi="Arial"/>
          <w:sz w:val="18"/>
          <w:szCs w:val="18"/>
          <w:color w:val="auto"/>
        </w:rPr>
        <w:t xml:space="preserve"> anniversary of the Grant Date.</w:t>
      </w:r>
    </w:p>
    <w:p>
      <w:pPr>
        <w:spacing w:after="0" w:line="75" w:lineRule="exact"/>
        <w:rPr>
          <w:rFonts w:ascii="Arial" w:cs="Arial" w:eastAsia="Arial" w:hAnsi="Arial"/>
          <w:sz w:val="18"/>
          <w:szCs w:val="18"/>
          <w:color w:val="auto"/>
        </w:rPr>
      </w:pPr>
    </w:p>
    <w:p>
      <w:pPr>
        <w:ind w:left="460" w:right="54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Provided Employee remains employed by WM continuously through the applicable exercise dates, the Stock Option Award is exercisable as follows: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89"/>
              </w:rPr>
              <w:t>Exercise Date</w:t>
            </w:r>
          </w:p>
        </w:tc>
        <w:tc>
          <w:tcPr>
            <w:tcW w:w="4480" w:type="dxa"/>
            <w:vAlign w:val="bottom"/>
            <w:vMerge w:val="restart"/>
          </w:tcPr>
          <w:p>
            <w:pPr>
              <w:spacing w:after="0"/>
              <w:rPr>
                <w:sz w:val="12"/>
                <w:szCs w:val="12"/>
                <w:color w:val="auto"/>
              </w:rPr>
            </w:pPr>
          </w:p>
        </w:tc>
        <w:tc>
          <w:tcPr>
            <w:tcW w:w="2440" w:type="dxa"/>
            <w:vAlign w:val="bottom"/>
            <w:gridSpan w:val="2"/>
          </w:tcPr>
          <w:p>
            <w:pPr>
              <w:jc w:val="center"/>
              <w:ind w:left="1454"/>
              <w:spacing w:after="0" w:line="149" w:lineRule="exact"/>
              <w:rPr>
                <w:sz w:val="20"/>
                <w:szCs w:val="20"/>
                <w:color w:val="auto"/>
              </w:rPr>
            </w:pPr>
            <w:r>
              <w:rPr>
                <w:rFonts w:ascii="Arial" w:cs="Arial" w:eastAsia="Arial" w:hAnsi="Arial"/>
                <w:sz w:val="14"/>
                <w:szCs w:val="14"/>
                <w:b w:val="1"/>
                <w:bCs w:val="1"/>
                <w:color w:val="auto"/>
                <w:w w:val="93"/>
              </w:rPr>
              <w:t>Option Award</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448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203"/>
        </w:trPr>
        <w:tc>
          <w:tcPr>
            <w:tcW w:w="5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Prior to the first anniversary of the Grant Date</w:t>
            </w:r>
          </w:p>
        </w:tc>
        <w:tc>
          <w:tcPr>
            <w:tcW w:w="15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On or after the first anniversary of the Grant Date</w:t>
            </w:r>
          </w:p>
        </w:tc>
        <w:tc>
          <w:tcPr>
            <w:tcW w:w="2440" w:type="dxa"/>
            <w:vAlign w:val="bottom"/>
            <w:gridSpan w:val="2"/>
          </w:tcPr>
          <w:p>
            <w:pPr>
              <w:jc w:val="center"/>
              <w:ind w:left="1454"/>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the second anniversary of the Grant Date</w:t>
            </w:r>
          </w:p>
        </w:tc>
        <w:tc>
          <w:tcPr>
            <w:tcW w:w="2440" w:type="dxa"/>
            <w:vAlign w:val="bottom"/>
            <w:gridSpan w:val="2"/>
            <w:shd w:val="clear" w:color="auto" w:fill="CCEEFF"/>
          </w:tcPr>
          <w:p>
            <w:pPr>
              <w:jc w:val="center"/>
              <w:ind w:left="1454"/>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On or after the third anniversary of the Grant Date</w:t>
            </w:r>
          </w:p>
        </w:tc>
        <w:tc>
          <w:tcPr>
            <w:tcW w:w="2440" w:type="dxa"/>
            <w:vAlign w:val="bottom"/>
            <w:gridSpan w:val="2"/>
          </w:tcPr>
          <w:p>
            <w:pPr>
              <w:jc w:val="center"/>
              <w:ind w:left="1454"/>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120" w:hanging="452"/>
        <w:spacing w:after="0" w:line="34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Manner of Exercise</w:t>
      </w:r>
      <w:r>
        <w:rPr>
          <w:rFonts w:ascii="Arial" w:cs="Arial" w:eastAsia="Arial" w:hAnsi="Arial"/>
          <w:sz w:val="16"/>
          <w:szCs w:val="16"/>
          <w:color w:val="auto"/>
        </w:rPr>
        <w:t>. In order to exercise all or a portion of the Stock Option Award, Employee must contact (either by phone or online) the third-party stock plan administrator designated by the Company and follow the procedures established by the Company for exercising a Stock Option Award.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10" w:name="page11"/>
    <w:bookmarkEnd w:id="10"/>
    <w:p>
      <w:pPr>
        <w:ind w:left="460" w:right="60" w:hanging="452"/>
        <w:spacing w:after="0" w:line="29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Grant Price</w:t>
      </w:r>
      <w:r>
        <w:rPr>
          <w:rFonts w:ascii="Arial" w:cs="Arial" w:eastAsia="Arial" w:hAnsi="Arial"/>
          <w:sz w:val="16"/>
          <w:szCs w:val="16"/>
          <w:color w:val="auto"/>
        </w:rPr>
        <w:t>. The Grant Price is payable in full to the Company either (a) in cash or its equivalent; (b) by tendering previously acquired shares of Common Stock held for at least six months and with an aggregate fair market value at the time of exercise equal to the aggregate Grant Price;</w:t>
      </w:r>
    </w:p>
    <w:p>
      <w:pPr>
        <w:ind w:left="460" w:right="10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(c) to the extent Employee is an executive officer at the time of exercise, by withholding shares of Common Stock that otherwise would be acquired pursuant to the Stock Option Award; or (d) any combination of the foregoing. The Grant Price may also be paid by cashless exercise through delivery of irrevocable instructions to a broker to promptly deliver to the Company the amount of proceeds from a sale of shares having fair market value equal to the Grant Price, provided that such instructions are delivered by no later than the close of the New York Stock Exchange on the last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xml:space="preserve"> prior to the 10th anniversary of the Grant Date. Payment by cashless exercise shall not be considered to have occurred until the broker has issued confirmation of the transaction. For these purposes,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xml:space="preserve"> means a day on which the New York Stock Exchange is open for trading for its regular trading sessions.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Important Award Details</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Your Awards under this Agreement are subject to important terms and conditions set forth below. Please read them carefully and seek advice from your own legal and tax advisors before executing this Agreement.</w:t>
      </w:r>
    </w:p>
    <w:p>
      <w:pPr>
        <w:spacing w:after="0" w:line="76" w:lineRule="exact"/>
        <w:rPr>
          <w:sz w:val="20"/>
          <w:szCs w:val="20"/>
          <w:color w:val="auto"/>
        </w:rPr>
      </w:pPr>
    </w:p>
    <w:p>
      <w:pPr>
        <w:ind w:left="220" w:right="600" w:hanging="212"/>
        <w:spacing w:after="0" w:line="264"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Upon Employee’s death or disability (as determined by the Committee and within the meaning of Section 409A of the Internal Revenue Code of 1986, as amended, and the Treasury Regulations issued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and specifically Section 409A(a)(2)(C)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Employee (or in the case of Employee’s death, Employee’s beneficiary) shall be entitled to:</w:t>
      </w:r>
    </w:p>
    <w:p>
      <w:pPr>
        <w:spacing w:after="0" w:line="86" w:lineRule="exact"/>
        <w:rPr>
          <w:rFonts w:ascii="Arial" w:cs="Arial" w:eastAsia="Arial" w:hAnsi="Arial"/>
          <w:sz w:val="18"/>
          <w:szCs w:val="18"/>
          <w:color w:val="auto"/>
        </w:rPr>
      </w:pPr>
    </w:p>
    <w:p>
      <w:pPr>
        <w:ind w:left="900" w:right="20" w:hanging="446"/>
        <w:spacing w:after="0" w:line="286" w:lineRule="auto"/>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which shall be paid to no later than 74 days following the end of the Performance Period; and</w:t>
      </w:r>
    </w:p>
    <w:p>
      <w:pPr>
        <w:spacing w:after="0" w:line="70"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exercise all Stock Options outstanding under the Stock Option Award (whether or not previously exercisable) for one year following such event. Provided however, if Employee was eligible for </w:t>
      </w:r>
      <w:r>
        <w:rPr>
          <w:rFonts w:ascii="Arial" w:cs="Arial" w:eastAsia="Arial" w:hAnsi="Arial"/>
          <w:sz w:val="18"/>
          <w:szCs w:val="18"/>
          <w:b w:val="1"/>
          <w:bCs w:val="1"/>
          <w:i w:val="1"/>
          <w:iCs w:val="1"/>
          <w:color w:val="auto"/>
        </w:rPr>
        <w:t>Retirement</w:t>
      </w:r>
      <w:r>
        <w:rPr>
          <w:rFonts w:ascii="Arial" w:cs="Arial" w:eastAsia="Arial" w:hAnsi="Arial"/>
          <w:sz w:val="18"/>
          <w:szCs w:val="18"/>
          <w:color w:val="auto"/>
        </w:rPr>
        <w:t xml:space="preserve"> (as defined in paragraph 2.c.i. below) at the time of his death or Disability, the Stock Option Award will remain exercisable for three years following the date of such event.</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Treatment of PSU Award Upon Retirement or Involuntary Termination of Employment Without Cause by WM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line="255"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Upon an involuntary Termination of Employment by WM without Cause (as defined in paragraph 6.c.iii. below) or upon Employee’s Retirement, Employee shall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Performance Period and has as its denominator 1095 (which amount shall be issued and paid no later than 74 days following the end of the Performance Period).</w:t>
      </w:r>
    </w:p>
    <w:p>
      <w:pPr>
        <w:spacing w:after="0" w:line="98" w:lineRule="exact"/>
        <w:rPr>
          <w:rFonts w:ascii="Arial" w:cs="Arial" w:eastAsia="Arial" w:hAnsi="Arial"/>
          <w:sz w:val="18"/>
          <w:szCs w:val="18"/>
          <w:color w:val="auto"/>
        </w:rPr>
      </w:pPr>
    </w:p>
    <w:p>
      <w:pPr>
        <w:ind w:left="900" w:right="240" w:hanging="446"/>
        <w:spacing w:after="0" w:line="25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the event Employee is employed by a subsidiary of the Company that is sold by the Company in a transaction (i) that would not constitute a Change in Control of the Company within the meaning of paragraph 6.c.i. below, but (ii) that would constitute a Change in Control of the subsidiary within the meaning of paragraph 6.c.i. with the subsidiary substituted for Company thereunder, such transaction shall be deemed to constitute an involuntary Termination of Employment by WM without Cause for purposes of this paragraph 2 as of the effective date of such Transaction.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1" w:name="page12"/>
    <w:bookmarkEnd w:id="11"/>
    <w:p>
      <w:pPr>
        <w:ind w:left="892" w:hanging="446"/>
        <w:spacing w:after="0"/>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terms shall have the meanings set forth below for purposes of this Agreement:</w:t>
      </w:r>
    </w:p>
    <w:p>
      <w:pPr>
        <w:spacing w:after="0" w:line="130" w:lineRule="exact"/>
        <w:rPr>
          <w:rFonts w:ascii="Arial" w:cs="Arial" w:eastAsia="Arial" w:hAnsi="Arial"/>
          <w:sz w:val="18"/>
          <w:szCs w:val="18"/>
          <w:color w:val="auto"/>
        </w:rPr>
      </w:pPr>
    </w:p>
    <w:p>
      <w:pPr>
        <w:ind w:left="1472" w:right="120" w:hanging="567"/>
        <w:spacing w:after="0" w:line="259" w:lineRule="auto"/>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Retirement </w:t>
      </w:r>
      <w:r>
        <w:rPr>
          <w:rFonts w:ascii="Arial" w:cs="Arial" w:eastAsia="Arial" w:hAnsi="Arial"/>
          <w:sz w:val="18"/>
          <w:szCs w:val="18"/>
          <w:color w:val="auto"/>
        </w:rPr>
        <w:t>means Termination of Employment due to the voluntary resignation of employment by Employee, after Employee (1)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reached age 55 or greater; (2) has a sum of age plus years of Service (as defined in paragraph ii. below) with WM equal to 65 or greater; and (3) has completed at least 5 consecutive full years of Service with WM during the 5 year period immediately preceding the resignation.</w:t>
      </w:r>
    </w:p>
    <w:p>
      <w:pPr>
        <w:spacing w:after="0" w:line="92" w:lineRule="exact"/>
        <w:rPr>
          <w:rFonts w:ascii="Arial" w:cs="Arial" w:eastAsia="Arial" w:hAnsi="Arial"/>
          <w:sz w:val="18"/>
          <w:szCs w:val="18"/>
          <w:color w:val="auto"/>
        </w:rPr>
      </w:pPr>
    </w:p>
    <w:p>
      <w:pPr>
        <w:ind w:left="1472" w:right="240" w:hanging="567"/>
        <w:spacing w:after="0" w:line="255" w:lineRule="auto"/>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Service </w:t>
      </w:r>
      <w:r>
        <w:rPr>
          <w:rFonts w:ascii="Arial" w:cs="Arial" w:eastAsia="Arial" w:hAnsi="Arial"/>
          <w:sz w:val="18"/>
          <w:szCs w:val="18"/>
          <w:color w:val="auto"/>
        </w:rPr>
        <w:t>is measured from Employee’s original date of hire by WM, except as provided below. In the case of a break of employment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98"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Treatment of Stock Option Award upon Involuntary Termination; Resignation; Retirement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100" w:hanging="446"/>
        <w:spacing w:after="0" w:line="257"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Involuntary Termination of Employment Without Cause or Resignation by Employee</w:t>
      </w:r>
      <w:r>
        <w:rPr>
          <w:rFonts w:ascii="Arial" w:cs="Arial" w:eastAsia="Arial" w:hAnsi="Arial"/>
          <w:sz w:val="18"/>
          <w:szCs w:val="18"/>
          <w:color w:val="auto"/>
        </w:rPr>
        <w:t>. Upon an involuntary Termination of Employment without Cause by WM or a Termination of Employment due to a voluntary resignation by Employee that is accepted by WM that is not a Retirement (as defined above), for a period of 90 days following such Termination of Employment, Employee shall be entitled to exercise all of the Stock Options then outstanding and exercisable under the Stock Option Award. Any Stock Options that are not outstanding and exercisable shall be forfeited.</w:t>
      </w:r>
    </w:p>
    <w:p>
      <w:pPr>
        <w:spacing w:after="0" w:line="93" w:lineRule="exact"/>
        <w:rPr>
          <w:rFonts w:ascii="Arial" w:cs="Arial" w:eastAsia="Arial" w:hAnsi="Arial"/>
          <w:sz w:val="18"/>
          <w:szCs w:val="18"/>
          <w:color w:val="auto"/>
        </w:rPr>
      </w:pPr>
    </w:p>
    <w:p>
      <w:pPr>
        <w:ind w:left="892" w:right="160" w:hanging="446"/>
        <w:spacing w:after="0" w:line="264"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Upon Employee’s Retirement, the Stock Option Award shall continue to become exercisable under the applicable exercise schedule for three years following Employee’s Retirement and once exercisable shall remain exercisable for the three-year period following Employee’s Retirement.</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for Other Reasons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20" w:hanging="446"/>
        <w:spacing w:after="0" w:line="276" w:lineRule="auto"/>
        <w:tabs>
          <w:tab w:leader="none" w:pos="892"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PSU Award in the Event of Involuntary Termination with Cause or Resignation by Employee</w:t>
      </w:r>
      <w:r>
        <w:rPr>
          <w:rFonts w:ascii="Arial" w:cs="Arial" w:eastAsia="Arial" w:hAnsi="Arial"/>
          <w:sz w:val="17"/>
          <w:szCs w:val="17"/>
          <w:color w:val="auto"/>
        </w:rPr>
        <w:t>. Except as provided in paragraphs 1 through 2 above and 6 below, Employee must be an employee of WM continuously from the Grant Date through the close of business on last day of the Performance Period to be entitled to receive payment of any PSU Award. Upon Termination of Employment on or before December 31, 2019, for any reason other than any termination that would qualify Employee for payout under paragraphs 1 through 2 above and 6 below, Employee shall immediately forfeit the PSU Award and any related Dividend Equivalents without payment of any consideration by WM.</w:t>
      </w:r>
    </w:p>
    <w:p>
      <w:pPr>
        <w:spacing w:after="0" w:line="77" w:lineRule="exact"/>
        <w:rPr>
          <w:rFonts w:ascii="Arial" w:cs="Arial" w:eastAsia="Arial" w:hAnsi="Arial"/>
          <w:sz w:val="17"/>
          <w:szCs w:val="17"/>
          <w:color w:val="auto"/>
        </w:rPr>
      </w:pPr>
    </w:p>
    <w:p>
      <w:pPr>
        <w:ind w:left="892" w:right="40" w:hanging="446"/>
        <w:spacing w:after="0" w:line="308" w:lineRule="auto"/>
        <w:tabs>
          <w:tab w:leader="none" w:pos="892"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Stock Option Award in the Event of Involuntary Termination with Cause</w:t>
      </w:r>
      <w:r>
        <w:rPr>
          <w:rFonts w:ascii="Arial" w:cs="Arial" w:eastAsia="Arial" w:hAnsi="Arial"/>
          <w:sz w:val="17"/>
          <w:szCs w:val="17"/>
          <w:color w:val="auto"/>
        </w:rPr>
        <w:t>. Upon Termination of Employment by WM with Cause, Employee shall forfeit all Stock Options under the Stock Option Award, whether or not exercisable, without the payment of any consideration by WM.</w:t>
      </w:r>
    </w:p>
    <w:p>
      <w:pPr>
        <w:spacing w:after="0" w:line="51" w:lineRule="exact"/>
        <w:rPr>
          <w:rFonts w:ascii="Arial" w:cs="Arial" w:eastAsia="Arial" w:hAnsi="Arial"/>
          <w:sz w:val="17"/>
          <w:szCs w:val="17"/>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Repayment of Award in the Event of Misconduct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hanging="446"/>
        <w:spacing w:after="0" w:line="271" w:lineRule="auto"/>
        <w:tabs>
          <w:tab w:leader="none" w:pos="892" w:val="left"/>
        </w:tabs>
        <w:numPr>
          <w:ilvl w:val="1"/>
          <w:numId w:val="13"/>
        </w:numPr>
        <w:rPr>
          <w:rFonts w:ascii="Arial" w:cs="Arial" w:eastAsia="Arial" w:hAnsi="Arial"/>
          <w:sz w:val="17"/>
          <w:szCs w:val="17"/>
          <w:color w:val="auto"/>
        </w:rPr>
      </w:pPr>
      <w:r>
        <w:rPr>
          <w:rFonts w:ascii="Arial" w:cs="Arial" w:eastAsia="Arial" w:hAnsi="Arial"/>
          <w:sz w:val="17"/>
          <w:szCs w:val="17"/>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17"/>
          <w:szCs w:val="17"/>
          <w:b w:val="1"/>
          <w:bCs w:val="1"/>
          <w:i w:val="1"/>
          <w:iCs w:val="1"/>
          <w:color w:val="auto"/>
        </w:rPr>
        <w:t>Misconduct</w:t>
      </w:r>
      <w:r>
        <w:rPr>
          <w:rFonts w:ascii="Arial" w:cs="Arial" w:eastAsia="Arial" w:hAnsi="Arial"/>
          <w:sz w:val="17"/>
          <w:szCs w:val="17"/>
          <w:color w:val="auto"/>
        </w:rPr>
        <w:t xml:space="preserve"> means any act or failure to act by any employee of WM that (i) caused or was intended to cause a violation of WM’s policies or the WM code of conduct, generally accepted accounting principles or any applicable laws in effect at the time of the act or failure to act in question and that (ii) materially increased the value of the payment or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17"/>
          <w:szCs w:val="17"/>
          <w:b w:val="1"/>
          <w:bCs w:val="1"/>
          <w:i w:val="1"/>
          <w:iCs w:val="1"/>
          <w:color w:val="auto"/>
        </w:rPr>
        <w:t>Independent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Third Party</w:t>
      </w:r>
      <w:r>
        <w:rPr>
          <w:rFonts w:ascii="Arial" w:cs="Arial" w:eastAsia="Arial" w:hAnsi="Arial"/>
          <w:sz w:val="17"/>
          <w:szCs w:val="17"/>
          <w:color w:val="auto"/>
        </w:rPr>
        <w:t>) appointed by the Committee.</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74" w:right="239" w:bottom="1440" w:gutter="0" w:footer="0" w:header="0"/>
        </w:sectPr>
      </w:pPr>
    </w:p>
    <w:bookmarkStart w:id="12" w:name="page13"/>
    <w:bookmarkEnd w:id="12"/>
    <w:p>
      <w:pPr>
        <w:jc w:val="both"/>
        <w:ind w:left="892" w:right="60" w:hanging="446"/>
        <w:spacing w:after="0" w:line="286" w:lineRule="auto"/>
        <w:tabs>
          <w:tab w:leader="none" w:pos="892" w:val="left"/>
        </w:tabs>
        <w:numPr>
          <w:ilvl w:val="1"/>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a determination of Misconduct by Employee, Employee may dispute such determination pursuant to binding arbitration as set forth in paragraph 18 under “General Terms” provided, however, that if Employee is determined to have benefited from, but not engaged in, Misconduct, Employee will have no right to dispute such determination and such determination shall be conclusive and binding.</w:t>
      </w:r>
    </w:p>
    <w:p>
      <w:pPr>
        <w:spacing w:after="0" w:line="70" w:lineRule="exact"/>
        <w:rPr>
          <w:rFonts w:ascii="Arial" w:cs="Arial" w:eastAsia="Arial" w:hAnsi="Arial"/>
          <w:sz w:val="17"/>
          <w:szCs w:val="17"/>
          <w:color w:val="auto"/>
        </w:rPr>
      </w:pPr>
    </w:p>
    <w:p>
      <w:pPr>
        <w:ind w:left="892" w:right="300" w:hanging="446"/>
        <w:spacing w:after="0" w:line="277" w:lineRule="auto"/>
        <w:tabs>
          <w:tab w:leader="none" w:pos="8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WM must initiate recovery pursuant to this paragraph 5 by the earliest of (i) one year after discovery of alleged Misconduct, or (ii) the second anniversary of Employee’s Termination of Employment.</w:t>
      </w:r>
    </w:p>
    <w:p>
      <w:pPr>
        <w:spacing w:after="0" w:line="75" w:lineRule="exact"/>
        <w:rPr>
          <w:rFonts w:ascii="Arial" w:cs="Arial" w:eastAsia="Arial" w:hAnsi="Arial"/>
          <w:sz w:val="18"/>
          <w:szCs w:val="18"/>
          <w:color w:val="auto"/>
        </w:rPr>
      </w:pPr>
    </w:p>
    <w:p>
      <w:pPr>
        <w:ind w:left="892" w:right="820" w:hanging="446"/>
        <w:spacing w:after="0" w:line="277" w:lineRule="auto"/>
        <w:tabs>
          <w:tab w:leader="none" w:pos="8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provisions of this paragraph 5, without any implication as to any other provision of this Agreement, shall survive the expiration or termination of this Agreement and Employee’s employment.</w:t>
      </w:r>
    </w:p>
    <w:p>
      <w:pPr>
        <w:spacing w:after="0" w:line="197" w:lineRule="exact"/>
        <w:rPr>
          <w:rFonts w:ascii="Arial" w:cs="Arial" w:eastAsia="Arial" w:hAnsi="Arial"/>
          <w:sz w:val="18"/>
          <w:szCs w:val="18"/>
          <w:color w:val="auto"/>
        </w:rPr>
      </w:pPr>
    </w:p>
    <w:p>
      <w:pPr>
        <w:ind w:left="452" w:hanging="452"/>
        <w:spacing w:after="0"/>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 Overriding any other inconsistent terms of this Agreement:</w:t>
      </w:r>
    </w:p>
    <w:p>
      <w:pPr>
        <w:spacing w:after="0" w:line="130" w:lineRule="exact"/>
        <w:rPr>
          <w:rFonts w:ascii="Arial" w:cs="Arial" w:eastAsia="Arial" w:hAnsi="Arial"/>
          <w:sz w:val="18"/>
          <w:szCs w:val="18"/>
          <w:color w:val="auto"/>
        </w:rPr>
      </w:pPr>
    </w:p>
    <w:p>
      <w:pPr>
        <w:ind w:left="892" w:right="500" w:hanging="446"/>
        <w:spacing w:after="0" w:line="277" w:lineRule="auto"/>
        <w:tabs>
          <w:tab w:leader="none" w:pos="892"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PSU Award</w:t>
      </w:r>
      <w:r>
        <w:rPr>
          <w:rFonts w:ascii="Arial" w:cs="Arial" w:eastAsia="Arial" w:hAnsi="Arial"/>
          <w:sz w:val="18"/>
          <w:szCs w:val="18"/>
          <w:color w:val="auto"/>
        </w:rPr>
        <w:t xml:space="preserve">. If there is 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xml:space="preserve"> (as defined in paragraph 6.c.i. below) before the close of the Performance Period, Employee is entitled to receive both i. and ii., as follows:</w:t>
      </w:r>
    </w:p>
    <w:p>
      <w:pPr>
        <w:spacing w:after="0" w:line="75" w:lineRule="exact"/>
        <w:rPr>
          <w:rFonts w:ascii="Arial" w:cs="Arial" w:eastAsia="Arial" w:hAnsi="Arial"/>
          <w:sz w:val="18"/>
          <w:szCs w:val="18"/>
          <w:color w:val="auto"/>
        </w:rPr>
      </w:pPr>
    </w:p>
    <w:p>
      <w:pPr>
        <w:ind w:left="1472" w:hanging="567"/>
        <w:spacing w:after="0"/>
        <w:tabs>
          <w:tab w:leader="none" w:pos="1472" w:val="left"/>
        </w:tabs>
        <w:numPr>
          <w:ilvl w:val="2"/>
          <w:numId w:val="15"/>
        </w:numPr>
        <w:rPr>
          <w:rFonts w:ascii="Arial" w:cs="Arial" w:eastAsia="Arial" w:hAnsi="Arial"/>
          <w:sz w:val="18"/>
          <w:szCs w:val="18"/>
          <w:color w:val="auto"/>
        </w:rPr>
      </w:pPr>
      <w:r>
        <w:rPr>
          <w:rFonts w:ascii="Arial" w:cs="Arial" w:eastAsia="Arial" w:hAnsi="Arial"/>
          <w:sz w:val="18"/>
          <w:szCs w:val="18"/>
          <w:color w:val="auto"/>
        </w:rPr>
        <w:t>For each half of the PSU Award, the result of an equation with a numerator of</w:t>
      </w:r>
    </w:p>
    <w:p>
      <w:pPr>
        <w:spacing w:after="0" w:line="130" w:lineRule="exact"/>
        <w:rPr>
          <w:rFonts w:ascii="Arial" w:cs="Arial" w:eastAsia="Arial" w:hAnsi="Arial"/>
          <w:sz w:val="18"/>
          <w:szCs w:val="18"/>
          <w:color w:val="auto"/>
        </w:rPr>
      </w:pPr>
    </w:p>
    <w:p>
      <w:pPr>
        <w:ind w:left="1912" w:right="180" w:hanging="440"/>
        <w:spacing w:after="0" w:line="302" w:lineRule="auto"/>
        <w:tabs>
          <w:tab w:leader="none" w:pos="1912" w:val="left"/>
        </w:tabs>
        <w:numPr>
          <w:ilvl w:val="3"/>
          <w:numId w:val="15"/>
        </w:numPr>
        <w:rPr>
          <w:rFonts w:ascii="Arial" w:cs="Arial" w:eastAsia="Arial" w:hAnsi="Arial"/>
          <w:sz w:val="16"/>
          <w:szCs w:val="16"/>
          <w:color w:val="auto"/>
        </w:rPr>
      </w:pPr>
      <w:r>
        <w:rPr>
          <w:rFonts w:ascii="Arial" w:cs="Arial" w:eastAsia="Arial" w:hAnsi="Arial"/>
          <w:sz w:val="16"/>
          <w:szCs w:val="16"/>
          <w:color w:val="auto"/>
        </w:rPr>
        <w:t>the respective number of PSUs Employee would have otherwise received based upon achievement of the applicable Performance Goal after reducing the Performance Period so that it ends on the last day of the quarter preceding the Change in Control (the “</w:t>
      </w:r>
      <w:r>
        <w:rPr>
          <w:rFonts w:ascii="Arial" w:cs="Arial" w:eastAsia="Arial" w:hAnsi="Arial"/>
          <w:sz w:val="16"/>
          <w:szCs w:val="16"/>
          <w:b w:val="1"/>
          <w:bCs w:val="1"/>
          <w:i w:val="1"/>
          <w:iCs w:val="1"/>
          <w:color w:val="auto"/>
        </w:rPr>
        <w:t>Early Measurement Date</w:t>
      </w:r>
      <w:r>
        <w:rPr>
          <w:rFonts w:ascii="Arial" w:cs="Arial" w:eastAsia="Arial" w:hAnsi="Arial"/>
          <w:sz w:val="16"/>
          <w:szCs w:val="16"/>
          <w:color w:val="auto"/>
        </w:rPr>
        <w:t>”) and, for the Adjusted Free Cash Flow half of the PSU Award, after adjusting the Threshold, Target and Maximum Achievement Levels to reflect budgeted performance in the shorter Performance Period, multiplied by</w:t>
      </w:r>
    </w:p>
    <w:p>
      <w:pPr>
        <w:spacing w:after="0" w:line="59" w:lineRule="exact"/>
        <w:rPr>
          <w:rFonts w:ascii="Arial" w:cs="Arial" w:eastAsia="Arial" w:hAnsi="Arial"/>
          <w:sz w:val="16"/>
          <w:szCs w:val="16"/>
          <w:color w:val="auto"/>
        </w:rPr>
      </w:pPr>
    </w:p>
    <w:p>
      <w:pPr>
        <w:ind w:left="1912" w:right="120" w:hanging="440"/>
        <w:spacing w:after="0" w:line="277" w:lineRule="auto"/>
        <w:tabs>
          <w:tab w:leader="none" w:pos="1912" w:val="left"/>
        </w:tabs>
        <w:numPr>
          <w:ilvl w:val="3"/>
          <w:numId w:val="15"/>
        </w:numPr>
        <w:rPr>
          <w:rFonts w:ascii="Arial" w:cs="Arial" w:eastAsia="Arial" w:hAnsi="Arial"/>
          <w:sz w:val="18"/>
          <w:szCs w:val="18"/>
          <w:color w:val="auto"/>
        </w:rPr>
      </w:pPr>
      <w:r>
        <w:rPr>
          <w:rFonts w:ascii="Arial" w:cs="Arial" w:eastAsia="Arial" w:hAnsi="Arial"/>
          <w:sz w:val="18"/>
          <w:szCs w:val="18"/>
          <w:color w:val="auto"/>
        </w:rPr>
        <w:t>a fraction equal to (1) the number of days occurring between the beginning of the Performance Period and the Early Measurement Date (including the Early Measurement Date) divided by (2) 1095.</w:t>
      </w:r>
    </w:p>
    <w:p>
      <w:pPr>
        <w:spacing w:after="0" w:line="62" w:lineRule="exact"/>
        <w:rPr>
          <w:sz w:val="20"/>
          <w:szCs w:val="20"/>
          <w:color w:val="auto"/>
        </w:rPr>
      </w:pPr>
    </w:p>
    <w:p>
      <w:pPr>
        <w:jc w:val="both"/>
        <w:ind w:left="1492" w:right="120"/>
        <w:spacing w:after="0" w:line="312" w:lineRule="auto"/>
        <w:rPr>
          <w:sz w:val="20"/>
          <w:szCs w:val="20"/>
          <w:color w:val="auto"/>
        </w:rPr>
      </w:pPr>
      <w:r>
        <w:rPr>
          <w:rFonts w:ascii="Arial" w:cs="Arial" w:eastAsia="Arial" w:hAnsi="Arial"/>
          <w:sz w:val="16"/>
          <w:szCs w:val="16"/>
          <w:color w:val="auto"/>
        </w:rPr>
        <w:t>Payout of the PSUs shall be an immediate cash payment (in all events paid within 74 days following the Change in Control) equal to the number of PSUs earned under this paragraph 6.a. multiplied by the closing stock price of the Common Stock on the Early Measurement Date and will be accompanied by a cash payment of the associated Dividend Equivalents through the Early Measurement Date; and</w:t>
      </w:r>
    </w:p>
    <w:p>
      <w:pPr>
        <w:spacing w:after="0" w:line="52" w:lineRule="exact"/>
        <w:rPr>
          <w:sz w:val="20"/>
          <w:szCs w:val="20"/>
          <w:color w:val="auto"/>
        </w:rPr>
      </w:pPr>
    </w:p>
    <w:p>
      <w:pPr>
        <w:ind w:left="1472" w:hanging="567"/>
        <w:spacing w:after="0"/>
        <w:tabs>
          <w:tab w:leader="none" w:pos="1472"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a substitute award for the lost opportunity to continue to earn PSUs for the entire length of the original Performance Period:</w:t>
      </w:r>
    </w:p>
    <w:p>
      <w:pPr>
        <w:spacing w:after="0" w:line="142" w:lineRule="exact"/>
        <w:rPr>
          <w:rFonts w:ascii="Arial" w:cs="Arial" w:eastAsia="Arial" w:hAnsi="Arial"/>
          <w:sz w:val="17"/>
          <w:szCs w:val="17"/>
          <w:color w:val="auto"/>
        </w:rPr>
      </w:pPr>
    </w:p>
    <w:p>
      <w:pPr>
        <w:ind w:left="1912" w:hanging="440"/>
        <w:spacing w:after="0" w:line="286" w:lineRule="auto"/>
        <w:tabs>
          <w:tab w:leader="none" w:pos="1912" w:val="left"/>
        </w:tabs>
        <w:numPr>
          <w:ilvl w:val="1"/>
          <w:numId w:val="16"/>
        </w:numPr>
        <w:rPr>
          <w:rFonts w:ascii="Arial" w:cs="Arial" w:eastAsia="Arial" w:hAnsi="Arial"/>
          <w:sz w:val="17"/>
          <w:szCs w:val="17"/>
          <w:color w:val="auto"/>
        </w:rPr>
      </w:pPr>
      <w:r>
        <w:rPr>
          <w:rFonts w:ascii="Arial" w:cs="Arial" w:eastAsia="Arial" w:hAnsi="Arial"/>
          <w:sz w:val="17"/>
          <w:szCs w:val="17"/>
          <w:color w:val="auto"/>
        </w:rPr>
        <w:t>If the successor entity is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TAP X (1095 – EMD) x CP</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1095</w:t>
      </w:r>
    </w:p>
    <w:p>
      <w:pPr>
        <w:spacing w:after="0" w:line="103" w:lineRule="exact"/>
        <w:rPr>
          <w:sz w:val="20"/>
          <w:szCs w:val="20"/>
          <w:color w:val="auto"/>
        </w:rPr>
      </w:pPr>
    </w:p>
    <w:p>
      <w:pPr>
        <w:ind w:left="1932"/>
        <w:spacing w:after="0"/>
        <w:rPr>
          <w:sz w:val="20"/>
          <w:szCs w:val="20"/>
          <w:color w:val="auto"/>
        </w:rPr>
      </w:pPr>
      <w:r>
        <w:rPr>
          <w:rFonts w:ascii="Arial" w:cs="Arial" w:eastAsia="Arial" w:hAnsi="Arial"/>
          <w:sz w:val="18"/>
          <w:szCs w:val="18"/>
          <w:color w:val="auto"/>
        </w:rPr>
        <w:t>where</w:t>
      </w:r>
    </w:p>
    <w:p>
      <w:pPr>
        <w:spacing w:after="0" w:line="113" w:lineRule="exact"/>
        <w:rPr>
          <w:sz w:val="20"/>
          <w:szCs w:val="20"/>
          <w:color w:val="auto"/>
        </w:rPr>
      </w:pPr>
    </w:p>
    <w:p>
      <w:pPr>
        <w:ind w:left="2752"/>
        <w:spacing w:after="0"/>
        <w:rPr>
          <w:sz w:val="20"/>
          <w:szCs w:val="20"/>
          <w:color w:val="auto"/>
        </w:rPr>
      </w:pPr>
      <w:r>
        <w:rPr>
          <w:rFonts w:ascii="Arial" w:cs="Arial" w:eastAsia="Arial" w:hAnsi="Arial"/>
          <w:sz w:val="18"/>
          <w:szCs w:val="18"/>
          <w:b w:val="1"/>
          <w:bCs w:val="1"/>
          <w:color w:val="auto"/>
        </w:rPr>
        <w:t xml:space="preserve">TAP </w:t>
      </w:r>
      <w:r>
        <w:rPr>
          <w:rFonts w:ascii="Arial" w:cs="Arial" w:eastAsia="Arial" w:hAnsi="Arial"/>
          <w:sz w:val="18"/>
          <w:szCs w:val="18"/>
          <w:color w:val="auto"/>
        </w:rPr>
        <w:t>is the number of PSUs represented by the Target PSU Award;</w:t>
      </w:r>
    </w:p>
    <w:p>
      <w:pPr>
        <w:spacing w:after="0" w:line="117" w:lineRule="exact"/>
        <w:rPr>
          <w:sz w:val="20"/>
          <w:szCs w:val="20"/>
          <w:color w:val="auto"/>
        </w:rPr>
      </w:pPr>
    </w:p>
    <w:p>
      <w:pPr>
        <w:ind w:left="2392" w:right="120" w:firstLine="360"/>
        <w:spacing w:after="0" w:line="282" w:lineRule="auto"/>
        <w:rPr>
          <w:sz w:val="20"/>
          <w:szCs w:val="20"/>
          <w:color w:val="auto"/>
        </w:rPr>
      </w:pPr>
      <w:r>
        <w:rPr>
          <w:rFonts w:ascii="Arial" w:cs="Arial" w:eastAsia="Arial" w:hAnsi="Arial"/>
          <w:sz w:val="18"/>
          <w:szCs w:val="18"/>
          <w:b w:val="1"/>
          <w:bCs w:val="1"/>
          <w:color w:val="auto"/>
        </w:rPr>
        <w:t xml:space="preserve">EMD </w:t>
      </w:r>
      <w:r>
        <w:rPr>
          <w:rFonts w:ascii="Arial" w:cs="Arial" w:eastAsia="Arial" w:hAnsi="Arial"/>
          <w:sz w:val="18"/>
          <w:szCs w:val="18"/>
          <w:color w:val="auto"/>
        </w:rPr>
        <w:t>is the number of days during the Performance Period which occur prior to and including the Early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 and</w:t>
      </w:r>
    </w:p>
    <w:p>
      <w:pPr>
        <w:spacing w:after="0" w:line="54" w:lineRule="exact"/>
        <w:rPr>
          <w:sz w:val="20"/>
          <w:szCs w:val="20"/>
          <w:color w:val="auto"/>
        </w:rPr>
      </w:pPr>
    </w:p>
    <w:p>
      <w:pPr>
        <w:ind w:left="2752"/>
        <w:spacing w:after="0"/>
        <w:rPr>
          <w:sz w:val="20"/>
          <w:szCs w:val="20"/>
          <w:color w:val="auto"/>
        </w:rPr>
      </w:pPr>
      <w:r>
        <w:rPr>
          <w:rFonts w:ascii="Arial" w:cs="Arial" w:eastAsia="Arial" w:hAnsi="Arial"/>
          <w:sz w:val="18"/>
          <w:szCs w:val="18"/>
          <w:b w:val="1"/>
          <w:bCs w:val="1"/>
          <w:color w:val="auto"/>
        </w:rPr>
        <w:t xml:space="preserve">CP </w:t>
      </w:r>
      <w:r>
        <w:rPr>
          <w:rFonts w:ascii="Arial" w:cs="Arial" w:eastAsia="Arial" w:hAnsi="Arial"/>
          <w:sz w:val="18"/>
          <w:szCs w:val="18"/>
          <w:color w:val="auto"/>
        </w:rPr>
        <w:t>is the closing price of a share of Common Stock of the Company on the Early Measurement Date.</w:t>
      </w:r>
    </w:p>
    <w:p>
      <w:pPr>
        <w:spacing w:after="0" w:line="162"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13" w:name="page14"/>
    <w:bookmarkEnd w:id="13"/>
    <w:p>
      <w:pPr>
        <w:ind w:left="1486"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restricted stock units in the successor entity awarded under this paragraph 6.a.ii.1. will vest completely on December 31, 2019 (and be paid within 74 days thereof), provided that Employee remains continuously employed with the successor entity until then. Provided however, in the event of Employee’s involuntary Termination of Employment without Cause during the </w:t>
      </w:r>
      <w:r>
        <w:rPr>
          <w:rFonts w:ascii="Arial" w:cs="Arial" w:eastAsia="Arial" w:hAnsi="Arial"/>
          <w:sz w:val="17"/>
          <w:szCs w:val="17"/>
          <w:b w:val="1"/>
          <w:bCs w:val="1"/>
          <w:i w:val="1"/>
          <w:iCs w:val="1"/>
          <w:color w:val="auto"/>
        </w:rPr>
        <w:t>Window Period</w:t>
      </w:r>
      <w:r>
        <w:rPr>
          <w:rFonts w:ascii="Arial" w:cs="Arial" w:eastAsia="Arial" w:hAnsi="Arial"/>
          <w:sz w:val="17"/>
          <w:szCs w:val="17"/>
          <w:color w:val="auto"/>
        </w:rPr>
        <w:t xml:space="preserve"> (as defined in paragraph c.iv. below), or upon Employee’s Retirement, death or Disability, Employee shall become immediately vested in full in the restricted stock units in the successor entity awarded pursuant to this paragraph 6.a.ii.1 and paid (i) in the case of death or Disability, within 74 days of such time or (ii) in the case of Retirement or involuntary Termination of Employment without Cause, within 74 days following December 31, 2019.</w:t>
      </w:r>
    </w:p>
    <w:p>
      <w:pPr>
        <w:spacing w:after="0" w:line="83" w:lineRule="exact"/>
        <w:rPr>
          <w:sz w:val="20"/>
          <w:szCs w:val="20"/>
          <w:color w:val="auto"/>
        </w:rPr>
      </w:pPr>
    </w:p>
    <w:p>
      <w:pPr>
        <w:ind w:left="1466" w:right="100" w:hanging="440"/>
        <w:spacing w:after="0" w:line="277" w:lineRule="auto"/>
        <w:tabs>
          <w:tab w:leader="none" w:pos="14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successor entity is not a publicly traded company as of the Early Measurement Date, an amount of cash equal to the quotient obtained from the equation in paragraph 6.a.ii.1. above.</w:t>
      </w:r>
    </w:p>
    <w:p>
      <w:pPr>
        <w:spacing w:after="0" w:line="62" w:lineRule="exact"/>
        <w:rPr>
          <w:sz w:val="20"/>
          <w:szCs w:val="20"/>
          <w:color w:val="auto"/>
        </w:rPr>
      </w:pPr>
    </w:p>
    <w:p>
      <w:pPr>
        <w:ind w:left="1486" w:right="240"/>
        <w:spacing w:after="0" w:line="293" w:lineRule="auto"/>
        <w:rPr>
          <w:sz w:val="20"/>
          <w:szCs w:val="20"/>
          <w:color w:val="auto"/>
        </w:rPr>
      </w:pPr>
      <w:r>
        <w:rPr>
          <w:rFonts w:ascii="Arial" w:cs="Arial" w:eastAsia="Arial" w:hAnsi="Arial"/>
          <w:sz w:val="16"/>
          <w:szCs w:val="16"/>
          <w:color w:val="auto"/>
        </w:rPr>
        <w:t>Any cash payment awarded under this paragraph 6.a.ii.2. will be paid to Employee as soon as administratively feasible (and no later than 74 days) following December 31, 2019, provided that Employee remains continuously employed with the successor entity until such date. Provided however, in the event of Employee’s involuntary Termination of Employment without Cause during the Window Period or upon Employee’s Retirement, death or Disability, Employee shall become vested and be paid such cash payment by the successor entity (i) in the case of death or Disability, within 74 days of such time or (ii) in the case of Retirement or involuntary Termination of Employment without Cause, within 74 days following December 31, 2019.</w:t>
      </w:r>
    </w:p>
    <w:p>
      <w:pPr>
        <w:spacing w:after="0" w:line="70" w:lineRule="exact"/>
        <w:rPr>
          <w:sz w:val="20"/>
          <w:szCs w:val="20"/>
          <w:color w:val="auto"/>
        </w:rPr>
      </w:pPr>
    </w:p>
    <w:p>
      <w:pPr>
        <w:ind w:left="446" w:right="60" w:hanging="446"/>
        <w:spacing w:after="0" w:line="270" w:lineRule="auto"/>
        <w:tabs>
          <w:tab w:leader="none" w:pos="44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Stock Option Award</w:t>
      </w:r>
      <w:r>
        <w:rPr>
          <w:rFonts w:ascii="Arial" w:cs="Arial" w:eastAsia="Arial" w:hAnsi="Arial"/>
          <w:sz w:val="17"/>
          <w:szCs w:val="17"/>
          <w:color w:val="auto"/>
        </w:rPr>
        <w:t>. In the event of Employee’s involuntary Termination of Employment without Cause or Termination of Employment due to a resignation by Employee for Good Reason that, in either case, occurs on or before the second anniversary of a Change in Control, the Stock Option Award shall become exercisable immediately (whether or not previously exercisable) and shall remain exercisable for the three year period following such Termination of Employment. For this purpose,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has the same meaning determined by Employee’s written employment agreement in effect on the Grant Date. In the event there is no such agreement or definition, then Good Reason means the initial existence of one or more of the following conditions, arising without the consent of the Employee: (1) a material diminution in Employee’s base compensation; (2) a material diminution in Employee’s authority, duties, or responsibilities, so as to effectively cause Employee to no longer be performing the duties of his position; (3) a material diminution in the authority, duties, or responsibilities of the supervisor to whom Employee is required to report.</w:t>
      </w:r>
    </w:p>
    <w:p>
      <w:pPr>
        <w:spacing w:after="0" w:line="87" w:lineRule="exact"/>
        <w:rPr>
          <w:rFonts w:ascii="Arial" w:cs="Arial" w:eastAsia="Arial" w:hAnsi="Arial"/>
          <w:sz w:val="17"/>
          <w:szCs w:val="17"/>
          <w:color w:val="auto"/>
        </w:rPr>
      </w:pPr>
    </w:p>
    <w:p>
      <w:pPr>
        <w:ind w:left="446" w:hanging="446"/>
        <w:spacing w:after="0"/>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terms shall have the meanings set forth below for purposes of this Agreement:</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1"/>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means the first to occur of any of the following:</w:t>
      </w:r>
    </w:p>
    <w:p>
      <w:pPr>
        <w:spacing w:after="0" w:line="130" w:lineRule="exact"/>
        <w:rPr>
          <w:rFonts w:ascii="Arial" w:cs="Arial" w:eastAsia="Arial" w:hAnsi="Arial"/>
          <w:sz w:val="18"/>
          <w:szCs w:val="18"/>
          <w:color w:val="auto"/>
        </w:rPr>
      </w:pPr>
    </w:p>
    <w:p>
      <w:pPr>
        <w:ind w:left="1466" w:right="20" w:hanging="440"/>
        <w:spacing w:after="0" w:line="259" w:lineRule="auto"/>
        <w:tabs>
          <w:tab w:leader="none" w:pos="1466"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92" w:lineRule="exact"/>
        <w:rPr>
          <w:rFonts w:ascii="Arial" w:cs="Arial" w:eastAsia="Arial" w:hAnsi="Arial"/>
          <w:sz w:val="18"/>
          <w:szCs w:val="18"/>
          <w:color w:val="auto"/>
        </w:rPr>
      </w:pPr>
    </w:p>
    <w:p>
      <w:pPr>
        <w:ind w:left="1466" w:hanging="440"/>
        <w:spacing w:after="0" w:line="259" w:lineRule="auto"/>
        <w:tabs>
          <w:tab w:leader="none" w:pos="1466"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11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6"/>
          </w:cols>
          <w:pgMar w:left="694" w:top="274" w:right="239" w:bottom="1440" w:gutter="0" w:footer="0" w:header="0"/>
        </w:sectPr>
      </w:pPr>
    </w:p>
    <w:bookmarkStart w:id="14" w:name="page15"/>
    <w:bookmarkEnd w:id="14"/>
    <w:p>
      <w:pPr>
        <w:ind w:left="1920" w:right="100" w:hanging="440"/>
        <w:spacing w:after="0" w:line="255" w:lineRule="auto"/>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individuals cease for any reason to constitute a majority of the number of directors then serving: individuals who, at the Grant Date, constitute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94" w:lineRule="exact"/>
        <w:rPr>
          <w:rFonts w:ascii="Arial" w:cs="Arial" w:eastAsia="Arial" w:hAnsi="Arial"/>
          <w:sz w:val="18"/>
          <w:szCs w:val="18"/>
          <w:color w:val="auto"/>
        </w:rPr>
      </w:pPr>
    </w:p>
    <w:p>
      <w:pPr>
        <w:ind w:left="1920" w:hanging="440"/>
        <w:spacing w:after="0" w:line="290" w:lineRule="auto"/>
        <w:tabs>
          <w:tab w:leader="none" w:pos="1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16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in each of cases 1 through 4, that in the event the award or portion of the award is determined to constitute a non-exempt “deferral of compensation” pursuant to Section 409A, to the extent necessary to avoid the imposition of any penalties or additional tax under Section 409A, with respect to such award or portion of award the Change of Control event must also constitute a “change in the ownership of a corporation,” a “change in the effective control of a corporation,” or a “change in the ownership of a substantial portion of a corporation’s assets,” in each case, within the meaning of Section 409A.</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117" w:lineRule="exact"/>
        <w:rPr>
          <w:sz w:val="20"/>
          <w:szCs w:val="20"/>
          <w:color w:val="auto"/>
        </w:rPr>
      </w:pPr>
    </w:p>
    <w:p>
      <w:pPr>
        <w:ind w:left="2180" w:hanging="291"/>
        <w:spacing w:after="0"/>
        <w:tabs>
          <w:tab w:leader="none" w:pos="21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and Exchange Act of 1934, as amended from time to time; and</w:t>
      </w:r>
    </w:p>
    <w:p>
      <w:pPr>
        <w:spacing w:after="0" w:line="117" w:lineRule="exact"/>
        <w:rPr>
          <w:rFonts w:ascii="Arial" w:cs="Arial" w:eastAsia="Arial" w:hAnsi="Arial"/>
          <w:sz w:val="18"/>
          <w:szCs w:val="18"/>
          <w:color w:val="auto"/>
        </w:rPr>
      </w:pPr>
    </w:p>
    <w:p>
      <w:pPr>
        <w:ind w:left="1500" w:right="180" w:firstLine="389"/>
        <w:spacing w:after="0" w:line="276" w:lineRule="auto"/>
        <w:tabs>
          <w:tab w:leader="none" w:pos="2182" w:val="left"/>
        </w:tabs>
        <w:numPr>
          <w:ilvl w:val="1"/>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77" w:lineRule="exact"/>
        <w:rPr>
          <w:rFonts w:ascii="Arial" w:cs="Arial" w:eastAsia="Arial" w:hAnsi="Arial"/>
          <w:sz w:val="17"/>
          <w:szCs w:val="17"/>
          <w:color w:val="auto"/>
        </w:rPr>
      </w:pPr>
    </w:p>
    <w:p>
      <w:pPr>
        <w:ind w:left="1480" w:hanging="567"/>
        <w:spacing w:after="0" w:line="257"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of Employment </w:t>
      </w:r>
      <w:r>
        <w:rPr>
          <w:rFonts w:ascii="Arial" w:cs="Arial" w:eastAsia="Arial" w:hAnsi="Arial"/>
          <w:sz w:val="18"/>
          <w:szCs w:val="18"/>
          <w:color w:val="auto"/>
        </w:rPr>
        <w:t>means the termination of Employee’s employment or other service relationship with WM as determined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93" w:lineRule="exact"/>
        <w:rPr>
          <w:rFonts w:ascii="Arial" w:cs="Arial" w:eastAsia="Arial" w:hAnsi="Arial"/>
          <w:sz w:val="18"/>
          <w:szCs w:val="18"/>
          <w:color w:val="auto"/>
        </w:rPr>
      </w:pPr>
    </w:p>
    <w:p>
      <w:pPr>
        <w:ind w:left="1480" w:right="140" w:hanging="567"/>
        <w:spacing w:after="0" w:line="264"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Cause </w:t>
      </w:r>
      <w:r>
        <w:rPr>
          <w:rFonts w:ascii="Arial" w:cs="Arial" w:eastAsia="Arial" w:hAnsi="Arial"/>
          <w:sz w:val="18"/>
          <w:szCs w:val="18"/>
          <w:color w:val="auto"/>
        </w:rPr>
        <w:t>means any of the following: (1) willful or deliberate and continual refusal to materially perform Employee’s duties reasonably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requested by WM after receipt of written notice to Employee of such failure to perform, specifying such failure (other than as a result of Employee’s sickness, illness, injury, death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5" w:name="page16"/>
    <w:bookmarkEnd w:id="15"/>
    <w:p>
      <w:pPr>
        <w:ind w:left="1472" w:right="5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disability) and Employee fails to cure such nonperformance within ten (10) days of receipt of said written notice; (2) breach of any statutory or common law duty of loyalty to WM; (3) Employee has been convicted of, or pleaded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w:t>
      </w:r>
    </w:p>
    <w:p>
      <w:pPr>
        <w:ind w:left="1472"/>
        <w:spacing w:after="0" w:line="254" w:lineRule="auto"/>
        <w:rPr>
          <w:sz w:val="20"/>
          <w:szCs w:val="20"/>
          <w:color w:val="auto"/>
        </w:rPr>
      </w:pPr>
      <w:r>
        <w:rPr>
          <w:rFonts w:ascii="Arial" w:cs="Arial" w:eastAsia="Arial" w:hAnsi="Arial"/>
          <w:sz w:val="18"/>
          <w:szCs w:val="18"/>
          <w:color w:val="auto"/>
        </w:rPr>
        <w:t>(4) Employee willfully or intentionally caused material injury to WM, its property, or its assets; (5) Employee disclosed to unauthorized person(s) proprietary or confidential information of WM that causes a material injury to WM; (6) any material violation or a repeated and willful violation of WM’s policies or procedures, including but not limited to, WM’s Code of Business Conduct and Ethics (or any successor policy) then in effect.</w:t>
      </w:r>
    </w:p>
    <w:p>
      <w:pPr>
        <w:spacing w:after="0" w:line="95" w:lineRule="exact"/>
        <w:rPr>
          <w:sz w:val="20"/>
          <w:szCs w:val="20"/>
          <w:color w:val="auto"/>
        </w:rPr>
      </w:pPr>
    </w:p>
    <w:p>
      <w:pPr>
        <w:ind w:left="1472" w:right="340" w:hanging="567"/>
        <w:spacing w:after="0" w:line="277" w:lineRule="auto"/>
        <w:tabs>
          <w:tab w:leader="none" w:pos="1472" w:val="left"/>
        </w:tabs>
        <w:numPr>
          <w:ilvl w:val="2"/>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Window Period </w:t>
      </w:r>
      <w:r>
        <w:rPr>
          <w:rFonts w:ascii="Arial" w:cs="Arial" w:eastAsia="Arial" w:hAnsi="Arial"/>
          <w:sz w:val="18"/>
          <w:szCs w:val="18"/>
          <w:color w:val="auto"/>
        </w:rPr>
        <w:t>means the period beginning on the date occurring six (6) months immediately prior to the date on which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first occurs and ending on the second anniversary of the date on which a Change in Control occurs.</w:t>
      </w:r>
    </w:p>
    <w:p>
      <w:pPr>
        <w:spacing w:after="0" w:line="75" w:lineRule="exact"/>
        <w:rPr>
          <w:rFonts w:ascii="Arial" w:cs="Arial" w:eastAsia="Arial" w:hAnsi="Arial"/>
          <w:sz w:val="18"/>
          <w:szCs w:val="18"/>
          <w:color w:val="auto"/>
        </w:rPr>
      </w:pPr>
    </w:p>
    <w:p>
      <w:pPr>
        <w:ind w:left="452" w:right="140" w:hanging="452"/>
        <w:spacing w:after="0" w:line="270" w:lineRule="auto"/>
        <w:tabs>
          <w:tab w:leader="none" w:pos="452"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Dividend Equivalents on PSUs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xml:space="preserve"> mean an amount of cash equal to all dividends and distributions (or their economic equivalent) that are payable by the Company on one share of Common Stock to the stockholders of record. The Company will pay Dividend Equivalents with respect to the PSUs when (i) the Performance Period has ended; (ii) Employee has vested in the Award; and (iii) the PSU Awarded Shares have been certified by the Committee based on actual Achievement during the Performance Period (or otherwise determined pursuant to paragraph 6.a.i. above). As soon as administratively feasible after these events (and no later than 74 days following the end of the Performance Period), the Company will pay Employee a lump-sum cash amount for PSU Award Dividend Equivalents based on the number of PSU Awarded Shares multiplied by the per share quarterly dividend payments made to stockholders of the Company’s Common Stock during the Performance Period (without any interest or compounding). Any accumulated and unpaid Dividend Equivalents attributable to PSUs that are cancelled or forfeited will not be paid and are immediately forfeited upon cancellation of the PSUs.</w:t>
      </w:r>
    </w:p>
    <w:p>
      <w:pPr>
        <w:spacing w:after="0" w:line="87" w:lineRule="exact"/>
        <w:rPr>
          <w:rFonts w:ascii="Arial" w:cs="Arial" w:eastAsia="Arial" w:hAnsi="Arial"/>
          <w:sz w:val="17"/>
          <w:szCs w:val="17"/>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hanging="446"/>
        <w:spacing w:after="0" w:line="272" w:lineRule="auto"/>
        <w:tabs>
          <w:tab w:leader="none" w:pos="892"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Committee may establish procedures for Employee to elect to defer, until a time or times later than the vesting of PSU Awards, receipt of all or a portion of the shares of Common Stock deliverable under the Awards. Any such deferral election (“</w:t>
      </w:r>
      <w:r>
        <w:rPr>
          <w:rFonts w:ascii="Arial" w:cs="Arial" w:eastAsia="Arial" w:hAnsi="Arial"/>
          <w:sz w:val="17"/>
          <w:szCs w:val="17"/>
          <w:b w:val="1"/>
          <w:bCs w:val="1"/>
          <w:i w:val="1"/>
          <w:iCs w:val="1"/>
          <w:color w:val="auto"/>
        </w:rPr>
        <w:t>Deferral Election</w:t>
      </w:r>
      <w:r>
        <w:rPr>
          <w:rFonts w:ascii="Arial" w:cs="Arial" w:eastAsia="Arial" w:hAnsi="Arial"/>
          <w:sz w:val="17"/>
          <w:szCs w:val="17"/>
          <w:i w:val="1"/>
          <w:iCs w:val="1"/>
          <w:color w:val="auto"/>
        </w:rPr>
        <w:t>”)</w:t>
      </w:r>
      <w:r>
        <w:rPr>
          <w:rFonts w:ascii="Arial" w:cs="Arial" w:eastAsia="Arial" w:hAnsi="Arial"/>
          <w:sz w:val="17"/>
          <w:szCs w:val="17"/>
          <w:color w:val="auto"/>
        </w:rPr>
        <w:t xml:space="preserve"> must be under the terms and conditions determined in the sole discretion of the Committee (or its designee) and the Waste Management, Inc. 409A Deferral Savings Plan, As Amended and Restated Effective January 1, 2014 and as further amended, restated or supplemented from time to time (the “</w:t>
      </w:r>
      <w:r>
        <w:rPr>
          <w:rFonts w:ascii="Arial" w:cs="Arial" w:eastAsia="Arial" w:hAnsi="Arial"/>
          <w:sz w:val="17"/>
          <w:szCs w:val="17"/>
          <w:b w:val="1"/>
          <w:bCs w:val="1"/>
          <w:i w:val="1"/>
          <w:iCs w:val="1"/>
          <w:color w:val="auto"/>
        </w:rPr>
        <w:t>WM 409A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The Committee further retains the authority and discretion to modify and/or terminate existing Deferral Elections, procedures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options. Common Stock subject to a Deferral Election does not confer any shareholder rights to Employee unless and until the date the deferral expires and certificates representing such shares are delivered to Employee.</w:t>
      </w:r>
    </w:p>
    <w:p>
      <w:pPr>
        <w:spacing w:after="0" w:line="83" w:lineRule="exact"/>
        <w:rPr>
          <w:rFonts w:ascii="Arial" w:cs="Arial" w:eastAsia="Arial" w:hAnsi="Arial"/>
          <w:sz w:val="17"/>
          <w:szCs w:val="17"/>
          <w:color w:val="auto"/>
        </w:rPr>
      </w:pPr>
    </w:p>
    <w:p>
      <w:pPr>
        <w:ind w:left="892" w:right="60" w:hanging="446"/>
        <w:spacing w:after="0" w:line="286" w:lineRule="auto"/>
        <w:tabs>
          <w:tab w:leader="none" w:pos="892" w:val="left"/>
        </w:tabs>
        <w:numPr>
          <w:ilvl w:val="1"/>
          <w:numId w:val="23"/>
        </w:numPr>
        <w:rPr>
          <w:rFonts w:ascii="Arial" w:cs="Arial" w:eastAsia="Arial" w:hAnsi="Arial"/>
          <w:sz w:val="17"/>
          <w:szCs w:val="17"/>
          <w:color w:val="auto"/>
        </w:rPr>
      </w:pPr>
      <w:r>
        <w:rPr>
          <w:rFonts w:ascii="Arial" w:cs="Arial" w:eastAsia="Arial" w:hAnsi="Arial"/>
          <w:sz w:val="17"/>
          <w:szCs w:val="17"/>
          <w:color w:val="auto"/>
        </w:rPr>
        <w:t>No deferrals of Dividend Equivalents are permitted. In the event shares of Common Stock received upon vesting of PSU Awards are deferred pursuant to a valid Deferral Election, then the Company will pay Dividend Equivalents to Employee in cash on such deferred shares of Common Stock, as soon as administratively feasible following the payment of such dividends to stockholders of record.</w:t>
      </w:r>
    </w:p>
    <w:p>
      <w:pPr>
        <w:spacing w:after="0" w:line="70" w:lineRule="exact"/>
        <w:rPr>
          <w:rFonts w:ascii="Arial" w:cs="Arial" w:eastAsia="Arial" w:hAnsi="Arial"/>
          <w:sz w:val="17"/>
          <w:szCs w:val="17"/>
          <w:color w:val="auto"/>
        </w:rPr>
      </w:pPr>
    </w:p>
    <w:p>
      <w:pPr>
        <w:ind w:left="892" w:right="60" w:hanging="446"/>
        <w:spacing w:after="0" w:line="297" w:lineRule="auto"/>
        <w:tabs>
          <w:tab w:leader="none" w:pos="892"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the Committee permits deferral of the PSU Awards under this Agreement, then each provision of this Agreement shall be interpreted to permit deferral only (i) in accordance with the terms of the WM 409A Plan and (ii) as allowed in compliance with Section 409A. Any provision that would conflict with such requirements is not valid or enforceable. Employee acknowledges, without limitation, and consents that the application of Section 409A to this Agreement may require additional delay of payments otherwise payable under this Agreement or the WM 409A Plan. Employee and the Company agree to execute any instruments and take any action as reasonably may be necessary to comply with Section 409A.</w:t>
      </w:r>
    </w:p>
    <w:p>
      <w:pPr>
        <w:spacing w:after="0" w:line="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74" w:right="259" w:bottom="1440" w:gutter="0" w:footer="0" w:header="0"/>
        </w:sectPr>
      </w:pPr>
    </w:p>
    <w:bookmarkStart w:id="16" w:name="page17"/>
    <w:bookmarkEnd w:id="16"/>
    <w:p>
      <w:pPr>
        <w:jc w:val="center"/>
        <w:ind w:right="-11"/>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Terms</w:t>
      </w:r>
    </w:p>
    <w:p>
      <w:pPr>
        <w:spacing w:after="0" w:line="143" w:lineRule="exact"/>
        <w:rPr>
          <w:sz w:val="20"/>
          <w:szCs w:val="20"/>
          <w:color w:val="auto"/>
        </w:rPr>
      </w:pPr>
    </w:p>
    <w:p>
      <w:pPr>
        <w:ind w:left="452" w:hanging="452"/>
        <w:spacing w:after="0"/>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160" w:hanging="446"/>
        <w:spacing w:after="0" w:line="259" w:lineRule="auto"/>
        <w:tabs>
          <w:tab w:leader="none" w:pos="8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Absent prior written consent of the Committee, Awards may not be sold, assigned, transferred, pledged or otherwise encumbered, whether voluntarily or involuntarily, by operation of law or otherwise, other than pursuant to a domestic relations order; provided, however, that the transfer of any shares of Common Stock issued under the Awards shall not be restricted by virtue of this Agreement once such shares have been paid out.</w:t>
      </w:r>
    </w:p>
    <w:p>
      <w:pPr>
        <w:spacing w:after="0" w:line="92" w:lineRule="exact"/>
        <w:rPr>
          <w:rFonts w:ascii="Arial" w:cs="Arial" w:eastAsia="Arial" w:hAnsi="Arial"/>
          <w:sz w:val="18"/>
          <w:szCs w:val="18"/>
          <w:color w:val="auto"/>
        </w:rPr>
      </w:pPr>
    </w:p>
    <w:p>
      <w:pPr>
        <w:ind w:left="892" w:right="120" w:hanging="446"/>
        <w:spacing w:after="0" w:line="291" w:lineRule="auto"/>
        <w:tabs>
          <w:tab w:leader="none" w:pos="892" w:val="left"/>
        </w:tabs>
        <w:numPr>
          <w:ilvl w:val="1"/>
          <w:numId w:val="24"/>
        </w:numPr>
        <w:rPr>
          <w:rFonts w:ascii="Arial" w:cs="Arial" w:eastAsia="Arial" w:hAnsi="Arial"/>
          <w:sz w:val="16"/>
          <w:szCs w:val="16"/>
          <w:color w:val="auto"/>
        </w:rPr>
      </w:pPr>
      <w:r>
        <w:rPr>
          <w:rFonts w:ascii="Arial" w:cs="Arial" w:eastAsia="Arial" w:hAnsi="Arial"/>
          <w:sz w:val="16"/>
          <w:szCs w:val="16"/>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72" w:lineRule="exact"/>
        <w:rPr>
          <w:rFonts w:ascii="Arial" w:cs="Arial" w:eastAsia="Arial" w:hAnsi="Arial"/>
          <w:sz w:val="16"/>
          <w:szCs w:val="16"/>
          <w:color w:val="auto"/>
        </w:rPr>
      </w:pPr>
    </w:p>
    <w:p>
      <w:pPr>
        <w:ind w:left="452" w:hanging="452"/>
        <w:spacing w:after="0"/>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will be issued under the Plan or this Agreement.</w:t>
      </w:r>
    </w:p>
    <w:p>
      <w:pPr>
        <w:spacing w:after="0" w:line="130" w:lineRule="exact"/>
        <w:rPr>
          <w:rFonts w:ascii="Arial" w:cs="Arial" w:eastAsia="Arial" w:hAnsi="Arial"/>
          <w:sz w:val="18"/>
          <w:szCs w:val="18"/>
          <w:color w:val="auto"/>
        </w:rPr>
      </w:pPr>
    </w:p>
    <w:p>
      <w:pPr>
        <w:ind w:left="452" w:right="60" w:hanging="452"/>
        <w:spacing w:after="0" w:line="255" w:lineRule="auto"/>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 (i) such amount of money or shares of Common Stock earned or owned by Employee or (ii) if employee is an executive officer at the time of such tax event and so elects, shares deliverable to Employee at such time pursuant to the applicable Award, in each case,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94" w:lineRule="exact"/>
        <w:rPr>
          <w:rFonts w:ascii="Arial" w:cs="Arial" w:eastAsia="Arial" w:hAnsi="Arial"/>
          <w:sz w:val="18"/>
          <w:szCs w:val="18"/>
          <w:color w:val="auto"/>
        </w:rPr>
      </w:pPr>
    </w:p>
    <w:p>
      <w:pPr>
        <w:ind w:left="452" w:right="100" w:hanging="452"/>
        <w:spacing w:after="0" w:line="255" w:lineRule="auto"/>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xml:space="preserve"> WM is not required to deliver any shares of Common Stock under this Agreement, if, in the opinion of counsel for the Company, such issuance would violate the Securities Act of 1933 or any other applicable federal or state securities laws or regulations.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p>
      <w:pPr>
        <w:spacing w:after="0" w:line="85" w:lineRule="exact"/>
        <w:rPr>
          <w:rFonts w:ascii="Arial" w:cs="Arial" w:eastAsia="Arial" w:hAnsi="Arial"/>
          <w:sz w:val="18"/>
          <w:szCs w:val="18"/>
          <w:color w:val="auto"/>
        </w:rPr>
      </w:pPr>
    </w:p>
    <w:p>
      <w:pPr>
        <w:ind w:left="452"/>
        <w:spacing w:after="0" w:line="288" w:lineRule="auto"/>
        <w:rPr>
          <w:rFonts w:ascii="Arial" w:cs="Arial" w:eastAsia="Arial" w:hAnsi="Arial"/>
          <w:sz w:val="18"/>
          <w:szCs w:val="18"/>
          <w:color w:val="auto"/>
        </w:rPr>
      </w:pPr>
      <w:r>
        <w:rPr>
          <w:rFonts w:ascii="Arial" w:cs="Arial" w:eastAsia="Arial" w:hAnsi="Arial"/>
          <w:sz w:val="16"/>
          <w:szCs w:val="16"/>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w:t>
      </w:r>
    </w:p>
    <w:p>
      <w:pPr>
        <w:ind w:left="692" w:hanging="236"/>
        <w:spacing w:after="0"/>
        <w:tabs>
          <w:tab w:leader="none" w:pos="692" w:val="left"/>
        </w:tabs>
        <w:numPr>
          <w:ilvl w:val="2"/>
          <w:numId w:val="24"/>
        </w:numPr>
        <w:rPr>
          <w:rFonts w:ascii="Arial" w:cs="Arial" w:eastAsia="Arial" w:hAnsi="Arial"/>
          <w:sz w:val="18"/>
          <w:szCs w:val="18"/>
          <w:color w:val="auto"/>
        </w:rPr>
      </w:pPr>
      <w:r>
        <w:rPr>
          <w:rFonts w:ascii="Arial" w:cs="Arial" w:eastAsia="Arial" w:hAnsi="Arial"/>
          <w:sz w:val="18"/>
          <w:szCs w:val="18"/>
          <w:color w:val="auto"/>
        </w:rPr>
        <w:t>establishment of Employee’s compliance with any necessary representations or terms and conditions of the Plan or this Agreement, or</w:t>
      </w:r>
    </w:p>
    <w:p>
      <w:pPr>
        <w:spacing w:after="0" w:line="9" w:lineRule="exact"/>
        <w:rPr>
          <w:rFonts w:ascii="Arial" w:cs="Arial" w:eastAsia="Arial" w:hAnsi="Arial"/>
          <w:sz w:val="18"/>
          <w:szCs w:val="18"/>
          <w:color w:val="auto"/>
        </w:rPr>
      </w:pPr>
    </w:p>
    <w:p>
      <w:pPr>
        <w:ind w:left="712" w:hanging="256"/>
        <w:spacing w:after="0"/>
        <w:tabs>
          <w:tab w:leader="none" w:pos="712" w:val="left"/>
        </w:tabs>
        <w:numPr>
          <w:ilvl w:val="2"/>
          <w:numId w:val="24"/>
        </w:numPr>
        <w:rPr>
          <w:rFonts w:ascii="Arial" w:cs="Arial" w:eastAsia="Arial" w:hAnsi="Arial"/>
          <w:sz w:val="18"/>
          <w:szCs w:val="18"/>
          <w:color w:val="auto"/>
        </w:rPr>
      </w:pPr>
      <w:r>
        <w:rPr>
          <w:rFonts w:ascii="Arial" w:cs="Arial" w:eastAsia="Arial" w:hAnsi="Arial"/>
          <w:sz w:val="18"/>
          <w:szCs w:val="18"/>
          <w:color w:val="auto"/>
        </w:rPr>
        <w:t>compliance with any federal, state, or local tax withholding obligations.</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56" w:right="239" w:bottom="1440" w:gutter="0" w:footer="0" w:header="0"/>
        </w:sectPr>
      </w:pPr>
    </w:p>
    <w:bookmarkStart w:id="17" w:name="page18"/>
    <w:bookmarkEnd w:id="17"/>
    <w:p>
      <w:pPr>
        <w:ind w:left="452" w:right="20" w:hanging="452"/>
        <w:spacing w:after="0" w:line="279" w:lineRule="auto"/>
        <w:tabs>
          <w:tab w:leader="none" w:pos="452"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to Have no Rights as a Stockholder.</w:t>
      </w:r>
      <w:r>
        <w:rPr>
          <w:rFonts w:ascii="Arial" w:cs="Arial" w:eastAsia="Arial" w:hAnsi="Arial"/>
          <w:sz w:val="17"/>
          <w:szCs w:val="17"/>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7 under “Important Award Details.”</w:t>
      </w:r>
    </w:p>
    <w:p>
      <w:pPr>
        <w:spacing w:after="0" w:line="76" w:lineRule="exact"/>
        <w:rPr>
          <w:rFonts w:ascii="Arial" w:cs="Arial" w:eastAsia="Arial" w:hAnsi="Arial"/>
          <w:sz w:val="17"/>
          <w:szCs w:val="17"/>
          <w:color w:val="auto"/>
        </w:rPr>
      </w:pPr>
    </w:p>
    <w:p>
      <w:pPr>
        <w:ind w:left="452" w:right="40" w:hanging="452"/>
        <w:spacing w:after="0" w:line="273" w:lineRule="auto"/>
        <w:tabs>
          <w:tab w:leader="none" w:pos="452"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6.b. under “Important Award Details.”</w:t>
      </w:r>
    </w:p>
    <w:p>
      <w:pPr>
        <w:spacing w:after="0" w:line="83" w:lineRule="exact"/>
        <w:rPr>
          <w:rFonts w:ascii="Arial" w:cs="Arial" w:eastAsia="Arial" w:hAnsi="Arial"/>
          <w:sz w:val="17"/>
          <w:szCs w:val="17"/>
          <w:color w:val="auto"/>
        </w:rPr>
      </w:pPr>
    </w:p>
    <w:p>
      <w:pPr>
        <w:ind w:left="452" w:hanging="452"/>
        <w:spacing w:after="0"/>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Awards other than in the sole discretion of the Committee;</w:t>
      </w:r>
    </w:p>
    <w:p>
      <w:pPr>
        <w:spacing w:after="0" w:line="130" w:lineRule="exact"/>
        <w:rPr>
          <w:rFonts w:ascii="Arial" w:cs="Arial" w:eastAsia="Arial" w:hAnsi="Arial"/>
          <w:sz w:val="18"/>
          <w:szCs w:val="18"/>
          <w:color w:val="auto"/>
        </w:rPr>
      </w:pPr>
    </w:p>
    <w:p>
      <w:pPr>
        <w:ind w:left="892" w:right="100" w:hanging="446"/>
        <w:spacing w:after="0" w:line="264"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WM.</w:t>
      </w:r>
    </w:p>
    <w:p>
      <w:pPr>
        <w:spacing w:after="0" w:line="130" w:lineRule="exact"/>
        <w:rPr>
          <w:rFonts w:ascii="Arial" w:cs="Arial" w:eastAsia="Arial" w:hAnsi="Arial"/>
          <w:sz w:val="18"/>
          <w:szCs w:val="18"/>
          <w:color w:val="auto"/>
        </w:rPr>
      </w:pPr>
    </w:p>
    <w:p>
      <w:pPr>
        <w:ind w:left="452" w:right="280" w:hanging="452"/>
        <w:spacing w:after="0" w:line="277" w:lineRule="auto"/>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75" w:lineRule="exact"/>
        <w:rPr>
          <w:rFonts w:ascii="Arial" w:cs="Arial" w:eastAsia="Arial" w:hAnsi="Arial"/>
          <w:sz w:val="18"/>
          <w:szCs w:val="18"/>
          <w:color w:val="auto"/>
        </w:rPr>
      </w:pPr>
    </w:p>
    <w:p>
      <w:pPr>
        <w:ind w:left="452" w:right="260" w:hanging="452"/>
        <w:spacing w:after="0" w:line="277" w:lineRule="auto"/>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Severability/Entire Agreement</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75" w:lineRule="exact"/>
        <w:rPr>
          <w:rFonts w:ascii="Arial" w:cs="Arial" w:eastAsia="Arial" w:hAnsi="Arial"/>
          <w:sz w:val="18"/>
          <w:szCs w:val="18"/>
          <w:color w:val="auto"/>
        </w:rPr>
      </w:pPr>
    </w:p>
    <w:p>
      <w:pPr>
        <w:ind w:left="892" w:hanging="446"/>
        <w:spacing w:after="0" w:line="271" w:lineRule="auto"/>
        <w:tabs>
          <w:tab w:leader="none" w:pos="892" w:val="left"/>
        </w:tabs>
        <w:numPr>
          <w:ilvl w:val="1"/>
          <w:numId w:val="25"/>
        </w:numPr>
        <w:rPr>
          <w:rFonts w:ascii="Arial" w:cs="Arial" w:eastAsia="Arial" w:hAnsi="Arial"/>
          <w:sz w:val="17"/>
          <w:szCs w:val="17"/>
          <w:color w:val="auto"/>
        </w:rPr>
      </w:pPr>
      <w:r>
        <w:rPr>
          <w:rFonts w:ascii="Arial" w:cs="Arial" w:eastAsia="Arial" w:hAnsi="Arial"/>
          <w:sz w:val="17"/>
          <w:szCs w:val="17"/>
          <w:color w:val="auto"/>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p>
      <w:pPr>
        <w:spacing w:after="0" w:line="84" w:lineRule="exact"/>
        <w:rPr>
          <w:rFonts w:ascii="Arial" w:cs="Arial" w:eastAsia="Arial" w:hAnsi="Arial"/>
          <w:sz w:val="17"/>
          <w:szCs w:val="17"/>
          <w:color w:val="auto"/>
        </w:rPr>
      </w:pPr>
    </w:p>
    <w:p>
      <w:pPr>
        <w:ind w:left="892" w:right="20" w:hanging="446"/>
        <w:spacing w:after="0" w:line="277"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75" w:lineRule="exact"/>
        <w:rPr>
          <w:rFonts w:ascii="Arial" w:cs="Arial" w:eastAsia="Arial" w:hAnsi="Arial"/>
          <w:sz w:val="18"/>
          <w:szCs w:val="18"/>
          <w:color w:val="auto"/>
        </w:rPr>
      </w:pPr>
    </w:p>
    <w:p>
      <w:pPr>
        <w:jc w:val="both"/>
        <w:ind w:left="892" w:right="140" w:hanging="446"/>
        <w:spacing w:after="0" w:line="264"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86" w:lineRule="exact"/>
        <w:rPr>
          <w:rFonts w:ascii="Arial" w:cs="Arial" w:eastAsia="Arial" w:hAnsi="Arial"/>
          <w:sz w:val="18"/>
          <w:szCs w:val="18"/>
          <w:color w:val="auto"/>
        </w:rPr>
      </w:pPr>
    </w:p>
    <w:p>
      <w:pPr>
        <w:ind w:left="452" w:right="360" w:hanging="452"/>
        <w:spacing w:after="0" w:line="277" w:lineRule="auto"/>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74" w:right="239" w:bottom="1440" w:gutter="0" w:footer="0" w:header="0"/>
        </w:sectPr>
      </w:pPr>
    </w:p>
    <w:bookmarkStart w:id="18" w:name="page19"/>
    <w:bookmarkEnd w:id="18"/>
    <w:p>
      <w:pPr>
        <w:ind w:left="460" w:hanging="452"/>
        <w:spacing w:after="0" w:line="31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Covenant Requirement Essential Part of Award</w:t>
      </w:r>
      <w:r>
        <w:rPr>
          <w:rFonts w:ascii="Arial" w:cs="Arial" w:eastAsia="Arial" w:hAnsi="Arial"/>
          <w:sz w:val="16"/>
          <w:szCs w:val="16"/>
          <w:color w:val="auto"/>
        </w:rPr>
        <w:t>. An overriding condition (even if any other provision of the Plan and this Agreement are conflicting) for Employee to receive any benefit from or payment of any Award under this Agreement, is that Employee must also have entered into an agreement containing restrictive covenants concerning limitations on Employee’s behavior following termination of employment that is satisfactory to WM.</w:t>
      </w:r>
    </w:p>
    <w:p>
      <w:pPr>
        <w:spacing w:after="0" w:line="52"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If not defined in this Agreement, capitalized terms have the meanings set forth in the Plan.</w:t>
      </w:r>
    </w:p>
    <w:p>
      <w:pPr>
        <w:spacing w:after="0" w:line="130" w:lineRule="exact"/>
        <w:rPr>
          <w:rFonts w:ascii="Arial" w:cs="Arial" w:eastAsia="Arial" w:hAnsi="Arial"/>
          <w:sz w:val="18"/>
          <w:szCs w:val="18"/>
          <w:color w:val="auto"/>
        </w:rPr>
      </w:pPr>
    </w:p>
    <w:p>
      <w:pPr>
        <w:ind w:left="460" w:right="60" w:hanging="452"/>
        <w:spacing w:after="0" w:line="286"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Compliance with Section 409A</w:t>
      </w:r>
      <w:r>
        <w:rPr>
          <w:rFonts w:ascii="Arial" w:cs="Arial" w:eastAsia="Arial" w:hAnsi="Arial"/>
          <w:sz w:val="16"/>
          <w:szCs w:val="16"/>
          <w:color w:val="auto"/>
        </w:rPr>
        <w:t>. Both WM and Employee intend that this Agreement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not be subject to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74" w:lineRule="exact"/>
        <w:rPr>
          <w:rFonts w:ascii="Arial" w:cs="Arial" w:eastAsia="Arial" w:hAnsi="Arial"/>
          <w:sz w:val="16"/>
          <w:szCs w:val="16"/>
          <w:color w:val="auto"/>
        </w:rPr>
      </w:pPr>
    </w:p>
    <w:p>
      <w:pPr>
        <w:ind w:left="460" w:hanging="452"/>
        <w:spacing w:after="0" w:line="270"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Use of Personal Data</w:t>
      </w:r>
      <w:r>
        <w:rPr>
          <w:rFonts w:ascii="Arial" w:cs="Arial" w:eastAsia="Arial" w:hAnsi="Arial"/>
          <w:sz w:val="17"/>
          <w:szCs w:val="17"/>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(“Data”),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p>
      <w:pPr>
        <w:spacing w:after="0" w:line="83" w:lineRule="exact"/>
        <w:rPr>
          <w:rFonts w:ascii="Arial" w:cs="Arial" w:eastAsia="Arial" w:hAnsi="Arial"/>
          <w:sz w:val="17"/>
          <w:szCs w:val="17"/>
          <w:color w:val="auto"/>
        </w:rPr>
      </w:pPr>
    </w:p>
    <w:p>
      <w:pPr>
        <w:jc w:val="both"/>
        <w:ind w:left="460" w:right="520" w:hanging="452"/>
        <w:spacing w:after="0" w:line="286"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70" w:lineRule="exact"/>
        <w:rPr>
          <w:rFonts w:ascii="Arial" w:cs="Arial" w:eastAsia="Arial" w:hAnsi="Arial"/>
          <w:sz w:val="17"/>
          <w:szCs w:val="17"/>
          <w:color w:val="auto"/>
        </w:rPr>
      </w:pPr>
    </w:p>
    <w:p>
      <w:pPr>
        <w:ind w:left="460" w:right="40" w:hanging="452"/>
        <w:spacing w:after="0" w:line="279"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9" w:name="page20"/>
    <w:bookmarkEnd w:id="19"/>
    <w:p>
      <w:pPr>
        <w:ind w:left="452" w:right="120" w:hanging="452"/>
        <w:spacing w:after="0" w:line="259" w:lineRule="auto"/>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Clawback</w:t>
      </w:r>
      <w:r>
        <w:rPr>
          <w:rFonts w:ascii="Arial" w:cs="Arial" w:eastAsia="Arial" w:hAnsi="Arial"/>
          <w:sz w:val="18"/>
          <w:szCs w:val="18"/>
          <w:color w:val="auto"/>
        </w:rPr>
        <w:t>. Notwithstanding any provisions in the Plan or this Agreement to the contrary, any portion of the payments and benefits provided under this Agreement or the sale of any shares of Common Stock issued hereunder shall be subject to any clawback or other recovery policy adopted by the Committee from time to time, including, without limitation, any such policy adopted in accordance with the requirements of the Dodd-Frank Wall Street Reform and Consumer Protection Act of 2010 or any SEC rule.</w:t>
      </w:r>
    </w:p>
    <w:p>
      <w:pPr>
        <w:spacing w:after="0" w:line="92" w:lineRule="exact"/>
        <w:rPr>
          <w:rFonts w:ascii="Arial" w:cs="Arial" w:eastAsia="Arial" w:hAnsi="Arial"/>
          <w:sz w:val="18"/>
          <w:szCs w:val="18"/>
          <w:color w:val="auto"/>
        </w:rPr>
      </w:pPr>
    </w:p>
    <w:p>
      <w:pPr>
        <w:ind w:left="452" w:hanging="452"/>
        <w:spacing w:after="0" w:line="290" w:lineRule="auto"/>
        <w:tabs>
          <w:tab w:leader="none" w:pos="452"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Binding Arbitration</w:t>
      </w:r>
      <w:r>
        <w:rPr>
          <w:rFonts w:ascii="Arial" w:cs="Arial" w:eastAsia="Arial" w:hAnsi="Arial"/>
          <w:sz w:val="16"/>
          <w:szCs w:val="16"/>
          <w:color w:val="auto"/>
        </w:rPr>
        <w:t>.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5 under “</w:t>
      </w:r>
      <w:r>
        <w:rPr>
          <w:rFonts w:ascii="Arial" w:cs="Arial" w:eastAsia="Arial" w:hAnsi="Arial"/>
          <w:sz w:val="16"/>
          <w:szCs w:val="16"/>
          <w:b w:val="1"/>
          <w:bCs w:val="1"/>
          <w:color w:val="auto"/>
        </w:rPr>
        <w:t>Important Award Details</w:t>
      </w:r>
      <w:r>
        <w:rPr>
          <w:rFonts w:ascii="Arial" w:cs="Arial" w:eastAsia="Arial" w:hAnsi="Arial"/>
          <w:sz w:val="16"/>
          <w:szCs w:val="16"/>
          <w:color w:val="auto"/>
        </w:rPr>
        <w:t xml:space="preserve">”), the Company and Employee agree that such dispute shall be settled exclusively by final and binding arbitration, as governed by the Federal Arbitration Act (9 U.S.C. 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arbitration proceeding, including the rendering of an award, if any, shall be administered by JAMS pursuant to its Employment Arbitration Rules and Procedures, which may be found on the JAMS Website </w:t>
      </w:r>
      <w:r>
        <w:rPr>
          <w:rFonts w:ascii="Arial" w:cs="Arial" w:eastAsia="Arial" w:hAnsi="Arial"/>
          <w:sz w:val="16"/>
          <w:szCs w:val="16"/>
          <w:b w:val="1"/>
          <w:bCs w:val="1"/>
          <w:color w:val="auto"/>
        </w:rPr>
        <w:t>www.jamsadr.com</w:t>
      </w:r>
      <w:r>
        <w:rPr>
          <w:rFonts w:ascii="Arial" w:cs="Arial" w:eastAsia="Arial" w:hAnsi="Arial"/>
          <w:sz w:val="16"/>
          <w:szCs w:val="16"/>
          <w:color w:val="auto"/>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71" w:lineRule="exact"/>
        <w:rPr>
          <w:rFonts w:ascii="Arial" w:cs="Arial" w:eastAsia="Arial" w:hAnsi="Arial"/>
          <w:sz w:val="16"/>
          <w:szCs w:val="16"/>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74" w:right="25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w:t>
      </w:r>
    </w:p>
    <w:p>
      <w:pPr>
        <w:spacing w:after="0" w:line="23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this Agreement to be duly executed by one of its officers thereunto duly authorized and Employee has</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this Agreement, effective as of February 28, 2017.</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WASTE MANAGEMENT, INC.</w:t>
            </w:r>
          </w:p>
        </w:tc>
        <w:tc>
          <w:tcPr>
            <w:tcW w:w="2500" w:type="dxa"/>
            <w:vAlign w:val="bottom"/>
          </w:tcPr>
          <w:p>
            <w:pPr>
              <w:spacing w:after="0"/>
              <w:rPr>
                <w:sz w:val="20"/>
                <w:szCs w:val="20"/>
                <w:color w:val="auto"/>
              </w:rPr>
            </w:pPr>
          </w:p>
        </w:tc>
      </w:tr>
      <w:tr>
        <w:trPr>
          <w:trHeight w:val="419"/>
        </w:trPr>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February 28, 2017</w:t>
            </w:r>
          </w:p>
        </w:tc>
        <w:tc>
          <w:tcPr>
            <w:tcW w:w="272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Employee</w:t>
            </w:r>
          </w:p>
        </w:tc>
      </w:tr>
      <w:tr>
        <w:trPr>
          <w:trHeight w:val="237"/>
        </w:trPr>
        <w:tc>
          <w:tcPr>
            <w:tcW w:w="4060" w:type="dxa"/>
            <w:vAlign w:val="bottom"/>
            <w:gridSpan w:val="2"/>
          </w:tcPr>
          <w:p>
            <w:pPr>
              <w:spacing w:after="0"/>
              <w:rPr>
                <w:sz w:val="20"/>
                <w:szCs w:val="20"/>
                <w:color w:val="auto"/>
              </w:rPr>
            </w:pPr>
            <w:r>
              <w:rPr>
                <w:rFonts w:ascii="Arial" w:cs="Arial" w:eastAsia="Arial" w:hAnsi="Arial"/>
                <w:sz w:val="18"/>
                <w:szCs w:val="18"/>
                <w:color w:val="auto"/>
              </w:rPr>
              <w:t>Date</w:t>
            </w:r>
          </w:p>
        </w:tc>
        <w:tc>
          <w:tcPr>
            <w:tcW w:w="2500" w:type="dxa"/>
            <w:vAlign w:val="bottom"/>
          </w:tcPr>
          <w:p>
            <w:pPr>
              <w:spacing w:after="0"/>
              <w:rPr>
                <w:sz w:val="20"/>
                <w:szCs w:val="20"/>
                <w:color w:val="auto"/>
              </w:rPr>
            </w:pPr>
          </w:p>
        </w:tc>
      </w:tr>
      <w:tr>
        <w:trPr>
          <w:trHeight w:val="378"/>
        </w:trPr>
        <w:tc>
          <w:tcPr>
            <w:tcW w:w="1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500" w:type="dxa"/>
            <w:vAlign w:val="bottom"/>
          </w:tcPr>
          <w:p>
            <w:pPr>
              <w:jc w:val="right"/>
              <w:ind w:right="67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320"/>
          </w:cols>
          <w:pgMar w:left="240" w:top="256" w:right="339" w:bottom="1440" w:gutter="0" w:footer="0" w:header="0"/>
        </w:sectPr>
      </w:pPr>
    </w:p>
    <w:bookmarkStart w:id="21" w:name="page22"/>
    <w:bookmarkEnd w:id="21"/>
    <w:p>
      <w:pPr>
        <w:ind w:left="10280"/>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jc w:val="center"/>
        <w:ind w:left="260" w:right="940"/>
        <w:spacing w:after="0" w:line="253" w:lineRule="auto"/>
        <w:rPr>
          <w:sz w:val="20"/>
          <w:szCs w:val="20"/>
          <w:color w:val="auto"/>
        </w:rPr>
      </w:pPr>
      <w:r>
        <w:rPr>
          <w:rFonts w:ascii="Arial" w:cs="Arial" w:eastAsia="Arial" w:hAnsi="Arial"/>
          <w:sz w:val="54"/>
          <w:szCs w:val="54"/>
          <w:b w:val="1"/>
          <w:bCs w:val="1"/>
          <w:color w:val="auto"/>
        </w:rPr>
        <w:t>2017 Long Term Incentive Compensation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 the Senior Leadership Team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 2014 Stock Incentive Plan</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Award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effective as of February 28, 2017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by and between Waste Management,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(together with its Subsidiaries and Affiliates, “</w:t>
      </w:r>
      <w:r>
        <w:rPr>
          <w:rFonts w:ascii="Arial" w:cs="Arial" w:eastAsia="Arial" w:hAnsi="Arial"/>
          <w:sz w:val="18"/>
          <w:szCs w:val="18"/>
          <w:b w:val="1"/>
          <w:bCs w:val="1"/>
          <w:i w:val="1"/>
          <w:iCs w:val="1"/>
          <w:color w:val="auto"/>
        </w:rPr>
        <w:t>WM</w:t>
      </w:r>
      <w:r>
        <w:rPr>
          <w:rFonts w:ascii="Arial" w:cs="Arial" w:eastAsia="Arial" w:hAnsi="Arial"/>
          <w:sz w:val="18"/>
          <w:szCs w:val="18"/>
          <w:color w:val="auto"/>
        </w:rPr>
        <w:t>”), and James E. Trevathan, Jr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At all times, the Awards under this Agreement are subject to the terms and conditions of the Waste Management, Inc. 2014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this Agreement, and all applicable administrative interpretations and practices. A copy of the Plan is available online at </w:t>
      </w:r>
      <w:r>
        <w:rPr>
          <w:rFonts w:ascii="Arial" w:cs="Arial" w:eastAsia="Arial" w:hAnsi="Arial"/>
          <w:sz w:val="18"/>
          <w:szCs w:val="18"/>
          <w:b w:val="1"/>
          <w:bCs w:val="1"/>
          <w:color w:val="auto"/>
        </w:rPr>
        <w:t>http://visor.wm.com</w:t>
      </w:r>
      <w:r>
        <w:rPr>
          <w:rFonts w:ascii="Arial" w:cs="Arial" w:eastAsia="Arial" w:hAnsi="Arial"/>
          <w:sz w:val="18"/>
          <w:szCs w:val="18"/>
          <w:color w:val="auto"/>
        </w:rPr>
        <w:t xml:space="preserve"> under the Legal tab. Once there, scroll to the bottom of the Legal page, then choose Documents, Stock Incentive Plan and choose “2014 Stock Incentive Plan.” A description of the Plan appears on the same page under “2014 Stock Incentive Plan Prospectus” (the “Prospectus”). Please also see the Company’s Form 10-K included in its most recent Annual Report, available on the Investor Relations page of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under Financial Reporting – Annual Reports, for information about the Company. By executing this Agreement, you consent to receipt of the Plan, the Prospectus, and the Annual Reports by electronic access as set forth in this paragraph.</w:t>
      </w:r>
    </w:p>
    <w:p>
      <w:pPr>
        <w:spacing w:after="0" w:line="193"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u w:val="single" w:color="auto"/>
          <w:color w:val="auto"/>
        </w:rPr>
        <w:t>You must execute this Agreement in full, online in accordance with the instructions below, prior to March 31, 2017, in order for this Agreement to become effective</w:t>
      </w:r>
      <w:r>
        <w:rPr>
          <w:rFonts w:ascii="Arial" w:cs="Arial" w:eastAsia="Arial" w:hAnsi="Arial"/>
          <w:sz w:val="16"/>
          <w:szCs w:val="16"/>
          <w:b w:val="1"/>
          <w:bCs w:val="1"/>
          <w:color w:val="auto"/>
        </w:rPr>
        <w:t>. If you do not execute this Agreement by correctly following the instructions below, your Awards may be cancelled.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Important Instructions for Executing this Agreement</w:t>
      </w:r>
    </w:p>
    <w:p>
      <w:pPr>
        <w:spacing w:after="0" w:line="23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If you have previously received a stock-based incentive award, simply log on to </w:t>
      </w:r>
      <w:r>
        <w:rPr>
          <w:rFonts w:ascii="Arial" w:cs="Arial" w:eastAsia="Arial" w:hAnsi="Arial"/>
          <w:sz w:val="18"/>
          <w:szCs w:val="18"/>
          <w:b w:val="1"/>
          <w:bCs w:val="1"/>
          <w:color w:val="auto"/>
        </w:rPr>
        <w:t>www.mywmtotalrewards.com</w:t>
      </w:r>
      <w:r>
        <w:rPr>
          <w:rFonts w:ascii="Arial" w:cs="Arial" w:eastAsia="Arial" w:hAnsi="Arial"/>
          <w:sz w:val="18"/>
          <w:szCs w:val="18"/>
          <w:color w:val="auto"/>
        </w:rPr>
        <w:t xml:space="preserve"> using your My WM Total Rewards user ID and password. If you have forgotten your user ID or password, there are instructions on the site to help you. Under the “My Compensation” section, click on the link to view your grants at the website maintained by the third party stock administrator appointed by the Company. Follow the online instructions and complete all of the steps required to accept the award.</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If you are a new Plan participant, you must open a Limited Individual Investor Account (LIIA) before you can accept your awards. This account is separate from any other brokerage account you may have at the third party stock administrator. To open your LIIA, log on to </w:t>
      </w:r>
      <w:r>
        <w:rPr>
          <w:rFonts w:ascii="Arial" w:cs="Arial" w:eastAsia="Arial" w:hAnsi="Arial"/>
          <w:sz w:val="16"/>
          <w:szCs w:val="16"/>
          <w:b w:val="1"/>
          <w:bCs w:val="1"/>
          <w:color w:val="auto"/>
        </w:rPr>
        <w:t>www.mywmtotalrewards.com</w:t>
      </w:r>
      <w:r>
        <w:rPr>
          <w:rFonts w:ascii="Arial" w:cs="Arial" w:eastAsia="Arial" w:hAnsi="Arial"/>
          <w:sz w:val="16"/>
          <w:szCs w:val="16"/>
          <w:color w:val="auto"/>
        </w:rPr>
        <w:t xml:space="preserve"> using your My WM Total Rewards user ID and password. If you have forgotten your user ID or password, there are instructions on the site to help you. Under the “My Compensation” section, click on the link to the secure website maintained by the third party stock administrator appointed by the Company. You may also log in directly at </w:t>
      </w:r>
      <w:r>
        <w:rPr>
          <w:rFonts w:ascii="Arial" w:cs="Arial" w:eastAsia="Arial" w:hAnsi="Arial"/>
          <w:sz w:val="16"/>
          <w:szCs w:val="16"/>
          <w:b w:val="1"/>
          <w:bCs w:val="1"/>
          <w:color w:val="auto"/>
        </w:rPr>
        <w:t>www.benefits.ml.com</w:t>
      </w:r>
      <w:r>
        <w:rPr>
          <w:rFonts w:ascii="Arial" w:cs="Arial" w:eastAsia="Arial" w:hAnsi="Arial"/>
          <w:sz w:val="16"/>
          <w:szCs w:val="16"/>
          <w:color w:val="auto"/>
        </w:rPr>
        <w:t>. Once logged in, follow the prompts to “Open a Brokerage Account”. When you have successfully created your account, follow the online instructions and complete all of the steps required to accept the award.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Performance Share Units</w:t>
      </w:r>
    </w:p>
    <w:p>
      <w:pPr>
        <w:spacing w:after="0" w:line="265" w:lineRule="exact"/>
        <w:rPr>
          <w:sz w:val="20"/>
          <w:szCs w:val="20"/>
          <w:color w:val="auto"/>
        </w:rPr>
      </w:pPr>
    </w:p>
    <w:p>
      <w:pPr>
        <w:jc w:val="both"/>
        <w:ind w:left="460" w:right="16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PSU Grant</w:t>
      </w:r>
      <w:r>
        <w:rPr>
          <w:rFonts w:ascii="Arial" w:cs="Arial" w:eastAsia="Arial" w:hAnsi="Arial"/>
          <w:sz w:val="18"/>
          <w:szCs w:val="18"/>
          <w:color w:val="auto"/>
        </w:rPr>
        <w:t>. The Company grants to Employee a Performance Share Unit Award (a “</w:t>
      </w:r>
      <w:r>
        <w:rPr>
          <w:rFonts w:ascii="Arial" w:cs="Arial" w:eastAsia="Arial" w:hAnsi="Arial"/>
          <w:sz w:val="18"/>
          <w:szCs w:val="18"/>
          <w:b w:val="1"/>
          <w:bCs w:val="1"/>
          <w:i w:val="1"/>
          <w:iCs w:val="1"/>
          <w:color w:val="auto"/>
        </w:rPr>
        <w:t>PSU Award</w:t>
      </w:r>
      <w:r>
        <w:rPr>
          <w:rFonts w:ascii="Arial" w:cs="Arial" w:eastAsia="Arial" w:hAnsi="Arial"/>
          <w:sz w:val="18"/>
          <w:szCs w:val="18"/>
          <w:color w:val="auto"/>
        </w:rPr>
        <w:t>”), as provided in the Notice of Long-Term Incentive Award dated February 28, 2017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Each Performance Share Unit (“</w:t>
      </w:r>
      <w:r>
        <w:rPr>
          <w:rFonts w:ascii="Arial" w:cs="Arial" w:eastAsia="Arial" w:hAnsi="Arial"/>
          <w:sz w:val="18"/>
          <w:szCs w:val="18"/>
          <w:b w:val="1"/>
          <w:bCs w:val="1"/>
          <w:i w:val="1"/>
          <w:iCs w:val="1"/>
          <w:color w:val="auto"/>
        </w:rPr>
        <w:t>PSU</w:t>
      </w:r>
      <w:r>
        <w:rPr>
          <w:rFonts w:ascii="Arial" w:cs="Arial" w:eastAsia="Arial" w:hAnsi="Arial"/>
          <w:sz w:val="18"/>
          <w:szCs w:val="18"/>
          <w:color w:val="auto"/>
        </w:rPr>
        <w:t>”) is a notational unit of measurement denominated in shares of common stock of the Company, $.01 par value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2" w:name="page23"/>
    <w:bookmarkEnd w:id="22"/>
    <w:p>
      <w:pPr>
        <w:ind w:left="452" w:hanging="452"/>
        <w:spacing w:after="0"/>
        <w:tabs>
          <w:tab w:leader="none" w:pos="4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PSU Metrics.</w:t>
      </w:r>
    </w:p>
    <w:p>
      <w:pPr>
        <w:spacing w:after="0" w:line="130" w:lineRule="exact"/>
        <w:rPr>
          <w:rFonts w:ascii="Arial" w:cs="Arial" w:eastAsia="Arial" w:hAnsi="Arial"/>
          <w:sz w:val="18"/>
          <w:szCs w:val="18"/>
          <w:color w:val="auto"/>
        </w:rPr>
      </w:pPr>
    </w:p>
    <w:p>
      <w:pPr>
        <w:ind w:left="892" w:right="180" w:hanging="446"/>
        <w:spacing w:after="0" w:line="259" w:lineRule="auto"/>
        <w:tabs>
          <w:tab w:leader="none" w:pos="8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Performance Period</w:t>
      </w:r>
      <w:r>
        <w:rPr>
          <w:rFonts w:ascii="Arial" w:cs="Arial" w:eastAsia="Arial" w:hAnsi="Arial"/>
          <w:sz w:val="18"/>
          <w:szCs w:val="18"/>
          <w:i w:val="1"/>
          <w:iCs w:val="1"/>
          <w:color w:val="auto"/>
        </w:rPr>
        <w:t>”</w:t>
      </w:r>
      <w:r>
        <w:rPr>
          <w:rFonts w:ascii="Arial" w:cs="Arial" w:eastAsia="Arial" w:hAnsi="Arial"/>
          <w:sz w:val="18"/>
          <w:szCs w:val="18"/>
          <w:color w:val="auto"/>
        </w:rPr>
        <w:t xml:space="preserve"> for this PSU Award is the 36-month period beginning January 1, 2017, and ending on December 31, 2019. Vesting and payout of your PSU Award is based upon the level of achievement of the </w:t>
      </w:r>
      <w:r>
        <w:rPr>
          <w:rFonts w:ascii="Arial" w:cs="Arial" w:eastAsia="Arial" w:hAnsi="Arial"/>
          <w:sz w:val="18"/>
          <w:szCs w:val="18"/>
          <w:b w:val="1"/>
          <w:bCs w:val="1"/>
          <w:i w:val="1"/>
          <w:iCs w:val="1"/>
          <w:color w:val="auto"/>
        </w:rPr>
        <w:t>Performance Goals</w:t>
      </w:r>
      <w:r>
        <w:rPr>
          <w:rFonts w:ascii="Arial" w:cs="Arial" w:eastAsia="Arial" w:hAnsi="Arial"/>
          <w:sz w:val="18"/>
          <w:szCs w:val="18"/>
          <w:color w:val="auto"/>
        </w:rPr>
        <w:t xml:space="preserve"> that have been set by the Management Development and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The Performance Goals set by the Committee for your PSU Awards are described in paragraph 3 below.</w:t>
      </w:r>
    </w:p>
    <w:p>
      <w:pPr>
        <w:spacing w:after="0" w:line="92" w:lineRule="exact"/>
        <w:rPr>
          <w:rFonts w:ascii="Arial" w:cs="Arial" w:eastAsia="Arial" w:hAnsi="Arial"/>
          <w:sz w:val="18"/>
          <w:szCs w:val="18"/>
          <w:color w:val="auto"/>
        </w:rPr>
      </w:pPr>
    </w:p>
    <w:p>
      <w:pPr>
        <w:ind w:left="892" w:hanging="446"/>
        <w:spacing w:after="0" w:line="279" w:lineRule="auto"/>
        <w:tabs>
          <w:tab w:leader="none" w:pos="892" w:val="left"/>
        </w:tabs>
        <w:numPr>
          <w:ilvl w:val="1"/>
          <w:numId w:val="2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in order to be eligible to receive any payout with respect to the PSU Award, the Committee must certify that the Company has achieved cumulative Pre-Tax Income from Operations (as defined in the 2005 Annual Incentive Plan) that is positive over the Performance Period. In addition, no payout pursuant to your PSU Award shall occur with respect to any shares with a value that exceeds 1.0% of such cumulative Pre-Tax Income from Operations over the Performance Period.</w:t>
      </w:r>
    </w:p>
    <w:p>
      <w:pPr>
        <w:spacing w:after="0" w:line="76" w:lineRule="exact"/>
        <w:rPr>
          <w:rFonts w:ascii="Arial" w:cs="Arial" w:eastAsia="Arial" w:hAnsi="Arial"/>
          <w:sz w:val="17"/>
          <w:szCs w:val="17"/>
          <w:color w:val="auto"/>
        </w:rPr>
      </w:pPr>
    </w:p>
    <w:p>
      <w:pPr>
        <w:ind w:left="892" w:hanging="446"/>
        <w:spacing w:after="0" w:line="291" w:lineRule="auto"/>
        <w:tabs>
          <w:tab w:leader="none" w:pos="892"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Subject to the requirements set forth in paragraph 2.b. above, the performance measure selected by the Committee to serve as the Performance Goal for half (50%) of your Target PSU Award is </w:t>
      </w:r>
      <w:r>
        <w:rPr>
          <w:rFonts w:ascii="Arial" w:cs="Arial" w:eastAsia="Arial" w:hAnsi="Arial"/>
          <w:sz w:val="16"/>
          <w:szCs w:val="16"/>
          <w:b w:val="1"/>
          <w:bCs w:val="1"/>
          <w:i w:val="1"/>
          <w:iCs w:val="1"/>
          <w:color w:val="auto"/>
        </w:rPr>
        <w:t>Adjusted Free Cash Flow</w:t>
      </w:r>
      <w:r>
        <w:rPr>
          <w:rFonts w:ascii="Arial" w:cs="Arial" w:eastAsia="Arial" w:hAnsi="Arial"/>
          <w:sz w:val="16"/>
          <w:szCs w:val="16"/>
          <w:color w:val="auto"/>
        </w:rPr>
        <w:t xml:space="preserve"> (defined in paragraph 2.d. below). The performance measure selected by the Committee to serve as the Performance Goal for the other half (50%) of your Target PSU Award is </w:t>
      </w:r>
      <w:r>
        <w:rPr>
          <w:rFonts w:ascii="Arial" w:cs="Arial" w:eastAsia="Arial" w:hAnsi="Arial"/>
          <w:sz w:val="16"/>
          <w:szCs w:val="16"/>
          <w:b w:val="1"/>
          <w:bCs w:val="1"/>
          <w:i w:val="1"/>
          <w:iCs w:val="1"/>
          <w:color w:val="auto"/>
        </w:rPr>
        <w:t>Total Shareholder Return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Relative to the S&amp;P 500</w:t>
      </w:r>
      <w:r>
        <w:rPr>
          <w:rFonts w:ascii="Arial" w:cs="Arial" w:eastAsia="Arial" w:hAnsi="Arial"/>
          <w:sz w:val="16"/>
          <w:szCs w:val="16"/>
          <w:color w:val="auto"/>
        </w:rPr>
        <w:t>, or “</w:t>
      </w:r>
      <w:r>
        <w:rPr>
          <w:rFonts w:ascii="Arial" w:cs="Arial" w:eastAsia="Arial" w:hAnsi="Arial"/>
          <w:sz w:val="16"/>
          <w:szCs w:val="16"/>
          <w:b w:val="1"/>
          <w:bCs w:val="1"/>
          <w:i w:val="1"/>
          <w:iCs w:val="1"/>
          <w:color w:val="auto"/>
        </w:rPr>
        <w:t>TSR</w:t>
      </w:r>
      <w:r>
        <w:rPr>
          <w:rFonts w:ascii="Arial" w:cs="Arial" w:eastAsia="Arial" w:hAnsi="Arial"/>
          <w:sz w:val="16"/>
          <w:szCs w:val="16"/>
          <w:color w:val="auto"/>
        </w:rPr>
        <w:t>” (as defined in paragraph 2.e. below). To determine the payout (if any) under your PSU Award, the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determine the level of the Performance Goal reached (“</w:t>
      </w:r>
      <w:r>
        <w:rPr>
          <w:rFonts w:ascii="Arial" w:cs="Arial" w:eastAsia="Arial" w:hAnsi="Arial"/>
          <w:sz w:val="16"/>
          <w:szCs w:val="16"/>
          <w:b w:val="1"/>
          <w:bCs w:val="1"/>
          <w:i w:val="1"/>
          <w:iCs w:val="1"/>
          <w:color w:val="auto"/>
        </w:rPr>
        <w:t>Achievement</w:t>
      </w:r>
      <w:r>
        <w:rPr>
          <w:rFonts w:ascii="Arial" w:cs="Arial" w:eastAsia="Arial" w:hAnsi="Arial"/>
          <w:sz w:val="16"/>
          <w:szCs w:val="16"/>
          <w:color w:val="auto"/>
        </w:rPr>
        <w:t>”) and the corresponding payout percentage applicable to each half of your Target PSU Award under paragraph 3 below. The Committee’s determinations, and the related calculations, including the calculation of Adjusted Free Cash Flow and TSR, are made by, and in the sole discretion of, the Committee, and are final and not subject to appeal.</w:t>
      </w:r>
    </w:p>
    <w:p>
      <w:pPr>
        <w:spacing w:after="0" w:line="72" w:lineRule="exact"/>
        <w:rPr>
          <w:rFonts w:ascii="Arial" w:cs="Arial" w:eastAsia="Arial" w:hAnsi="Arial"/>
          <w:sz w:val="16"/>
          <w:szCs w:val="16"/>
          <w:color w:val="auto"/>
        </w:rPr>
      </w:pPr>
    </w:p>
    <w:p>
      <w:pPr>
        <w:ind w:left="892" w:hanging="446"/>
        <w:spacing w:after="0"/>
        <w:tabs>
          <w:tab w:leader="none" w:pos="892" w:val="left"/>
        </w:tabs>
        <w:numPr>
          <w:ilvl w:val="1"/>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Adjusted Free Cash Flow </w:t>
      </w:r>
      <w:r>
        <w:rPr>
          <w:rFonts w:ascii="Arial" w:cs="Arial" w:eastAsia="Arial" w:hAnsi="Arial"/>
          <w:sz w:val="16"/>
          <w:szCs w:val="16"/>
          <w:color w:val="auto"/>
        </w:rPr>
        <w:t>is the cash flow provided by operating activities of WM for the Performance Period with the following adjustments:</w:t>
      </w:r>
    </w:p>
    <w:p>
      <w:pPr>
        <w:spacing w:after="0" w:line="153" w:lineRule="exact"/>
        <w:rPr>
          <w:rFonts w:ascii="Arial" w:cs="Arial" w:eastAsia="Arial" w:hAnsi="Arial"/>
          <w:sz w:val="16"/>
          <w:szCs w:val="16"/>
          <w:color w:val="auto"/>
        </w:rPr>
      </w:pPr>
    </w:p>
    <w:p>
      <w:pPr>
        <w:ind w:left="1472" w:hanging="567"/>
        <w:spacing w:after="0"/>
        <w:tabs>
          <w:tab w:leader="none" w:pos="1472" w:val="left"/>
        </w:tabs>
        <w:numPr>
          <w:ilvl w:val="2"/>
          <w:numId w:val="29"/>
        </w:numPr>
        <w:rPr>
          <w:rFonts w:ascii="Arial" w:cs="Arial" w:eastAsia="Arial" w:hAnsi="Arial"/>
          <w:sz w:val="18"/>
          <w:szCs w:val="18"/>
          <w:color w:val="auto"/>
        </w:rPr>
      </w:pPr>
      <w:r>
        <w:rPr>
          <w:rFonts w:ascii="Arial" w:cs="Arial" w:eastAsia="Arial" w:hAnsi="Arial"/>
          <w:sz w:val="18"/>
          <w:szCs w:val="18"/>
          <w:color w:val="auto"/>
        </w:rPr>
        <w:t>Capital expenditures are excluded;</w:t>
      </w:r>
    </w:p>
    <w:p>
      <w:pPr>
        <w:spacing w:after="0" w:line="130" w:lineRule="exact"/>
        <w:rPr>
          <w:rFonts w:ascii="Arial" w:cs="Arial" w:eastAsia="Arial" w:hAnsi="Arial"/>
          <w:sz w:val="18"/>
          <w:szCs w:val="18"/>
          <w:color w:val="auto"/>
        </w:rPr>
      </w:pPr>
    </w:p>
    <w:p>
      <w:pPr>
        <w:ind w:left="1472" w:right="280" w:hanging="567"/>
        <w:spacing w:after="0" w:line="264" w:lineRule="auto"/>
        <w:tabs>
          <w:tab w:leader="none" w:pos="1472" w:val="left"/>
        </w:tabs>
        <w:numPr>
          <w:ilvl w:val="2"/>
          <w:numId w:val="29"/>
        </w:numPr>
        <w:rPr>
          <w:rFonts w:ascii="Arial" w:cs="Arial" w:eastAsia="Arial" w:hAnsi="Arial"/>
          <w:sz w:val="18"/>
          <w:szCs w:val="18"/>
          <w:color w:val="auto"/>
        </w:rPr>
      </w:pPr>
      <w:r>
        <w:rPr>
          <w:rFonts w:ascii="Arial" w:cs="Arial" w:eastAsia="Arial" w:hAnsi="Arial"/>
          <w:sz w:val="18"/>
          <w:szCs w:val="18"/>
          <w:color w:val="auto"/>
        </w:rPr>
        <w:t>Payments related to costs (including legal costs) associated with labor disruptions (e.g., strikes) and actual or potential multiemployer plan withdrawal liability(ies) are excluded as expenditures required as a result of past labor commitments combined with changing economic conditions of the present business climate;</w:t>
      </w:r>
    </w:p>
    <w:p>
      <w:pPr>
        <w:spacing w:after="0" w:line="86" w:lineRule="exact"/>
        <w:rPr>
          <w:rFonts w:ascii="Arial" w:cs="Arial" w:eastAsia="Arial" w:hAnsi="Arial"/>
          <w:sz w:val="18"/>
          <w:szCs w:val="18"/>
          <w:color w:val="auto"/>
        </w:rPr>
      </w:pPr>
    </w:p>
    <w:p>
      <w:pPr>
        <w:ind w:left="1472" w:right="540" w:hanging="567"/>
        <w:spacing w:after="0" w:line="277" w:lineRule="auto"/>
        <w:tabs>
          <w:tab w:leader="none" w:pos="1472" w:val="left"/>
        </w:tabs>
        <w:numPr>
          <w:ilvl w:val="2"/>
          <w:numId w:val="29"/>
        </w:numPr>
        <w:rPr>
          <w:rFonts w:ascii="Arial" w:cs="Arial" w:eastAsia="Arial" w:hAnsi="Arial"/>
          <w:sz w:val="18"/>
          <w:szCs w:val="18"/>
          <w:color w:val="auto"/>
        </w:rPr>
      </w:pPr>
      <w:r>
        <w:rPr>
          <w:rFonts w:ascii="Arial" w:cs="Arial" w:eastAsia="Arial" w:hAnsi="Arial"/>
          <w:sz w:val="18"/>
          <w:szCs w:val="18"/>
          <w:color w:val="auto"/>
        </w:rPr>
        <w:t>Strategic acquisition, restructuring, transformation and reorganization costs are excluded in recognition of WM’s goals to increase customer and business base while minimizing operating costs; and</w:t>
      </w:r>
    </w:p>
    <w:p>
      <w:pPr>
        <w:spacing w:after="0" w:line="75" w:lineRule="exact"/>
        <w:rPr>
          <w:rFonts w:ascii="Arial" w:cs="Arial" w:eastAsia="Arial" w:hAnsi="Arial"/>
          <w:sz w:val="18"/>
          <w:szCs w:val="18"/>
          <w:color w:val="auto"/>
        </w:rPr>
      </w:pPr>
    </w:p>
    <w:p>
      <w:pPr>
        <w:ind w:left="1472" w:hanging="567"/>
        <w:spacing w:after="0"/>
        <w:tabs>
          <w:tab w:leader="none" w:pos="1472" w:val="left"/>
        </w:tabs>
        <w:numPr>
          <w:ilvl w:val="2"/>
          <w:numId w:val="29"/>
        </w:numPr>
        <w:rPr>
          <w:rFonts w:ascii="Arial" w:cs="Arial" w:eastAsia="Arial" w:hAnsi="Arial"/>
          <w:sz w:val="18"/>
          <w:szCs w:val="18"/>
          <w:color w:val="auto"/>
        </w:rPr>
      </w:pPr>
      <w:r>
        <w:rPr>
          <w:rFonts w:ascii="Arial" w:cs="Arial" w:eastAsia="Arial" w:hAnsi="Arial"/>
          <w:sz w:val="18"/>
          <w:szCs w:val="18"/>
          <w:color w:val="auto"/>
        </w:rPr>
        <w:t>Cash proceeds from the divestiture of businesses and other assets are included.</w:t>
      </w:r>
    </w:p>
    <w:p>
      <w:pPr>
        <w:spacing w:after="0" w:line="117" w:lineRule="exact"/>
        <w:rPr>
          <w:sz w:val="20"/>
          <w:szCs w:val="20"/>
          <w:color w:val="auto"/>
        </w:rPr>
      </w:pPr>
    </w:p>
    <w:p>
      <w:pPr>
        <w:ind w:left="912" w:right="20"/>
        <w:spacing w:after="0" w:line="277" w:lineRule="auto"/>
        <w:rPr>
          <w:sz w:val="20"/>
          <w:szCs w:val="20"/>
          <w:color w:val="auto"/>
        </w:rPr>
      </w:pPr>
      <w:r>
        <w:rPr>
          <w:rFonts w:ascii="Arial" w:cs="Arial" w:eastAsia="Arial" w:hAnsi="Arial"/>
          <w:sz w:val="18"/>
          <w:szCs w:val="18"/>
          <w:color w:val="auto"/>
        </w:rPr>
        <w:t xml:space="preserve">The Committee, solely in its discretion, is permitted to make other adjustments to reflect management’s performance consistent with maximizing shareholder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other adjustments shall not reduce the Adjusted Free Cash Flow amount.</w:t>
      </w:r>
    </w:p>
    <w:p>
      <w:pPr>
        <w:spacing w:after="0" w:line="76" w:lineRule="exact"/>
        <w:rPr>
          <w:sz w:val="20"/>
          <w:szCs w:val="20"/>
          <w:color w:val="auto"/>
        </w:rPr>
      </w:pPr>
    </w:p>
    <w:p>
      <w:pPr>
        <w:ind w:left="892" w:right="140" w:hanging="446"/>
        <w:spacing w:after="0" w:line="277" w:lineRule="auto"/>
        <w:tabs>
          <w:tab w:leader="none" w:pos="892"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Total Shareholder Return Relative to the S&amp;P 500 or “TSR” </w:t>
      </w:r>
      <w:r>
        <w:rPr>
          <w:rFonts w:ascii="Arial" w:cs="Arial" w:eastAsia="Arial" w:hAnsi="Arial"/>
          <w:sz w:val="18"/>
          <w:szCs w:val="18"/>
          <w:color w:val="auto"/>
        </w:rPr>
        <w:t>is the percentile performance of the Company as compared to the other S&amp;P 500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for the Performance Period. For these purposes:</w:t>
      </w:r>
    </w:p>
    <w:p>
      <w:pPr>
        <w:spacing w:after="0" w:line="75" w:lineRule="exact"/>
        <w:rPr>
          <w:rFonts w:ascii="Arial" w:cs="Arial" w:eastAsia="Arial" w:hAnsi="Arial"/>
          <w:sz w:val="18"/>
          <w:szCs w:val="18"/>
          <w:color w:val="auto"/>
        </w:rPr>
      </w:pPr>
    </w:p>
    <w:p>
      <w:pPr>
        <w:ind w:left="1472" w:right="60" w:hanging="567"/>
        <w:spacing w:after="0" w:line="308" w:lineRule="auto"/>
        <w:tabs>
          <w:tab w:leader="none" w:pos="1472" w:val="left"/>
        </w:tabs>
        <w:numPr>
          <w:ilvl w:val="1"/>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S&amp;P 500 Companies </w:t>
      </w:r>
      <w:r>
        <w:rPr>
          <w:rFonts w:ascii="Arial" w:cs="Arial" w:eastAsia="Arial" w:hAnsi="Arial"/>
          <w:sz w:val="17"/>
          <w:szCs w:val="17"/>
          <w:color w:val="auto"/>
        </w:rPr>
        <w:t>means all of the entities listed on the Standard &amp; Poor’s 500 Composite Index, including the Company, on the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is 30 trading days prior to the commencement of the Performance Period, with the following modifications:</w:t>
      </w:r>
    </w:p>
    <w:p>
      <w:pPr>
        <w:spacing w:after="0" w:line="38" w:lineRule="exact"/>
        <w:rPr>
          <w:rFonts w:ascii="Arial" w:cs="Arial" w:eastAsia="Arial" w:hAnsi="Arial"/>
          <w:sz w:val="17"/>
          <w:szCs w:val="17"/>
          <w:color w:val="auto"/>
        </w:rPr>
      </w:pPr>
    </w:p>
    <w:p>
      <w:pPr>
        <w:ind w:left="1492" w:right="380" w:firstLine="389"/>
        <w:spacing w:after="0" w:line="277" w:lineRule="auto"/>
        <w:tabs>
          <w:tab w:leader="none" w:pos="2109" w:val="left"/>
        </w:tabs>
        <w:numPr>
          <w:ilvl w:val="2"/>
          <w:numId w:val="30"/>
        </w:numPr>
        <w:rPr>
          <w:rFonts w:ascii="Arial" w:cs="Arial" w:eastAsia="Arial" w:hAnsi="Arial"/>
          <w:sz w:val="18"/>
          <w:szCs w:val="18"/>
          <w:color w:val="auto"/>
        </w:rPr>
      </w:pPr>
      <w:r>
        <w:rPr>
          <w:rFonts w:ascii="Arial" w:cs="Arial" w:eastAsia="Arial" w:hAnsi="Arial"/>
          <w:sz w:val="18"/>
          <w:szCs w:val="18"/>
          <w:color w:val="auto"/>
        </w:rPr>
        <w:t xml:space="preserve">except as provided in paragraph 2.e.i.B. below, only those entities that continue to trade throughout the Performance Period without interruption on a </w:t>
      </w:r>
      <w:r>
        <w:rPr>
          <w:rFonts w:ascii="Arial" w:cs="Arial" w:eastAsia="Arial" w:hAnsi="Arial"/>
          <w:sz w:val="18"/>
          <w:szCs w:val="18"/>
          <w:b w:val="1"/>
          <w:bCs w:val="1"/>
          <w:i w:val="1"/>
          <w:iCs w:val="1"/>
          <w:color w:val="auto"/>
        </w:rPr>
        <w:t>National Exchange</w:t>
      </w:r>
      <w:r>
        <w:rPr>
          <w:rFonts w:ascii="Arial" w:cs="Arial" w:eastAsia="Arial" w:hAnsi="Arial"/>
          <w:sz w:val="18"/>
          <w:szCs w:val="18"/>
          <w:color w:val="auto"/>
        </w:rPr>
        <w:t xml:space="preserve"> shall be included; and</w:t>
      </w:r>
    </w:p>
    <w:p>
      <w:pPr>
        <w:spacing w:after="0" w:line="62" w:lineRule="exact"/>
        <w:rPr>
          <w:rFonts w:ascii="Arial" w:cs="Arial" w:eastAsia="Arial" w:hAnsi="Arial"/>
          <w:sz w:val="18"/>
          <w:szCs w:val="18"/>
          <w:color w:val="auto"/>
        </w:rPr>
      </w:pPr>
    </w:p>
    <w:p>
      <w:pPr>
        <w:ind w:left="2092" w:hanging="211"/>
        <w:spacing w:after="0"/>
        <w:tabs>
          <w:tab w:leader="none" w:pos="2092" w:val="left"/>
        </w:tabs>
        <w:numPr>
          <w:ilvl w:val="2"/>
          <w:numId w:val="30"/>
        </w:numPr>
        <w:rPr>
          <w:rFonts w:ascii="Arial" w:cs="Arial" w:eastAsia="Arial" w:hAnsi="Arial"/>
          <w:sz w:val="17"/>
          <w:szCs w:val="17"/>
          <w:color w:val="auto"/>
        </w:rPr>
      </w:pPr>
      <w:r>
        <w:rPr>
          <w:rFonts w:ascii="Arial" w:cs="Arial" w:eastAsia="Arial" w:hAnsi="Arial"/>
          <w:sz w:val="17"/>
          <w:szCs w:val="17"/>
          <w:color w:val="auto"/>
        </w:rPr>
        <w:t>any such entity that files for bankruptcy (“Bankrupt Peer”) during the Performance Period shall continue to be included.</w:t>
      </w:r>
    </w:p>
    <w:p>
      <w:pPr>
        <w:spacing w:after="0" w:line="129" w:lineRule="exact"/>
        <w:rPr>
          <w:sz w:val="20"/>
          <w:szCs w:val="20"/>
          <w:color w:val="auto"/>
        </w:rPr>
      </w:pPr>
    </w:p>
    <w:p>
      <w:pPr>
        <w:ind w:left="1492" w:right="500"/>
        <w:spacing w:after="0" w:line="277" w:lineRule="auto"/>
        <w:rPr>
          <w:sz w:val="20"/>
          <w:szCs w:val="20"/>
          <w:color w:val="auto"/>
        </w:rPr>
      </w:pPr>
      <w:r>
        <w:rPr>
          <w:rFonts w:ascii="Arial" w:cs="Arial" w:eastAsia="Arial" w:hAnsi="Arial"/>
          <w:sz w:val="18"/>
          <w:szCs w:val="18"/>
          <w:color w:val="auto"/>
        </w:rPr>
        <w:t>For these purposes “</w:t>
      </w:r>
      <w:r>
        <w:rPr>
          <w:rFonts w:ascii="Arial" w:cs="Arial" w:eastAsia="Arial" w:hAnsi="Arial"/>
          <w:sz w:val="18"/>
          <w:szCs w:val="18"/>
          <w:b w:val="1"/>
          <w:bCs w:val="1"/>
          <w:i w:val="1"/>
          <w:iCs w:val="1"/>
          <w:color w:val="auto"/>
        </w:rPr>
        <w:t>National Exchange</w:t>
      </w:r>
      <w:r>
        <w:rPr>
          <w:rFonts w:ascii="Arial" w:cs="Arial" w:eastAsia="Arial" w:hAnsi="Arial"/>
          <w:sz w:val="18"/>
          <w:szCs w:val="18"/>
          <w:color w:val="auto"/>
        </w:rPr>
        <w:t>” shall mean a securities exchange that has registered with the SEC under Section 6 of the Securities Exchange Act of 1934.</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4" w:right="279" w:bottom="1440" w:gutter="0" w:footer="0" w:header="0"/>
        </w:sectPr>
      </w:pPr>
    </w:p>
    <w:bookmarkStart w:id="23" w:name="page24"/>
    <w:bookmarkEnd w:id="23"/>
    <w:p>
      <w:pPr>
        <w:ind w:left="1480" w:hanging="567"/>
        <w:spacing w:after="0" w:line="255" w:lineRule="auto"/>
        <w:tabs>
          <w:tab w:leader="none" w:pos="1480" w:val="left"/>
        </w:tabs>
        <w:numPr>
          <w:ilvl w:val="2"/>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Total Shareholder Return </w:t>
      </w:r>
      <w:r>
        <w:rPr>
          <w:rFonts w:ascii="Arial" w:cs="Arial" w:eastAsia="Arial" w:hAnsi="Arial"/>
          <w:sz w:val="18"/>
          <w:szCs w:val="18"/>
          <w:color w:val="auto"/>
        </w:rPr>
        <w:t>is the result of dividing (1) the sum of the cumulative value of an entity’s dividends for the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plus the entity’s Ending Price, minus the Beginning Price, by (2) the Beginning Price. For purposes of determining the cumulative value of an entity’s dividends during the Performance Period, it will be assumed that all dividends declared and paid with respect to a particular entity during the Performance Period were reinvested in such entity at the ex-dividend date, using the closing price on such date. The aggregate shares, or fractional shares thereof, that will be assumed to be purchased as part of the reinvestment calculation will be multiplied by the Ending Price to determine the cumulative value of an entity’s dividends for the Performance Period. For these purposes:</w:t>
      </w:r>
    </w:p>
    <w:p>
      <w:pPr>
        <w:spacing w:after="0" w:line="94" w:lineRule="exact"/>
        <w:rPr>
          <w:rFonts w:ascii="Arial" w:cs="Arial" w:eastAsia="Arial" w:hAnsi="Arial"/>
          <w:sz w:val="18"/>
          <w:szCs w:val="18"/>
          <w:color w:val="auto"/>
        </w:rPr>
      </w:pPr>
    </w:p>
    <w:p>
      <w:pPr>
        <w:ind w:left="1920" w:right="300" w:hanging="440"/>
        <w:spacing w:after="0" w:line="308" w:lineRule="auto"/>
        <w:tabs>
          <w:tab w:leader="none" w:pos="1920" w:val="left"/>
        </w:tabs>
        <w:numPr>
          <w:ilvl w:val="3"/>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Price </w:t>
      </w:r>
      <w:r>
        <w:rPr>
          <w:rFonts w:ascii="Arial" w:cs="Arial" w:eastAsia="Arial" w:hAnsi="Arial"/>
          <w:sz w:val="17"/>
          <w:szCs w:val="17"/>
          <w:color w:val="auto"/>
        </w:rPr>
        <w:t>is the per share closing price, as reported by the Bloomberg L.P. (or any other publicly available reporting service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may designate from time to time) of a share or share equivalent on the applicable stock exchange.</w:t>
      </w:r>
    </w:p>
    <w:p>
      <w:pPr>
        <w:spacing w:after="0" w:line="51" w:lineRule="exact"/>
        <w:rPr>
          <w:rFonts w:ascii="Arial" w:cs="Arial" w:eastAsia="Arial" w:hAnsi="Arial"/>
          <w:sz w:val="17"/>
          <w:szCs w:val="17"/>
          <w:color w:val="auto"/>
        </w:rPr>
      </w:pPr>
    </w:p>
    <w:p>
      <w:pPr>
        <w:ind w:left="1920" w:right="400" w:hanging="440"/>
        <w:spacing w:after="0" w:line="277" w:lineRule="auto"/>
        <w:tabs>
          <w:tab w:leader="none" w:pos="1920" w:val="left"/>
        </w:tabs>
        <w:numPr>
          <w:ilvl w:val="3"/>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Beginning Price </w:t>
      </w:r>
      <w:r>
        <w:rPr>
          <w:rFonts w:ascii="Arial" w:cs="Arial" w:eastAsia="Arial" w:hAnsi="Arial"/>
          <w:sz w:val="18"/>
          <w:szCs w:val="18"/>
          <w:color w:val="auto"/>
        </w:rPr>
        <w:t>is the average Price for the period of 20 trading days immediately preceding the first day of the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w:t>
      </w:r>
    </w:p>
    <w:p>
      <w:pPr>
        <w:spacing w:after="0" w:line="75" w:lineRule="exact"/>
        <w:rPr>
          <w:rFonts w:ascii="Arial" w:cs="Arial" w:eastAsia="Arial" w:hAnsi="Arial"/>
          <w:sz w:val="18"/>
          <w:szCs w:val="18"/>
          <w:color w:val="auto"/>
        </w:rPr>
      </w:pPr>
    </w:p>
    <w:p>
      <w:pPr>
        <w:ind w:left="1920" w:right="540" w:hanging="440"/>
        <w:spacing w:after="0" w:line="277" w:lineRule="auto"/>
        <w:tabs>
          <w:tab w:leader="none" w:pos="1920" w:val="left"/>
        </w:tabs>
        <w:numPr>
          <w:ilvl w:val="3"/>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Ending Price </w:t>
      </w:r>
      <w:r>
        <w:rPr>
          <w:rFonts w:ascii="Arial" w:cs="Arial" w:eastAsia="Arial" w:hAnsi="Arial"/>
          <w:sz w:val="18"/>
          <w:szCs w:val="18"/>
          <w:color w:val="auto"/>
        </w:rPr>
        <w:t>is the average Price for the period of 20 trading days immediately preceding and including the final day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Period.</w:t>
      </w:r>
    </w:p>
    <w:p>
      <w:pPr>
        <w:spacing w:after="0" w:line="75" w:lineRule="exact"/>
        <w:rPr>
          <w:rFonts w:ascii="Arial" w:cs="Arial" w:eastAsia="Arial" w:hAnsi="Arial"/>
          <w:sz w:val="18"/>
          <w:szCs w:val="18"/>
          <w:color w:val="auto"/>
        </w:rPr>
      </w:pPr>
    </w:p>
    <w:p>
      <w:pPr>
        <w:ind w:left="1920" w:hanging="440"/>
        <w:spacing w:after="0" w:line="277" w:lineRule="auto"/>
        <w:tabs>
          <w:tab w:leader="none" w:pos="1920" w:val="left"/>
        </w:tabs>
        <w:numPr>
          <w:ilvl w:val="3"/>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Bankrupt Peer</w:t>
      </w:r>
      <w:r>
        <w:rPr>
          <w:rFonts w:ascii="Arial" w:cs="Arial" w:eastAsia="Arial" w:hAnsi="Arial"/>
          <w:sz w:val="18"/>
          <w:szCs w:val="18"/>
          <w:color w:val="auto"/>
        </w:rPr>
        <w:t>: Notwithstanding anything in the foregoing to the contrary, any Bankrupt Peer shall have a Total Shareholder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negative one hundred percent (-100%).</w:t>
      </w:r>
    </w:p>
    <w:p>
      <w:pPr>
        <w:spacing w:after="0" w:line="75" w:lineRule="exact"/>
        <w:rPr>
          <w:rFonts w:ascii="Arial" w:cs="Arial" w:eastAsia="Arial" w:hAnsi="Arial"/>
          <w:sz w:val="18"/>
          <w:szCs w:val="18"/>
          <w:color w:val="auto"/>
        </w:rPr>
      </w:pPr>
    </w:p>
    <w:p>
      <w:pPr>
        <w:ind w:left="1480" w:right="20" w:hanging="567"/>
        <w:spacing w:after="0" w:line="257" w:lineRule="auto"/>
        <w:tabs>
          <w:tab w:leader="none" w:pos="1480" w:val="left"/>
        </w:tabs>
        <w:numPr>
          <w:ilvl w:val="2"/>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Relative TSR Percentile Rank </w:t>
      </w:r>
      <w:r>
        <w:rPr>
          <w:rFonts w:ascii="Arial" w:cs="Arial" w:eastAsia="Arial" w:hAnsi="Arial"/>
          <w:sz w:val="18"/>
          <w:szCs w:val="18"/>
          <w:color w:val="auto"/>
        </w:rPr>
        <w:t>is the percentile performance of the Company as compared to the S&amp;P 500 Companies. Relative TSR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Percentile Rank is determined by ranking the Company and all other S&amp;P 500 Companies according to their respective Total Shareholder Return for the Performance Period. The ranking is in order from minimum-to-maximum, with the lowest performing entity assigned a rank of one. The Company’s ranking is then divided by the total number of entities within the S&amp;P 500 Companies to get the Relative TSR Percentile Rank.</w:t>
      </w:r>
    </w:p>
    <w:p>
      <w:pPr>
        <w:spacing w:after="0" w:line="93"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PSU Payout Percentage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xml:space="preserve"> are the levels of performance set by the Committee on the Grant Date with respect to each measure of performance.</w:t>
      </w:r>
    </w:p>
    <w:p>
      <w:pPr>
        <w:spacing w:after="0" w:line="153" w:lineRule="exact"/>
        <w:rPr>
          <w:rFonts w:ascii="Arial" w:cs="Arial" w:eastAsia="Arial" w:hAnsi="Arial"/>
          <w:sz w:val="16"/>
          <w:szCs w:val="16"/>
          <w:color w:val="auto"/>
        </w:rPr>
      </w:pPr>
    </w:p>
    <w:p>
      <w:pPr>
        <w:ind w:left="900" w:right="6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Target PSU Award</w:t>
      </w:r>
      <w:r>
        <w:rPr>
          <w:rFonts w:ascii="Arial" w:cs="Arial" w:eastAsia="Arial" w:hAnsi="Arial"/>
          <w:sz w:val="18"/>
          <w:szCs w:val="18"/>
          <w:color w:val="auto"/>
        </w:rPr>
        <w:t>” for this Agreement is based on the target number of PSUs granted by the Committee and announced in the Notice. If Achievement falls between two levels of Achievement, the resulting payout percentage will be straight–line interpolated (rounding to the nearest 0.1 percent) between the payout percentages for those two levels of Achievement.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Achievement Levels and Corresponding Payouts for PSUs Dependent on Adjusted Cash Flow Performance Measure</w:t>
      </w:r>
    </w:p>
    <w:p>
      <w:pPr>
        <w:spacing w:after="0" w:line="24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Free</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1"/>
              </w:rPr>
              <w:t>Payout Percentage for the</w:t>
            </w:r>
          </w:p>
        </w:tc>
        <w:tc>
          <w:tcPr>
            <w:tcW w:w="0" w:type="dxa"/>
            <w:vAlign w:val="bottom"/>
          </w:tcPr>
          <w:p>
            <w:pPr>
              <w:spacing w:after="0"/>
              <w:rPr>
                <w:sz w:val="1"/>
                <w:szCs w:val="1"/>
                <w:color w:val="auto"/>
              </w:rPr>
            </w:pPr>
          </w:p>
        </w:tc>
      </w:tr>
      <w:tr>
        <w:trPr>
          <w:trHeight w:val="149"/>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of Achievement</w:t>
            </w:r>
          </w:p>
        </w:tc>
        <w:tc>
          <w:tcPr>
            <w:tcW w:w="46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Cash Flow Over the</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applicable half of your Target</w:t>
            </w:r>
          </w:p>
        </w:tc>
        <w:tc>
          <w:tcPr>
            <w:tcW w:w="0" w:type="dxa"/>
            <w:vAlign w:val="bottom"/>
          </w:tcPr>
          <w:p>
            <w:pPr>
              <w:spacing w:after="0"/>
              <w:rPr>
                <w:sz w:val="1"/>
                <w:szCs w:val="1"/>
                <w:color w:val="auto"/>
              </w:rPr>
            </w:pPr>
          </w:p>
        </w:tc>
      </w:tr>
      <w:tr>
        <w:trPr>
          <w:trHeight w:val="162"/>
        </w:trPr>
        <w:tc>
          <w:tcPr>
            <w:tcW w:w="4260" w:type="dxa"/>
            <w:vAlign w:val="bottom"/>
            <w:gridSpan w:val="2"/>
            <w:vMerge w:val="continue"/>
          </w:tcPr>
          <w:p>
            <w:pPr>
              <w:spacing w:after="0"/>
              <w:rPr>
                <w:sz w:val="14"/>
                <w:szCs w:val="14"/>
                <w:color w:val="auto"/>
              </w:rPr>
            </w:pPr>
          </w:p>
        </w:tc>
        <w:tc>
          <w:tcPr>
            <w:tcW w:w="2180" w:type="dxa"/>
            <w:vAlign w:val="bottom"/>
            <w:gridSpan w:val="4"/>
          </w:tcPr>
          <w:p>
            <w:pPr>
              <w:ind w:left="460"/>
              <w:spacing w:after="0"/>
              <w:rPr>
                <w:sz w:val="20"/>
                <w:szCs w:val="20"/>
                <w:color w:val="auto"/>
              </w:rPr>
            </w:pPr>
            <w:r>
              <w:rPr>
                <w:rFonts w:ascii="Arial" w:cs="Arial" w:eastAsia="Arial" w:hAnsi="Arial"/>
                <w:sz w:val="14"/>
                <w:szCs w:val="14"/>
                <w:b w:val="1"/>
                <w:bCs w:val="1"/>
                <w:color w:val="auto"/>
              </w:rPr>
              <w:t>Performance Period</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5"/>
              </w:rPr>
              <w:t>PSU Award</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shd w:val="clear" w:color="auto" w:fill="000000"/>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 xml:space="preserve">Threshold Performance </w:t>
            </w:r>
            <w:r>
              <w:rPr>
                <w:rFonts w:ascii="Arial" w:cs="Arial" w:eastAsia="Arial" w:hAnsi="Arial"/>
                <w:sz w:val="18"/>
                <w:szCs w:val="18"/>
                <w:color w:val="auto"/>
              </w:rPr>
              <w:t>(the minimum level of</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Achievement to qualify for any payout of the Adjusted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Free Cash Flow half of your Target PSU Award.)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4.566 billion</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of Target PSU Award</w:t>
            </w:r>
          </w:p>
        </w:tc>
        <w:tc>
          <w:tcPr>
            <w:tcW w:w="0" w:type="dxa"/>
            <w:vAlign w:val="bottom"/>
          </w:tcPr>
          <w:p>
            <w:pPr>
              <w:spacing w:after="0"/>
              <w:rPr>
                <w:sz w:val="1"/>
                <w:szCs w:val="1"/>
                <w:color w:val="auto"/>
              </w:rPr>
            </w:pPr>
          </w:p>
        </w:tc>
      </w:tr>
      <w:tr>
        <w:trPr>
          <w:trHeight w:val="202"/>
        </w:trPr>
        <w:tc>
          <w:tcPr>
            <w:tcW w:w="426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w w:val="93"/>
              </w:rPr>
              <w:t xml:space="preserve">Target Performance </w:t>
            </w:r>
            <w:r>
              <w:rPr>
                <w:rFonts w:ascii="Arial" w:cs="Arial" w:eastAsia="Arial" w:hAnsi="Arial"/>
                <w:sz w:val="18"/>
                <w:szCs w:val="18"/>
                <w:color w:val="auto"/>
                <w:w w:val="93"/>
              </w:rPr>
              <w:t>(the level of Achievement to qualify</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180"/>
              <w:spacing w:after="0"/>
              <w:rPr>
                <w:sz w:val="20"/>
                <w:szCs w:val="20"/>
                <w:color w:val="auto"/>
              </w:rPr>
            </w:pPr>
            <w:r>
              <w:rPr>
                <w:rFonts w:ascii="Arial" w:cs="Arial" w:eastAsia="Arial" w:hAnsi="Arial"/>
                <w:sz w:val="18"/>
                <w:szCs w:val="18"/>
                <w:color w:val="auto"/>
                <w:w w:val="91"/>
              </w:rPr>
              <w:t>for 100% payout of the Adjusted Free Cash Flow half of</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your Target PSU Award.)</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4.951 billion</w:t>
            </w:r>
          </w:p>
        </w:tc>
        <w:tc>
          <w:tcPr>
            <w:tcW w:w="2240" w:type="dxa"/>
            <w:vAlign w:val="bottom"/>
          </w:tcPr>
          <w:p>
            <w:pPr>
              <w:jc w:val="right"/>
              <w:spacing w:after="0"/>
              <w:rPr>
                <w:sz w:val="20"/>
                <w:szCs w:val="20"/>
                <w:color w:val="auto"/>
              </w:rPr>
            </w:pPr>
            <w:r>
              <w:rPr>
                <w:rFonts w:ascii="Arial" w:cs="Arial" w:eastAsia="Arial" w:hAnsi="Arial"/>
                <w:sz w:val="18"/>
                <w:szCs w:val="18"/>
                <w:color w:val="auto"/>
                <w:w w:val="99"/>
              </w:rPr>
              <w:t>100% of Target PSU Award</w:t>
            </w:r>
          </w:p>
        </w:tc>
        <w:tc>
          <w:tcPr>
            <w:tcW w:w="0" w:type="dxa"/>
            <w:vAlign w:val="bottom"/>
          </w:tcPr>
          <w:p>
            <w:pPr>
              <w:spacing w:after="0"/>
              <w:rPr>
                <w:sz w:val="1"/>
                <w:szCs w:val="1"/>
                <w:color w:val="auto"/>
              </w:rPr>
            </w:pPr>
          </w:p>
        </w:tc>
      </w:tr>
      <w:tr>
        <w:trPr>
          <w:trHeight w:val="202"/>
        </w:trPr>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 xml:space="preserve">Maximum Performance </w:t>
            </w:r>
            <w:r>
              <w:rPr>
                <w:rFonts w:ascii="Arial" w:cs="Arial" w:eastAsia="Arial" w:hAnsi="Arial"/>
                <w:sz w:val="18"/>
                <w:szCs w:val="18"/>
                <w:color w:val="auto"/>
              </w:rPr>
              <w:t>(the maximum level of</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Achievement that results in an increased number of</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PSUs paid out under the Adjusted Free Cash Flow half</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your Target PSU Award.)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5.336 billion</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 of Target PSU Award</w:t>
            </w: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Achievement Levels and Corresponding Payouts for PSUs Dependent on TSR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Total Shareholder Return Relative to the S&amp;P 500 over the Performance Period</w:t>
      </w:r>
    </w:p>
    <w:p>
      <w:pPr>
        <w:spacing w:after="0" w:line="10" w:lineRule="exact"/>
        <w:rPr>
          <w:sz w:val="20"/>
          <w:szCs w:val="20"/>
          <w:color w:val="auto"/>
        </w:rPr>
      </w:pPr>
    </w:p>
    <w:tbl>
      <w:tblPr>
        <w:tblLayout w:type="fixed"/>
        <w:tblInd w:w="1380" w:type="dxa"/>
        <w:tblCellMar>
          <w:top w:w="0" w:type="dxa"/>
          <w:left w:w="0" w:type="dxa"/>
          <w:bottom w:w="0" w:type="dxa"/>
          <w:right w:w="0" w:type="dxa"/>
        </w:tblCellMar>
      </w:tblPr>
      <w:tr>
        <w:trPr>
          <w:trHeight w:val="119"/>
        </w:trPr>
        <w:tc>
          <w:tcPr>
            <w:tcW w:w="1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7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Relative TSR</w:t>
            </w: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900" w:type="dxa"/>
            <w:vAlign w:val="bottom"/>
          </w:tcPr>
          <w:p>
            <w:pPr>
              <w:jc w:val="center"/>
              <w:ind w:right="51"/>
              <w:spacing w:after="0" w:line="119" w:lineRule="exact"/>
              <w:rPr>
                <w:sz w:val="20"/>
                <w:szCs w:val="20"/>
                <w:color w:val="auto"/>
              </w:rPr>
            </w:pPr>
            <w:r>
              <w:rPr>
                <w:rFonts w:ascii="Arial" w:cs="Arial" w:eastAsia="Arial" w:hAnsi="Arial"/>
                <w:sz w:val="13"/>
                <w:szCs w:val="13"/>
                <w:b w:val="1"/>
                <w:bCs w:val="1"/>
                <w:color w:val="auto"/>
                <w:w w:val="98"/>
              </w:rPr>
              <w:t>Payout Percentage for the</w:t>
            </w:r>
          </w:p>
        </w:tc>
        <w:tc>
          <w:tcPr>
            <w:tcW w:w="0" w:type="dxa"/>
            <w:vAlign w:val="bottom"/>
          </w:tcPr>
          <w:p>
            <w:pPr>
              <w:spacing w:after="0"/>
              <w:rPr>
                <w:sz w:val="1"/>
                <w:szCs w:val="1"/>
                <w:color w:val="auto"/>
              </w:rPr>
            </w:pPr>
          </w:p>
        </w:tc>
      </w:tr>
      <w:tr>
        <w:trPr>
          <w:trHeight w:val="149"/>
        </w:trPr>
        <w:tc>
          <w:tcPr>
            <w:tcW w:w="4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of Achievement</w:t>
            </w:r>
          </w:p>
        </w:tc>
        <w:tc>
          <w:tcPr>
            <w:tcW w:w="10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2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applicable half of your Target</w:t>
            </w:r>
          </w:p>
        </w:tc>
        <w:tc>
          <w:tcPr>
            <w:tcW w:w="0" w:type="dxa"/>
            <w:vAlign w:val="bottom"/>
          </w:tcPr>
          <w:p>
            <w:pPr>
              <w:spacing w:after="0"/>
              <w:rPr>
                <w:sz w:val="1"/>
                <w:szCs w:val="1"/>
                <w:color w:val="auto"/>
              </w:rPr>
            </w:pPr>
          </w:p>
        </w:tc>
      </w:tr>
      <w:tr>
        <w:trPr>
          <w:trHeight w:val="158"/>
        </w:trPr>
        <w:tc>
          <w:tcPr>
            <w:tcW w:w="4600" w:type="dxa"/>
            <w:vAlign w:val="bottom"/>
            <w:gridSpan w:val="3"/>
            <w:vMerge w:val="continue"/>
          </w:tcPr>
          <w:p>
            <w:pPr>
              <w:spacing w:after="0"/>
              <w:rPr>
                <w:sz w:val="13"/>
                <w:szCs w:val="13"/>
                <w:color w:val="auto"/>
              </w:rPr>
            </w:pP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Percentile Rank</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jc w:val="center"/>
              <w:ind w:right="51"/>
              <w:spacing w:after="0" w:line="158" w:lineRule="exact"/>
              <w:rPr>
                <w:sz w:val="20"/>
                <w:szCs w:val="20"/>
                <w:color w:val="auto"/>
              </w:rPr>
            </w:pPr>
            <w:r>
              <w:rPr>
                <w:rFonts w:ascii="Arial" w:cs="Arial" w:eastAsia="Arial" w:hAnsi="Arial"/>
                <w:sz w:val="14"/>
                <w:szCs w:val="14"/>
                <w:b w:val="1"/>
                <w:bCs w:val="1"/>
                <w:color w:val="auto"/>
                <w:w w:val="97"/>
              </w:rPr>
              <w:t>PSU Award</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shd w:val="clear" w:color="auto" w:fill="000000"/>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6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 xml:space="preserve">Threshold Performance </w:t>
            </w:r>
            <w:r>
              <w:rPr>
                <w:rFonts w:ascii="Arial" w:cs="Arial" w:eastAsia="Arial" w:hAnsi="Arial"/>
                <w:sz w:val="18"/>
                <w:szCs w:val="18"/>
                <w:color w:val="auto"/>
              </w:rPr>
              <w:t>(the minimum level of</w:t>
            </w:r>
          </w:p>
        </w:tc>
        <w:tc>
          <w:tcPr>
            <w:tcW w:w="10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Achievement to qualify for any payout of the</w:t>
            </w: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TSR half of your Target PSU Award.)</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w:t>
            </w:r>
          </w:p>
        </w:tc>
        <w:tc>
          <w:tcPr>
            <w:tcW w:w="102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50% of Target PSU Award</w:t>
            </w:r>
          </w:p>
        </w:tc>
        <w:tc>
          <w:tcPr>
            <w:tcW w:w="0" w:type="dxa"/>
            <w:vAlign w:val="bottom"/>
          </w:tcPr>
          <w:p>
            <w:pPr>
              <w:spacing w:after="0"/>
              <w:rPr>
                <w:sz w:val="1"/>
                <w:szCs w:val="1"/>
                <w:color w:val="auto"/>
              </w:rPr>
            </w:pPr>
          </w:p>
        </w:tc>
      </w:tr>
      <w:tr>
        <w:trPr>
          <w:trHeight w:val="202"/>
        </w:trPr>
        <w:tc>
          <w:tcPr>
            <w:tcW w:w="4600" w:type="dxa"/>
            <w:vAlign w:val="bottom"/>
            <w:gridSpan w:val="3"/>
          </w:tcPr>
          <w:p>
            <w:pPr>
              <w:spacing w:after="0" w:line="201" w:lineRule="exact"/>
              <w:rPr>
                <w:sz w:val="20"/>
                <w:szCs w:val="20"/>
                <w:color w:val="auto"/>
              </w:rPr>
            </w:pPr>
            <w:r>
              <w:rPr>
                <w:rFonts w:ascii="Arial" w:cs="Arial" w:eastAsia="Arial" w:hAnsi="Arial"/>
                <w:sz w:val="18"/>
                <w:szCs w:val="18"/>
                <w:b w:val="1"/>
                <w:bCs w:val="1"/>
                <w:i w:val="1"/>
                <w:iCs w:val="1"/>
                <w:color w:val="auto"/>
              </w:rPr>
              <w:t xml:space="preserve">Target Performance </w:t>
            </w:r>
            <w:r>
              <w:rPr>
                <w:rFonts w:ascii="Arial" w:cs="Arial" w:eastAsia="Arial" w:hAnsi="Arial"/>
                <w:sz w:val="18"/>
                <w:szCs w:val="18"/>
                <w:color w:val="auto"/>
              </w:rPr>
              <w:t>(the level of Achievement</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ind w:left="180"/>
              <w:spacing w:after="0"/>
              <w:rPr>
                <w:sz w:val="20"/>
                <w:szCs w:val="20"/>
                <w:color w:val="auto"/>
              </w:rPr>
            </w:pPr>
            <w:r>
              <w:rPr>
                <w:rFonts w:ascii="Arial" w:cs="Arial" w:eastAsia="Arial" w:hAnsi="Arial"/>
                <w:sz w:val="18"/>
                <w:szCs w:val="18"/>
                <w:color w:val="auto"/>
              </w:rPr>
              <w:t>to qualify for 100% payout of the TSR half of</w:t>
            </w: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ind w:left="180"/>
              <w:spacing w:after="0"/>
              <w:rPr>
                <w:sz w:val="20"/>
                <w:szCs w:val="20"/>
                <w:color w:val="auto"/>
              </w:rPr>
            </w:pPr>
            <w:r>
              <w:rPr>
                <w:rFonts w:ascii="Arial" w:cs="Arial" w:eastAsia="Arial" w:hAnsi="Arial"/>
                <w:sz w:val="18"/>
                <w:szCs w:val="18"/>
                <w:color w:val="auto"/>
              </w:rPr>
              <w:t>your Target PSU Award.)</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50</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w:t>
            </w:r>
          </w:p>
        </w:tc>
        <w:tc>
          <w:tcPr>
            <w:tcW w:w="3020" w:type="dxa"/>
            <w:vAlign w:val="bottom"/>
            <w:gridSpan w:val="3"/>
          </w:tcPr>
          <w:p>
            <w:pPr>
              <w:jc w:val="center"/>
              <w:ind w:left="910"/>
              <w:spacing w:after="0"/>
              <w:rPr>
                <w:sz w:val="20"/>
                <w:szCs w:val="20"/>
                <w:color w:val="auto"/>
              </w:rPr>
            </w:pPr>
            <w:r>
              <w:rPr>
                <w:rFonts w:ascii="Arial" w:cs="Arial" w:eastAsia="Arial" w:hAnsi="Arial"/>
                <w:sz w:val="18"/>
                <w:szCs w:val="18"/>
                <w:color w:val="auto"/>
                <w:w w:val="89"/>
              </w:rPr>
              <w:t>100% of Target PSU Award</w:t>
            </w:r>
          </w:p>
        </w:tc>
        <w:tc>
          <w:tcPr>
            <w:tcW w:w="0" w:type="dxa"/>
            <w:vAlign w:val="bottom"/>
          </w:tcPr>
          <w:p>
            <w:pPr>
              <w:spacing w:after="0"/>
              <w:rPr>
                <w:sz w:val="1"/>
                <w:szCs w:val="1"/>
                <w:color w:val="auto"/>
              </w:rPr>
            </w:pPr>
          </w:p>
        </w:tc>
      </w:tr>
      <w:tr>
        <w:trPr>
          <w:trHeight w:val="202"/>
        </w:trPr>
        <w:tc>
          <w:tcPr>
            <w:tcW w:w="46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 xml:space="preserve">Maximum Performance </w:t>
            </w:r>
            <w:r>
              <w:rPr>
                <w:rFonts w:ascii="Arial" w:cs="Arial" w:eastAsia="Arial" w:hAnsi="Arial"/>
                <w:sz w:val="18"/>
                <w:szCs w:val="18"/>
                <w:color w:val="auto"/>
              </w:rPr>
              <w:t>(the maximum level of</w:t>
            </w: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Achievement that results in an increased</w:t>
            </w: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number of PSUs paid out under the TSR half</w:t>
            </w: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of your Target PSU Award.)</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75</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w:t>
            </w:r>
          </w:p>
        </w:tc>
        <w:tc>
          <w:tcPr>
            <w:tcW w:w="302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89"/>
              </w:rPr>
              <w:t>200% of Target PSU Award</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9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Timing and Form of Payment of PSU Award. After the close of the Performance Period, the Committee will certify (with respect to each portion of your Target PSU Award relating to the separate Performance Goals) Achievement and determine the corresponding payout percentage of the PSU Award by multiplying the applicable half of the PSU Award by the applicable payout percentage. The results will sum to the total number of shares of Common Stock that you are entitled to receive (the “</w:t>
      </w:r>
      <w:r>
        <w:rPr>
          <w:rFonts w:ascii="Arial" w:cs="Arial" w:eastAsia="Arial" w:hAnsi="Arial"/>
          <w:sz w:val="16"/>
          <w:szCs w:val="16"/>
          <w:b w:val="1"/>
          <w:bCs w:val="1"/>
          <w:i w:val="1"/>
          <w:iCs w:val="1"/>
          <w:color w:val="auto"/>
        </w:rPr>
        <w:t>PSU Awarded Shares</w:t>
      </w:r>
      <w:r>
        <w:rPr>
          <w:rFonts w:ascii="Arial" w:cs="Arial" w:eastAsia="Arial" w:hAnsi="Arial"/>
          <w:sz w:val="16"/>
          <w:szCs w:val="16"/>
          <w:color w:val="auto"/>
        </w:rPr>
        <w:t>”). Unless you have a valid Deferral Election in place for your PSU Award (see paragraph 8 under “</w:t>
      </w:r>
      <w:r>
        <w:rPr>
          <w:rFonts w:ascii="Arial" w:cs="Arial" w:eastAsia="Arial" w:hAnsi="Arial"/>
          <w:sz w:val="16"/>
          <w:szCs w:val="16"/>
          <w:b w:val="1"/>
          <w:bCs w:val="1"/>
          <w:color w:val="auto"/>
        </w:rPr>
        <w:t>Important Award Details</w:t>
      </w:r>
      <w:r>
        <w:rPr>
          <w:rFonts w:ascii="Arial" w:cs="Arial" w:eastAsia="Arial" w:hAnsi="Arial"/>
          <w:sz w:val="16"/>
          <w:szCs w:val="16"/>
          <w:color w:val="auto"/>
        </w:rPr>
        <w:t xml:space="preserve">” for further information on permitted deferrals), the Company will deliver the PSU Awarded Shares and payment of the corresponding </w:t>
      </w: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xml:space="preserve"> (as defined in paragraph 7 under “</w:t>
      </w:r>
      <w:r>
        <w:rPr>
          <w:rFonts w:ascii="Arial" w:cs="Arial" w:eastAsia="Arial" w:hAnsi="Arial"/>
          <w:sz w:val="16"/>
          <w:szCs w:val="16"/>
          <w:b w:val="1"/>
          <w:bCs w:val="1"/>
          <w:color w:val="auto"/>
        </w:rPr>
        <w:t>Important Award Details</w:t>
      </w:r>
      <w:r>
        <w:rPr>
          <w:rFonts w:ascii="Arial" w:cs="Arial" w:eastAsia="Arial" w:hAnsi="Arial"/>
          <w:sz w:val="16"/>
          <w:szCs w:val="16"/>
          <w:color w:val="auto"/>
        </w:rPr>
        <w:t>”) as soon as administratively feasible (and no later than 74 days after the end of the Performance Period) after the Committee’s certification and determination.</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Stock Options</w:t>
      </w:r>
    </w:p>
    <w:p>
      <w:pPr>
        <w:spacing w:after="0" w:line="265" w:lineRule="exact"/>
        <w:rPr>
          <w:sz w:val="20"/>
          <w:szCs w:val="20"/>
          <w:color w:val="auto"/>
        </w:rPr>
      </w:pPr>
    </w:p>
    <w:p>
      <w:pPr>
        <w:ind w:left="460" w:hanging="452"/>
        <w:spacing w:after="0" w:line="286"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Stock Option Grant</w:t>
      </w:r>
      <w:r>
        <w:rPr>
          <w:rFonts w:ascii="Arial" w:cs="Arial" w:eastAsia="Arial" w:hAnsi="Arial"/>
          <w:sz w:val="17"/>
          <w:szCs w:val="17"/>
          <w:color w:val="auto"/>
        </w:rPr>
        <w:t>. The Company grants to Employee a stock option award (the “</w:t>
      </w:r>
      <w:r>
        <w:rPr>
          <w:rFonts w:ascii="Arial" w:cs="Arial" w:eastAsia="Arial" w:hAnsi="Arial"/>
          <w:sz w:val="17"/>
          <w:szCs w:val="17"/>
          <w:b w:val="1"/>
          <w:bCs w:val="1"/>
          <w:i w:val="1"/>
          <w:iCs w:val="1"/>
          <w:color w:val="auto"/>
        </w:rPr>
        <w:t>Stock Option Award</w:t>
      </w:r>
      <w:r>
        <w:rPr>
          <w:rFonts w:ascii="Arial" w:cs="Arial" w:eastAsia="Arial" w:hAnsi="Arial"/>
          <w:sz w:val="17"/>
          <w:szCs w:val="17"/>
          <w:color w:val="auto"/>
        </w:rPr>
        <w:t>”) for the number of shares (“</w:t>
      </w:r>
      <w:r>
        <w:rPr>
          <w:rFonts w:ascii="Arial" w:cs="Arial" w:eastAsia="Arial" w:hAnsi="Arial"/>
          <w:sz w:val="17"/>
          <w:szCs w:val="17"/>
          <w:b w:val="1"/>
          <w:bCs w:val="1"/>
          <w:i w:val="1"/>
          <w:iCs w:val="1"/>
          <w:color w:val="auto"/>
        </w:rPr>
        <w:t>Stock Options</w:t>
      </w:r>
      <w:r>
        <w:rPr>
          <w:rFonts w:ascii="Arial" w:cs="Arial" w:eastAsia="Arial" w:hAnsi="Arial"/>
          <w:sz w:val="17"/>
          <w:szCs w:val="17"/>
          <w:color w:val="auto"/>
        </w:rPr>
        <w:t>”) of Common Stock provided in the Notice. This Stock Option Award grants Employee the right to purchase shares of Common Stock at the Grant Price. The “</w:t>
      </w:r>
      <w:r>
        <w:rPr>
          <w:rFonts w:ascii="Arial" w:cs="Arial" w:eastAsia="Arial" w:hAnsi="Arial"/>
          <w:sz w:val="17"/>
          <w:szCs w:val="17"/>
          <w:b w:val="1"/>
          <w:bCs w:val="1"/>
          <w:i w:val="1"/>
          <w:iCs w:val="1"/>
          <w:color w:val="auto"/>
        </w:rPr>
        <w:t>Grant Price</w:t>
      </w:r>
      <w:r>
        <w:rPr>
          <w:rFonts w:ascii="Arial" w:cs="Arial" w:eastAsia="Arial" w:hAnsi="Arial"/>
          <w:sz w:val="17"/>
          <w:szCs w:val="17"/>
          <w:color w:val="auto"/>
        </w:rPr>
        <w:t>” is the Fair Market Value (as defined in the Plan) of a share of Common Stock on the Grant Date.</w:t>
      </w:r>
    </w:p>
    <w:p>
      <w:pPr>
        <w:spacing w:after="0" w:line="192" w:lineRule="exact"/>
        <w:rPr>
          <w:rFonts w:ascii="Arial" w:cs="Arial" w:eastAsia="Arial" w:hAnsi="Arial"/>
          <w:sz w:val="17"/>
          <w:szCs w:val="17"/>
          <w:color w:val="auto"/>
        </w:rPr>
      </w:pPr>
    </w:p>
    <w:p>
      <w:pPr>
        <w:ind w:left="460" w:right="40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Notwithstanding any other provisions of this Agreement, the maximum term of the Stock Option Award is the 10</w:t>
      </w:r>
      <w:r>
        <w:rPr>
          <w:rFonts w:ascii="Arial" w:cs="Arial" w:eastAsia="Arial" w:hAnsi="Arial"/>
          <w:sz w:val="15"/>
          <w:szCs w:val="15"/>
          <w:color w:val="auto"/>
        </w:rPr>
        <w:t>th</w:t>
      </w:r>
      <w:r>
        <w:rPr>
          <w:rFonts w:ascii="Arial" w:cs="Arial" w:eastAsia="Arial" w:hAnsi="Arial"/>
          <w:sz w:val="18"/>
          <w:szCs w:val="18"/>
          <w:color w:val="auto"/>
        </w:rPr>
        <w:t xml:space="preserve"> anniversary of the Grant Date.</w:t>
      </w:r>
    </w:p>
    <w:p>
      <w:pPr>
        <w:spacing w:after="0" w:line="197" w:lineRule="exact"/>
        <w:rPr>
          <w:rFonts w:ascii="Arial" w:cs="Arial" w:eastAsia="Arial" w:hAnsi="Arial"/>
          <w:sz w:val="18"/>
          <w:szCs w:val="18"/>
          <w:color w:val="auto"/>
        </w:rPr>
      </w:pPr>
    </w:p>
    <w:p>
      <w:pPr>
        <w:ind w:left="460" w:right="54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Provided Employee remains employed by WM continuously through the applicable exercise dates, the Stock Option Award is exercisable as follows: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Exercise Date</w:t>
            </w:r>
          </w:p>
        </w:tc>
        <w:tc>
          <w:tcPr>
            <w:tcW w:w="3080" w:type="dxa"/>
            <w:vAlign w:val="bottom"/>
            <w:gridSpan w:val="3"/>
          </w:tcPr>
          <w:p>
            <w:pPr>
              <w:jc w:val="center"/>
              <w:ind w:left="594"/>
              <w:spacing w:after="0"/>
              <w:rPr>
                <w:sz w:val="20"/>
                <w:szCs w:val="20"/>
                <w:color w:val="auto"/>
              </w:rPr>
            </w:pPr>
            <w:r>
              <w:rPr>
                <w:rFonts w:ascii="Arial" w:cs="Arial" w:eastAsia="Arial" w:hAnsi="Arial"/>
                <w:sz w:val="14"/>
                <w:szCs w:val="14"/>
                <w:b w:val="1"/>
                <w:bCs w:val="1"/>
                <w:color w:val="auto"/>
                <w:w w:val="91"/>
              </w:rPr>
              <w:t>Cumulative Percentage of Stock</w:t>
            </w:r>
          </w:p>
        </w:tc>
        <w:tc>
          <w:tcPr>
            <w:tcW w:w="0" w:type="dxa"/>
            <w:vAlign w:val="bottom"/>
          </w:tcPr>
          <w:p>
            <w:pPr>
              <w:spacing w:after="0"/>
              <w:rPr>
                <w:sz w:val="1"/>
                <w:szCs w:val="1"/>
                <w:color w:val="auto"/>
              </w:rPr>
            </w:pPr>
          </w:p>
        </w:tc>
      </w:tr>
      <w:tr>
        <w:trPr>
          <w:trHeight w:val="23"/>
        </w:trPr>
        <w:tc>
          <w:tcPr>
            <w:tcW w:w="840" w:type="dxa"/>
            <w:vAlign w:val="bottom"/>
            <w:tcBorders>
              <w:bottom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Option Award Exercisable</w:t>
            </w:r>
          </w:p>
        </w:tc>
        <w:tc>
          <w:tcPr>
            <w:tcW w:w="2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840" w:type="dxa"/>
            <w:vAlign w:val="bottom"/>
            <w:tcBorders>
              <w:bottom w:val="single" w:sz="8" w:color="CCEEFF"/>
            </w:tcBorders>
          </w:tcPr>
          <w:p>
            <w:pPr>
              <w:spacing w:after="0"/>
              <w:rPr>
                <w:sz w:val="11"/>
                <w:szCs w:val="11"/>
                <w:color w:val="auto"/>
              </w:rPr>
            </w:pPr>
          </w:p>
        </w:tc>
        <w:tc>
          <w:tcPr>
            <w:tcW w:w="384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vMerge w:val="continue"/>
          </w:tcPr>
          <w:p>
            <w:pPr>
              <w:spacing w:after="0"/>
              <w:rPr>
                <w:sz w:val="11"/>
                <w:szCs w:val="11"/>
                <w:color w:val="auto"/>
              </w:rPr>
            </w:pPr>
          </w:p>
        </w:tc>
        <w:tc>
          <w:tcPr>
            <w:tcW w:w="198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to the first anniversary of the Grant Date</w:t>
            </w:r>
          </w:p>
        </w:tc>
        <w:tc>
          <w:tcPr>
            <w:tcW w:w="9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On or after the first anniversary of the Grant Date</w:t>
            </w:r>
          </w:p>
        </w:tc>
        <w:tc>
          <w:tcPr>
            <w:tcW w:w="308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the second anniversary of the Grant Date</w:t>
            </w:r>
          </w:p>
        </w:tc>
        <w:tc>
          <w:tcPr>
            <w:tcW w:w="3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On or after the third anniversary of the Grant Date</w:t>
            </w:r>
          </w:p>
        </w:tc>
        <w:tc>
          <w:tcPr>
            <w:tcW w:w="30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120" w:hanging="452"/>
        <w:spacing w:after="0" w:line="34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Manner of Exercise</w:t>
      </w:r>
      <w:r>
        <w:rPr>
          <w:rFonts w:ascii="Arial" w:cs="Arial" w:eastAsia="Arial" w:hAnsi="Arial"/>
          <w:sz w:val="16"/>
          <w:szCs w:val="16"/>
          <w:color w:val="auto"/>
        </w:rPr>
        <w:t>. In order to exercise all or a portion of the Stock Option Award, Employee must contact (either by phone or online) the third-party stock plan administrator designated by the Company and follow the procedures established by the Company for exercising a Stock Option Award.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25" w:name="page26"/>
    <w:bookmarkEnd w:id="25"/>
    <w:p>
      <w:pPr>
        <w:ind w:left="460" w:right="40" w:hanging="452"/>
        <w:spacing w:after="0" w:line="29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Grant Price</w:t>
      </w:r>
      <w:r>
        <w:rPr>
          <w:rFonts w:ascii="Arial" w:cs="Arial" w:eastAsia="Arial" w:hAnsi="Arial"/>
          <w:sz w:val="16"/>
          <w:szCs w:val="16"/>
          <w:color w:val="auto"/>
        </w:rPr>
        <w:t>. The Grant Price is payable in full to the Company either (a) in cash or its equivalent; (b) by tendering previously acquired shares of Common Stock held for at least six months and with an aggregate fair market value at the time of exercise equal to the aggregate Grant Price;</w:t>
      </w:r>
    </w:p>
    <w:p>
      <w:pPr>
        <w:ind w:left="460" w:right="8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(c) to the extent Employee is an executive officer at the time of exercise, by withholding shares of Common Stock that otherwise would be acquired pursuant to the Stock Option Award; or (d) any combination of the foregoing. The Grant Price may also be paid by cashless exercise through delivery of irrevocable instructions to a broker to promptly deliver to the Company the amount of proceeds from a sale of shares having fair market value equal to the Grant Price, provided that such instructions are delivered by no later than the close of the New York Stock Exchange on the last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xml:space="preserve"> prior to the 10th anniversary of the Grant Date. Payment by cashless exercise shall not be considered to have occurred until the broker has issued confirmation of the transaction. For these purposes,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xml:space="preserve"> means a day on which the New York Stock Exchange is open for trading for its regular trading sessions.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Important Award Details</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Your Awards under this Agreement are subject to important terms and conditions set forth below. Please read them carefully and seek advice from your own legal and tax advisors before executing this Agreement.</w:t>
      </w:r>
    </w:p>
    <w:p>
      <w:pPr>
        <w:spacing w:after="0" w:line="76" w:lineRule="exact"/>
        <w:rPr>
          <w:sz w:val="20"/>
          <w:szCs w:val="20"/>
          <w:color w:val="auto"/>
        </w:rPr>
      </w:pPr>
    </w:p>
    <w:p>
      <w:pPr>
        <w:ind w:left="460" w:right="340" w:hanging="452"/>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Upon Employee’s death or disability (as determined by the Committee and within the meaning of Section 409A of the Internal Revenue Code of 1986, as amended, and the Treasury Regulations issued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and specifically Section 409A(a)(2)(C)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Employee (or in the case of Employee’s death, Employee’s beneficiary) shall be entitled to:</w:t>
      </w:r>
    </w:p>
    <w:p>
      <w:pPr>
        <w:spacing w:after="0" w:line="86" w:lineRule="exact"/>
        <w:rPr>
          <w:rFonts w:ascii="Arial" w:cs="Arial" w:eastAsia="Arial" w:hAnsi="Arial"/>
          <w:sz w:val="18"/>
          <w:szCs w:val="18"/>
          <w:color w:val="auto"/>
        </w:rPr>
      </w:pPr>
    </w:p>
    <w:p>
      <w:pPr>
        <w:ind w:left="900" w:hanging="446"/>
        <w:spacing w:after="0" w:line="286" w:lineRule="auto"/>
        <w:tabs>
          <w:tab w:leader="none" w:pos="9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which shall be paid to no later than 74 days following the end of the Performance Period; and</w:t>
      </w:r>
    </w:p>
    <w:p>
      <w:pPr>
        <w:spacing w:after="0" w:line="70" w:lineRule="exact"/>
        <w:rPr>
          <w:rFonts w:ascii="Arial" w:cs="Arial" w:eastAsia="Arial" w:hAnsi="Arial"/>
          <w:sz w:val="17"/>
          <w:szCs w:val="17"/>
          <w:color w:val="auto"/>
        </w:rPr>
      </w:pPr>
    </w:p>
    <w:p>
      <w:pPr>
        <w:jc w:val="both"/>
        <w:ind w:left="900" w:right="40" w:hanging="446"/>
        <w:spacing w:after="0" w:line="264"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exercise all Stock Options outstanding under the Stock Option Award (whether or not previously exercisable) for one year following such event. Provided however, if Employee was eligible for </w:t>
      </w:r>
      <w:r>
        <w:rPr>
          <w:rFonts w:ascii="Arial" w:cs="Arial" w:eastAsia="Arial" w:hAnsi="Arial"/>
          <w:sz w:val="18"/>
          <w:szCs w:val="18"/>
          <w:b w:val="1"/>
          <w:bCs w:val="1"/>
          <w:i w:val="1"/>
          <w:iCs w:val="1"/>
          <w:color w:val="auto"/>
        </w:rPr>
        <w:t>Retirement</w:t>
      </w:r>
      <w:r>
        <w:rPr>
          <w:rFonts w:ascii="Arial" w:cs="Arial" w:eastAsia="Arial" w:hAnsi="Arial"/>
          <w:sz w:val="18"/>
          <w:szCs w:val="18"/>
          <w:color w:val="auto"/>
        </w:rPr>
        <w:t xml:space="preserve"> (as defined in paragraph 2.d.i. below) at the time of his death or Disability, the Stock Option Award will remain exercisable for three years following the date of such event.</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Treatment of PSU Award Upon Retirement or Involuntary Termination of Employment Without Cause by WM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80" w:hanging="446"/>
        <w:spacing w:after="0" w:line="273" w:lineRule="auto"/>
        <w:tabs>
          <w:tab w:leader="none" w:pos="9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Upon an involuntary Termination of Employment by WM without Cause (as defined in paragraph 6.c.iii. below) or upon Employee’s Normal Retirement (as defined in paragraph 2.d.i. below), Employee shall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Performance Period and has as its denominator 1095 (which amount shall be issued and paid no later than 74 days following the end of the Performance Period).</w:t>
      </w:r>
    </w:p>
    <w:p>
      <w:pPr>
        <w:spacing w:after="0" w:line="83" w:lineRule="exact"/>
        <w:rPr>
          <w:rFonts w:ascii="Arial" w:cs="Arial" w:eastAsia="Arial" w:hAnsi="Arial"/>
          <w:sz w:val="17"/>
          <w:szCs w:val="17"/>
          <w:color w:val="auto"/>
        </w:rPr>
      </w:pPr>
    </w:p>
    <w:p>
      <w:pPr>
        <w:ind w:left="900" w:right="20" w:hanging="446"/>
        <w:spacing w:after="0" w:line="279" w:lineRule="auto"/>
        <w:tabs>
          <w:tab w:leader="none" w:pos="9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Upon Employee’s Special Retirement (as defined in paragraph 2.d.iv below), Employee shall be entitled to receive the PSU Awarded Shares and related Dividend Equivalents that Employee would have been entitled to under this Agreement if Employee had remained employed until the last day of the Performance Period, without proration, and determined based upon actual Achievement through the end of the Performance Period (which amount shall be issued and paid no later than 74 days following the end of the Performance Period).</w:t>
      </w:r>
    </w:p>
    <w:p>
      <w:pPr>
        <w:spacing w:after="0" w:line="76" w:lineRule="exact"/>
        <w:rPr>
          <w:rFonts w:ascii="Arial" w:cs="Arial" w:eastAsia="Arial" w:hAnsi="Arial"/>
          <w:sz w:val="17"/>
          <w:szCs w:val="17"/>
          <w:color w:val="auto"/>
        </w:rPr>
      </w:pPr>
    </w:p>
    <w:p>
      <w:pPr>
        <w:ind w:left="900" w:right="220" w:hanging="446"/>
        <w:spacing w:after="0" w:line="264"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the event Employee is employed by a subsidiary of the Company that is sold by the Company in a transaction (i) that would not constitute a Change in Control of the Company within the meaning of paragraph 6.c.i. below, but (ii) that would constitute a Change in Control of the subsidiary within the meaning of paragraph 6.c.i. with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26" w:name="page27"/>
    <w:bookmarkEnd w:id="26"/>
    <w:p>
      <w:pPr>
        <w:ind w:left="920"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subsidiary substituted for Company thereunder, such transaction shall be deemed to constitute an involuntary Termination of Employment by WM without Cause for purposes of this paragraph 2 as of the effective date of such Transaction.</w:t>
      </w:r>
    </w:p>
    <w:p>
      <w:pPr>
        <w:spacing w:after="0" w:line="76" w:lineRule="exact"/>
        <w:rPr>
          <w:sz w:val="20"/>
          <w:szCs w:val="20"/>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following terms shall have the meanings set forth below for purposes of this Agreement: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Normal Retirement </w:t>
      </w:r>
      <w:r>
        <w:rPr>
          <w:rFonts w:ascii="Arial" w:cs="Arial" w:eastAsia="Arial" w:hAnsi="Arial"/>
          <w:sz w:val="18"/>
          <w:szCs w:val="18"/>
          <w:color w:val="auto"/>
        </w:rPr>
        <w:t>means any Retirement that occurs prior to December 31, 2018.</w:t>
      </w:r>
    </w:p>
    <w:p>
      <w:pPr>
        <w:spacing w:after="0" w:line="130" w:lineRule="exact"/>
        <w:rPr>
          <w:rFonts w:ascii="Arial" w:cs="Arial" w:eastAsia="Arial" w:hAnsi="Arial"/>
          <w:sz w:val="18"/>
          <w:szCs w:val="18"/>
          <w:color w:val="auto"/>
        </w:rPr>
      </w:pPr>
    </w:p>
    <w:p>
      <w:pPr>
        <w:ind w:left="1480" w:right="20" w:hanging="567"/>
        <w:spacing w:after="0" w:line="291" w:lineRule="auto"/>
        <w:tabs>
          <w:tab w:leader="none" w:pos="1480" w:val="left"/>
        </w:tabs>
        <w:numPr>
          <w:ilvl w:val="2"/>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Retirement </w:t>
      </w:r>
      <w:r>
        <w:rPr>
          <w:rFonts w:ascii="Arial" w:cs="Arial" w:eastAsia="Arial" w:hAnsi="Arial"/>
          <w:sz w:val="16"/>
          <w:szCs w:val="16"/>
          <w:color w:val="auto"/>
        </w:rPr>
        <w:t>means Termination of Employment due to voluntary resignation of employment by Employee after Employee (1) has reached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 55 or greater; (2) has a sum of age plus years of Service (as defined in paragraph ii. below) with WM equal to 65 or greater; and</w:t>
      </w:r>
    </w:p>
    <w:p>
      <w:pPr>
        <w:ind w:left="1480"/>
        <w:spacing w:after="0"/>
        <w:rPr>
          <w:rFonts w:ascii="Arial" w:cs="Arial" w:eastAsia="Arial" w:hAnsi="Arial"/>
          <w:sz w:val="16"/>
          <w:szCs w:val="16"/>
          <w:color w:val="auto"/>
        </w:rPr>
      </w:pPr>
      <w:r>
        <w:rPr>
          <w:rFonts w:ascii="Arial" w:cs="Arial" w:eastAsia="Arial" w:hAnsi="Arial"/>
          <w:sz w:val="16"/>
          <w:szCs w:val="16"/>
          <w:color w:val="auto"/>
        </w:rPr>
        <w:t>(3) has completed at least 5 consecutive full years of Service with WM during the 5 year period immediately preceding the resignation.</w:t>
      </w:r>
    </w:p>
    <w:p>
      <w:pPr>
        <w:spacing w:after="0" w:line="139" w:lineRule="exact"/>
        <w:rPr>
          <w:rFonts w:ascii="Arial" w:cs="Arial" w:eastAsia="Arial" w:hAnsi="Arial"/>
          <w:sz w:val="16"/>
          <w:szCs w:val="16"/>
          <w:color w:val="auto"/>
        </w:rPr>
      </w:pPr>
    </w:p>
    <w:p>
      <w:pPr>
        <w:ind w:left="1480" w:right="240" w:hanging="567"/>
        <w:spacing w:after="0" w:line="255" w:lineRule="auto"/>
        <w:tabs>
          <w:tab w:leader="none" w:pos="1480" w:val="left"/>
        </w:tabs>
        <w:numPr>
          <w:ilvl w:val="2"/>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Service </w:t>
      </w:r>
      <w:r>
        <w:rPr>
          <w:rFonts w:ascii="Arial" w:cs="Arial" w:eastAsia="Arial" w:hAnsi="Arial"/>
          <w:sz w:val="18"/>
          <w:szCs w:val="18"/>
          <w:color w:val="auto"/>
        </w:rPr>
        <w:t>is measured from Employee’s original date of hire by WM, except as provided below. In the case of a break of employment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98" w:lineRule="exact"/>
        <w:rPr>
          <w:rFonts w:ascii="Arial" w:cs="Arial" w:eastAsia="Arial" w:hAnsi="Arial"/>
          <w:sz w:val="18"/>
          <w:szCs w:val="18"/>
          <w:color w:val="auto"/>
        </w:rPr>
      </w:pPr>
    </w:p>
    <w:p>
      <w:pPr>
        <w:ind w:left="1480" w:hanging="567"/>
        <w:spacing w:after="0"/>
        <w:tabs>
          <w:tab w:leader="none" w:pos="1480" w:val="left"/>
        </w:tabs>
        <w:numPr>
          <w:ilvl w:val="2"/>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Retirement </w:t>
      </w:r>
      <w:r>
        <w:rPr>
          <w:rFonts w:ascii="Arial" w:cs="Arial" w:eastAsia="Arial" w:hAnsi="Arial"/>
          <w:sz w:val="18"/>
          <w:szCs w:val="18"/>
          <w:color w:val="auto"/>
        </w:rPr>
        <w:t>means any Retirement that occurs on or after December 31, 2018.</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Treatment of Stock Option Award upon Involuntary Termination; Resignation; Retirement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100" w:hanging="446"/>
        <w:spacing w:after="0" w:line="257"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Involuntary Termination of Employment Without Cause or Resignation by Employee</w:t>
      </w:r>
      <w:r>
        <w:rPr>
          <w:rFonts w:ascii="Arial" w:cs="Arial" w:eastAsia="Arial" w:hAnsi="Arial"/>
          <w:sz w:val="18"/>
          <w:szCs w:val="18"/>
          <w:color w:val="auto"/>
        </w:rPr>
        <w:t>. Upon an involuntary Termination of Employment without Cause by WM or a Termination of Employment due to a voluntary resignation by Employee that is accepted by WM that is not a Retirement (as defined above), for a period of 90 days following such Termination of Employment, Employee shall be entitled to exercise all of the Stock Options then outstanding and exercisable under the Stock Option Award. Any Stock Options that are not outstanding and exercisable shall be forfeited.</w:t>
      </w:r>
    </w:p>
    <w:p>
      <w:pPr>
        <w:spacing w:after="0" w:line="93"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Upon Employee’s Retirement (whether Special Retirement or Normal Retirement), the Stock Option Award shall continue to become exercisable under the applicable exercise schedule for three years following Employee’s Retirement and once exercisable shall remain exercisable for the three-year period following Employee’s Retirement.</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for Other Reasons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20" w:hanging="446"/>
        <w:spacing w:after="0" w:line="276" w:lineRule="auto"/>
        <w:tabs>
          <w:tab w:leader="none" w:pos="900"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PSU Award in the Event of Involuntary Termination with Cause or Resignation by Employee</w:t>
      </w:r>
      <w:r>
        <w:rPr>
          <w:rFonts w:ascii="Arial" w:cs="Arial" w:eastAsia="Arial" w:hAnsi="Arial"/>
          <w:sz w:val="17"/>
          <w:szCs w:val="17"/>
          <w:color w:val="auto"/>
        </w:rPr>
        <w:t>. Except as provided in paragraphs 1 through 2 above and 6 below, Employee must be an employee of WM continuously from the Grant Date through the close of business on last day of the Performance Period to be entitled to receive payment of any PSU Award. Upon Termination of Employment on or before December 31, 2019, for any reason other than any termination that would qualify Employee for payout under paragraphs 1 through 2 above and 6 below, Employee shall immediately forfeit the PSU Award and any related Dividend Equivalents without payment of any consideration by WM.</w:t>
      </w:r>
    </w:p>
    <w:p>
      <w:pPr>
        <w:spacing w:after="0" w:line="77" w:lineRule="exact"/>
        <w:rPr>
          <w:rFonts w:ascii="Arial" w:cs="Arial" w:eastAsia="Arial" w:hAnsi="Arial"/>
          <w:sz w:val="17"/>
          <w:szCs w:val="17"/>
          <w:color w:val="auto"/>
        </w:rPr>
      </w:pPr>
    </w:p>
    <w:p>
      <w:pPr>
        <w:ind w:left="900" w:right="40" w:hanging="446"/>
        <w:spacing w:after="0" w:line="308" w:lineRule="auto"/>
        <w:tabs>
          <w:tab w:leader="none" w:pos="900"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Stock Option Award in the Event of Involuntary Termination with Cause</w:t>
      </w:r>
      <w:r>
        <w:rPr>
          <w:rFonts w:ascii="Arial" w:cs="Arial" w:eastAsia="Arial" w:hAnsi="Arial"/>
          <w:sz w:val="17"/>
          <w:szCs w:val="17"/>
          <w:color w:val="auto"/>
        </w:rPr>
        <w:t>. Upon Termination of Employment by WM with Cause, Employee shall forfeit all Stock Options under the Stock Option Award, whether or not exercisable, without the payment of any consideration by WM.</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7" w:name="page28"/>
    <w:bookmarkEnd w:id="27"/>
    <w:p>
      <w:pPr>
        <w:ind w:left="452" w:hanging="452"/>
        <w:spacing w:after="0"/>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Repayment of Award in the Event of Misconduct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hanging="446"/>
        <w:spacing w:after="0" w:line="271" w:lineRule="auto"/>
        <w:tabs>
          <w:tab w:leader="none" w:pos="892"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17"/>
          <w:szCs w:val="17"/>
          <w:b w:val="1"/>
          <w:bCs w:val="1"/>
          <w:i w:val="1"/>
          <w:iCs w:val="1"/>
          <w:color w:val="auto"/>
        </w:rPr>
        <w:t>Misconduct</w:t>
      </w:r>
      <w:r>
        <w:rPr>
          <w:rFonts w:ascii="Arial" w:cs="Arial" w:eastAsia="Arial" w:hAnsi="Arial"/>
          <w:sz w:val="17"/>
          <w:szCs w:val="17"/>
          <w:color w:val="auto"/>
        </w:rPr>
        <w:t xml:space="preserve"> means any act or failure to act by any employee of WM that (i) caused or was intended to cause a violation of WM’s policies or the WM code of conduct, generally accepted accounting principles or any applicable laws in effect at the time of the act or failure to act in question and that (ii) materially increased the value of the payment or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17"/>
          <w:szCs w:val="17"/>
          <w:b w:val="1"/>
          <w:bCs w:val="1"/>
          <w:i w:val="1"/>
          <w:iCs w:val="1"/>
          <w:color w:val="auto"/>
        </w:rPr>
        <w:t>Independent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Third Party</w:t>
      </w:r>
      <w:r>
        <w:rPr>
          <w:rFonts w:ascii="Arial" w:cs="Arial" w:eastAsia="Arial" w:hAnsi="Arial"/>
          <w:sz w:val="17"/>
          <w:szCs w:val="17"/>
          <w:color w:val="auto"/>
        </w:rPr>
        <w:t>) appointed by the Committee.</w:t>
      </w:r>
    </w:p>
    <w:p>
      <w:pPr>
        <w:spacing w:after="0" w:line="84" w:lineRule="exact"/>
        <w:rPr>
          <w:rFonts w:ascii="Arial" w:cs="Arial" w:eastAsia="Arial" w:hAnsi="Arial"/>
          <w:sz w:val="17"/>
          <w:szCs w:val="17"/>
          <w:color w:val="auto"/>
        </w:rPr>
      </w:pPr>
    </w:p>
    <w:p>
      <w:pPr>
        <w:jc w:val="both"/>
        <w:ind w:left="892" w:right="60" w:hanging="446"/>
        <w:spacing w:after="0" w:line="286" w:lineRule="auto"/>
        <w:tabs>
          <w:tab w:leader="none" w:pos="892" w:val="left"/>
        </w:tabs>
        <w:numPr>
          <w:ilvl w:val="1"/>
          <w:numId w:val="40"/>
        </w:numPr>
        <w:rPr>
          <w:rFonts w:ascii="Arial" w:cs="Arial" w:eastAsia="Arial" w:hAnsi="Arial"/>
          <w:sz w:val="17"/>
          <w:szCs w:val="17"/>
          <w:color w:val="auto"/>
        </w:rPr>
      </w:pPr>
      <w:r>
        <w:rPr>
          <w:rFonts w:ascii="Arial" w:cs="Arial" w:eastAsia="Arial" w:hAnsi="Arial"/>
          <w:sz w:val="17"/>
          <w:szCs w:val="17"/>
          <w:color w:val="auto"/>
        </w:rPr>
        <w:t>Following a determination of Misconduct by Employee, Employee may dispute such determination pursuant to binding arbitration as set forth in paragraph 18 under “General Terms” provided, however, that if Employee is determined to have benefited from, but not engaged in, Misconduct, Employee will have no right to dispute such determination and such determination shall be conclusive and binding.</w:t>
      </w:r>
    </w:p>
    <w:p>
      <w:pPr>
        <w:spacing w:after="0" w:line="70" w:lineRule="exact"/>
        <w:rPr>
          <w:rFonts w:ascii="Arial" w:cs="Arial" w:eastAsia="Arial" w:hAnsi="Arial"/>
          <w:sz w:val="17"/>
          <w:szCs w:val="17"/>
          <w:color w:val="auto"/>
        </w:rPr>
      </w:pPr>
    </w:p>
    <w:p>
      <w:pPr>
        <w:ind w:left="892" w:right="300" w:hanging="446"/>
        <w:spacing w:after="0" w:line="277" w:lineRule="auto"/>
        <w:tabs>
          <w:tab w:leader="none" w:pos="892" w:val="left"/>
        </w:tabs>
        <w:numPr>
          <w:ilvl w:val="1"/>
          <w:numId w:val="40"/>
        </w:numPr>
        <w:rPr>
          <w:rFonts w:ascii="Arial" w:cs="Arial" w:eastAsia="Arial" w:hAnsi="Arial"/>
          <w:sz w:val="18"/>
          <w:szCs w:val="18"/>
          <w:color w:val="auto"/>
        </w:rPr>
      </w:pPr>
      <w:r>
        <w:rPr>
          <w:rFonts w:ascii="Arial" w:cs="Arial" w:eastAsia="Arial" w:hAnsi="Arial"/>
          <w:sz w:val="18"/>
          <w:szCs w:val="18"/>
          <w:color w:val="auto"/>
        </w:rPr>
        <w:t>WM must initiate recovery pursuant to this paragraph 5 by the earliest of (i) one year after discovery of alleged Misconduct, or (ii) the second anniversary of Employee’s Termination of Employment.</w:t>
      </w:r>
    </w:p>
    <w:p>
      <w:pPr>
        <w:spacing w:after="0" w:line="75" w:lineRule="exact"/>
        <w:rPr>
          <w:rFonts w:ascii="Arial" w:cs="Arial" w:eastAsia="Arial" w:hAnsi="Arial"/>
          <w:sz w:val="18"/>
          <w:szCs w:val="18"/>
          <w:color w:val="auto"/>
        </w:rPr>
      </w:pPr>
    </w:p>
    <w:p>
      <w:pPr>
        <w:ind w:left="892" w:right="820" w:hanging="446"/>
        <w:spacing w:after="0" w:line="277" w:lineRule="auto"/>
        <w:tabs>
          <w:tab w:leader="none" w:pos="89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provisions of this paragraph 5, without any implication as to any other provision of this Agreement, shall survive the expiration or termination of this Agreement and Employee’s employment.</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 Overriding any other inconsistent terms of this Agreement:</w:t>
      </w:r>
    </w:p>
    <w:p>
      <w:pPr>
        <w:spacing w:after="0" w:line="130" w:lineRule="exact"/>
        <w:rPr>
          <w:rFonts w:ascii="Arial" w:cs="Arial" w:eastAsia="Arial" w:hAnsi="Arial"/>
          <w:sz w:val="18"/>
          <w:szCs w:val="18"/>
          <w:color w:val="auto"/>
        </w:rPr>
      </w:pPr>
    </w:p>
    <w:p>
      <w:pPr>
        <w:ind w:left="892" w:right="500" w:hanging="446"/>
        <w:spacing w:after="0" w:line="277" w:lineRule="auto"/>
        <w:tabs>
          <w:tab w:leader="none" w:pos="89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PSU Award</w:t>
      </w:r>
      <w:r>
        <w:rPr>
          <w:rFonts w:ascii="Arial" w:cs="Arial" w:eastAsia="Arial" w:hAnsi="Arial"/>
          <w:sz w:val="18"/>
          <w:szCs w:val="18"/>
          <w:color w:val="auto"/>
        </w:rPr>
        <w:t xml:space="preserve">. If there is 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xml:space="preserve"> (as defined in paragraph 6.c.i. below) before the close of the Performance Period, Employee is entitled to receive both i. and ii., as follows:</w:t>
      </w:r>
    </w:p>
    <w:p>
      <w:pPr>
        <w:spacing w:after="0" w:line="75" w:lineRule="exact"/>
        <w:rPr>
          <w:rFonts w:ascii="Arial" w:cs="Arial" w:eastAsia="Arial" w:hAnsi="Arial"/>
          <w:sz w:val="18"/>
          <w:szCs w:val="18"/>
          <w:color w:val="auto"/>
        </w:rPr>
      </w:pPr>
    </w:p>
    <w:p>
      <w:pPr>
        <w:ind w:left="1472" w:hanging="567"/>
        <w:spacing w:after="0"/>
        <w:tabs>
          <w:tab w:leader="none" w:pos="1472" w:val="left"/>
        </w:tabs>
        <w:numPr>
          <w:ilvl w:val="2"/>
          <w:numId w:val="40"/>
        </w:numPr>
        <w:rPr>
          <w:rFonts w:ascii="Arial" w:cs="Arial" w:eastAsia="Arial" w:hAnsi="Arial"/>
          <w:sz w:val="18"/>
          <w:szCs w:val="18"/>
          <w:color w:val="auto"/>
        </w:rPr>
      </w:pPr>
      <w:r>
        <w:rPr>
          <w:rFonts w:ascii="Arial" w:cs="Arial" w:eastAsia="Arial" w:hAnsi="Arial"/>
          <w:sz w:val="18"/>
          <w:szCs w:val="18"/>
          <w:color w:val="auto"/>
        </w:rPr>
        <w:t>For each half of the PSU Award, the result of an equation with a numerator of</w:t>
      </w:r>
    </w:p>
    <w:p>
      <w:pPr>
        <w:spacing w:after="0" w:line="130" w:lineRule="exact"/>
        <w:rPr>
          <w:rFonts w:ascii="Arial" w:cs="Arial" w:eastAsia="Arial" w:hAnsi="Arial"/>
          <w:sz w:val="18"/>
          <w:szCs w:val="18"/>
          <w:color w:val="auto"/>
        </w:rPr>
      </w:pPr>
    </w:p>
    <w:p>
      <w:pPr>
        <w:ind w:left="1912" w:right="180" w:hanging="440"/>
        <w:spacing w:after="0" w:line="302" w:lineRule="auto"/>
        <w:tabs>
          <w:tab w:leader="none" w:pos="1912" w:val="left"/>
        </w:tabs>
        <w:numPr>
          <w:ilvl w:val="3"/>
          <w:numId w:val="40"/>
        </w:numPr>
        <w:rPr>
          <w:rFonts w:ascii="Arial" w:cs="Arial" w:eastAsia="Arial" w:hAnsi="Arial"/>
          <w:sz w:val="16"/>
          <w:szCs w:val="16"/>
          <w:color w:val="auto"/>
        </w:rPr>
      </w:pPr>
      <w:r>
        <w:rPr>
          <w:rFonts w:ascii="Arial" w:cs="Arial" w:eastAsia="Arial" w:hAnsi="Arial"/>
          <w:sz w:val="16"/>
          <w:szCs w:val="16"/>
          <w:color w:val="auto"/>
        </w:rPr>
        <w:t>the respective number of PSUs Employee would have otherwise received based upon achievement of the applicable Performance Goal after reducing the Performance Period so that it ends on the last day of the quarter preceding the Change in Control (the “</w:t>
      </w:r>
      <w:r>
        <w:rPr>
          <w:rFonts w:ascii="Arial" w:cs="Arial" w:eastAsia="Arial" w:hAnsi="Arial"/>
          <w:sz w:val="16"/>
          <w:szCs w:val="16"/>
          <w:b w:val="1"/>
          <w:bCs w:val="1"/>
          <w:i w:val="1"/>
          <w:iCs w:val="1"/>
          <w:color w:val="auto"/>
        </w:rPr>
        <w:t>Early Measurement Date</w:t>
      </w:r>
      <w:r>
        <w:rPr>
          <w:rFonts w:ascii="Arial" w:cs="Arial" w:eastAsia="Arial" w:hAnsi="Arial"/>
          <w:sz w:val="16"/>
          <w:szCs w:val="16"/>
          <w:color w:val="auto"/>
        </w:rPr>
        <w:t>”) and, for the Adjusted Free Cash Flow half of the PSU Award, after adjusting the Threshold, Target and Maximum Achievement Levels to reflect budgeted performance in the shorter Performance Period, multiplied by</w:t>
      </w:r>
    </w:p>
    <w:p>
      <w:pPr>
        <w:spacing w:after="0" w:line="59" w:lineRule="exact"/>
        <w:rPr>
          <w:rFonts w:ascii="Arial" w:cs="Arial" w:eastAsia="Arial" w:hAnsi="Arial"/>
          <w:sz w:val="16"/>
          <w:szCs w:val="16"/>
          <w:color w:val="auto"/>
        </w:rPr>
      </w:pPr>
    </w:p>
    <w:p>
      <w:pPr>
        <w:ind w:left="1912" w:right="120" w:hanging="440"/>
        <w:spacing w:after="0" w:line="277" w:lineRule="auto"/>
        <w:tabs>
          <w:tab w:leader="none" w:pos="1912" w:val="left"/>
        </w:tabs>
        <w:numPr>
          <w:ilvl w:val="3"/>
          <w:numId w:val="40"/>
        </w:numPr>
        <w:rPr>
          <w:rFonts w:ascii="Arial" w:cs="Arial" w:eastAsia="Arial" w:hAnsi="Arial"/>
          <w:sz w:val="18"/>
          <w:szCs w:val="18"/>
          <w:color w:val="auto"/>
        </w:rPr>
      </w:pPr>
      <w:r>
        <w:rPr>
          <w:rFonts w:ascii="Arial" w:cs="Arial" w:eastAsia="Arial" w:hAnsi="Arial"/>
          <w:sz w:val="18"/>
          <w:szCs w:val="18"/>
          <w:color w:val="auto"/>
        </w:rPr>
        <w:t>a fraction equal to (1) the number of days occurring between the beginning of the Performance Period and the Early Measurement Date (including the Early Measurement Date) divided by (2) 1095.</w:t>
      </w:r>
    </w:p>
    <w:p>
      <w:pPr>
        <w:spacing w:after="0" w:line="62" w:lineRule="exact"/>
        <w:rPr>
          <w:sz w:val="20"/>
          <w:szCs w:val="20"/>
          <w:color w:val="auto"/>
        </w:rPr>
      </w:pPr>
    </w:p>
    <w:p>
      <w:pPr>
        <w:jc w:val="both"/>
        <w:ind w:left="1492" w:right="120"/>
        <w:spacing w:after="0" w:line="312" w:lineRule="auto"/>
        <w:rPr>
          <w:sz w:val="20"/>
          <w:szCs w:val="20"/>
          <w:color w:val="auto"/>
        </w:rPr>
      </w:pPr>
      <w:r>
        <w:rPr>
          <w:rFonts w:ascii="Arial" w:cs="Arial" w:eastAsia="Arial" w:hAnsi="Arial"/>
          <w:sz w:val="16"/>
          <w:szCs w:val="16"/>
          <w:color w:val="auto"/>
        </w:rPr>
        <w:t>Payout of the PSUs shall be an immediate cash payment (in all events paid within 74 days following the Change in Control) equal to the number of PSUs earned under this paragraph 6.a. multiplied by the closing stock price of the Common Stock on the Early Measurement Date and will be accompanied by a cash payment of the associated Dividend Equivalents through the Early Measurement Date; and</w:t>
      </w:r>
    </w:p>
    <w:p>
      <w:pPr>
        <w:spacing w:after="0" w:line="52" w:lineRule="exact"/>
        <w:rPr>
          <w:sz w:val="20"/>
          <w:szCs w:val="20"/>
          <w:color w:val="auto"/>
        </w:rPr>
      </w:pPr>
    </w:p>
    <w:p>
      <w:pPr>
        <w:ind w:left="1472" w:hanging="567"/>
        <w:spacing w:after="0"/>
        <w:tabs>
          <w:tab w:leader="none" w:pos="1472" w:val="left"/>
        </w:tabs>
        <w:numPr>
          <w:ilvl w:val="0"/>
          <w:numId w:val="41"/>
        </w:numPr>
        <w:rPr>
          <w:rFonts w:ascii="Arial" w:cs="Arial" w:eastAsia="Arial" w:hAnsi="Arial"/>
          <w:sz w:val="17"/>
          <w:szCs w:val="17"/>
          <w:color w:val="auto"/>
        </w:rPr>
      </w:pPr>
      <w:r>
        <w:rPr>
          <w:rFonts w:ascii="Arial" w:cs="Arial" w:eastAsia="Arial" w:hAnsi="Arial"/>
          <w:sz w:val="17"/>
          <w:szCs w:val="17"/>
          <w:color w:val="auto"/>
        </w:rPr>
        <w:t>As a substitute award for the lost opportunity to continue to earn PSUs for the entire length of the original Performance Period:</w:t>
      </w:r>
    </w:p>
    <w:p>
      <w:pPr>
        <w:spacing w:after="0" w:line="142" w:lineRule="exact"/>
        <w:rPr>
          <w:rFonts w:ascii="Arial" w:cs="Arial" w:eastAsia="Arial" w:hAnsi="Arial"/>
          <w:sz w:val="17"/>
          <w:szCs w:val="17"/>
          <w:color w:val="auto"/>
        </w:rPr>
      </w:pPr>
    </w:p>
    <w:p>
      <w:pPr>
        <w:ind w:left="1912" w:hanging="440"/>
        <w:spacing w:after="0" w:line="286" w:lineRule="auto"/>
        <w:tabs>
          <w:tab w:leader="none" w:pos="1912" w:val="left"/>
        </w:tabs>
        <w:numPr>
          <w:ilvl w:val="1"/>
          <w:numId w:val="41"/>
        </w:numPr>
        <w:rPr>
          <w:rFonts w:ascii="Arial" w:cs="Arial" w:eastAsia="Arial" w:hAnsi="Arial"/>
          <w:sz w:val="17"/>
          <w:szCs w:val="17"/>
          <w:color w:val="auto"/>
        </w:rPr>
      </w:pPr>
      <w:r>
        <w:rPr>
          <w:rFonts w:ascii="Arial" w:cs="Arial" w:eastAsia="Arial" w:hAnsi="Arial"/>
          <w:sz w:val="17"/>
          <w:szCs w:val="17"/>
          <w:color w:val="auto"/>
        </w:rPr>
        <w:t>If the successor entity is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28" w:name="page29"/>
    <w:bookmarkEnd w:id="28"/>
    <w:p>
      <w:pPr>
        <w:jc w:val="center"/>
        <w:ind w:right="41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 X (1095 – EMD) x CP</w:t>
      </w:r>
    </w:p>
    <w:p>
      <w:pPr>
        <w:spacing w:after="0" w:line="27"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1095</w:t>
      </w:r>
    </w:p>
    <w:p>
      <w:pPr>
        <w:spacing w:after="0" w:line="103" w:lineRule="exact"/>
        <w:rPr>
          <w:sz w:val="20"/>
          <w:szCs w:val="20"/>
          <w:color w:val="auto"/>
        </w:rPr>
      </w:pPr>
    </w:p>
    <w:p>
      <w:pPr>
        <w:ind w:left="1646"/>
        <w:spacing w:after="0"/>
        <w:rPr>
          <w:sz w:val="20"/>
          <w:szCs w:val="20"/>
          <w:color w:val="auto"/>
        </w:rPr>
      </w:pPr>
      <w:r>
        <w:rPr>
          <w:rFonts w:ascii="Arial" w:cs="Arial" w:eastAsia="Arial" w:hAnsi="Arial"/>
          <w:sz w:val="18"/>
          <w:szCs w:val="18"/>
          <w:color w:val="auto"/>
        </w:rPr>
        <w:t>where</w:t>
      </w:r>
    </w:p>
    <w:p>
      <w:pPr>
        <w:spacing w:after="0" w:line="113" w:lineRule="exact"/>
        <w:rPr>
          <w:sz w:val="20"/>
          <w:szCs w:val="20"/>
          <w:color w:val="auto"/>
        </w:rPr>
      </w:pPr>
    </w:p>
    <w:p>
      <w:pPr>
        <w:ind w:left="2086"/>
        <w:spacing w:after="0"/>
        <w:rPr>
          <w:sz w:val="20"/>
          <w:szCs w:val="20"/>
          <w:color w:val="auto"/>
        </w:rPr>
      </w:pPr>
      <w:r>
        <w:rPr>
          <w:rFonts w:ascii="Arial" w:cs="Arial" w:eastAsia="Arial" w:hAnsi="Arial"/>
          <w:sz w:val="18"/>
          <w:szCs w:val="18"/>
          <w:b w:val="1"/>
          <w:bCs w:val="1"/>
          <w:color w:val="auto"/>
        </w:rPr>
        <w:t xml:space="preserve">TAP </w:t>
      </w:r>
      <w:r>
        <w:rPr>
          <w:rFonts w:ascii="Arial" w:cs="Arial" w:eastAsia="Arial" w:hAnsi="Arial"/>
          <w:sz w:val="18"/>
          <w:szCs w:val="18"/>
          <w:color w:val="auto"/>
        </w:rPr>
        <w:t>is the number of PSUs represented by the Target PSU Award;</w:t>
      </w:r>
    </w:p>
    <w:p>
      <w:pPr>
        <w:spacing w:after="0" w:line="117" w:lineRule="exact"/>
        <w:rPr>
          <w:sz w:val="20"/>
          <w:szCs w:val="20"/>
          <w:color w:val="auto"/>
        </w:rPr>
      </w:pPr>
    </w:p>
    <w:p>
      <w:pPr>
        <w:ind w:left="1726" w:right="320" w:firstLine="370"/>
        <w:spacing w:after="0" w:line="282" w:lineRule="auto"/>
        <w:rPr>
          <w:sz w:val="20"/>
          <w:szCs w:val="20"/>
          <w:color w:val="auto"/>
        </w:rPr>
      </w:pPr>
      <w:r>
        <w:rPr>
          <w:rFonts w:ascii="Arial" w:cs="Arial" w:eastAsia="Arial" w:hAnsi="Arial"/>
          <w:sz w:val="18"/>
          <w:szCs w:val="18"/>
          <w:b w:val="1"/>
          <w:bCs w:val="1"/>
          <w:color w:val="auto"/>
        </w:rPr>
        <w:t xml:space="preserve">EMD </w:t>
      </w:r>
      <w:r>
        <w:rPr>
          <w:rFonts w:ascii="Arial" w:cs="Arial" w:eastAsia="Arial" w:hAnsi="Arial"/>
          <w:sz w:val="18"/>
          <w:szCs w:val="18"/>
          <w:color w:val="auto"/>
        </w:rPr>
        <w:t>is the number of days during the Performance Period which occur prior to and including the Early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 and</w:t>
      </w:r>
    </w:p>
    <w:p>
      <w:pPr>
        <w:spacing w:after="0" w:line="54" w:lineRule="exact"/>
        <w:rPr>
          <w:sz w:val="20"/>
          <w:szCs w:val="20"/>
          <w:color w:val="auto"/>
        </w:rPr>
      </w:pPr>
    </w:p>
    <w:p>
      <w:pPr>
        <w:ind w:left="2086"/>
        <w:spacing w:after="0"/>
        <w:rPr>
          <w:sz w:val="20"/>
          <w:szCs w:val="20"/>
          <w:color w:val="auto"/>
        </w:rPr>
      </w:pPr>
      <w:r>
        <w:rPr>
          <w:rFonts w:ascii="Arial" w:cs="Arial" w:eastAsia="Arial" w:hAnsi="Arial"/>
          <w:sz w:val="18"/>
          <w:szCs w:val="18"/>
          <w:b w:val="1"/>
          <w:bCs w:val="1"/>
          <w:color w:val="auto"/>
        </w:rPr>
        <w:t xml:space="preserve">CP </w:t>
      </w:r>
      <w:r>
        <w:rPr>
          <w:rFonts w:ascii="Arial" w:cs="Arial" w:eastAsia="Arial" w:hAnsi="Arial"/>
          <w:sz w:val="18"/>
          <w:szCs w:val="18"/>
          <w:color w:val="auto"/>
        </w:rPr>
        <w:t>is the closing price of a share of Common Stock of the Company on the Early Measurement Date.</w:t>
      </w:r>
    </w:p>
    <w:p>
      <w:pPr>
        <w:spacing w:after="0" w:line="121" w:lineRule="exact"/>
        <w:rPr>
          <w:sz w:val="20"/>
          <w:szCs w:val="20"/>
          <w:color w:val="auto"/>
        </w:rPr>
      </w:pPr>
    </w:p>
    <w:p>
      <w:pPr>
        <w:ind w:left="1486" w:right="20"/>
        <w:spacing w:after="0" w:line="272" w:lineRule="auto"/>
        <w:rPr>
          <w:sz w:val="20"/>
          <w:szCs w:val="20"/>
          <w:color w:val="auto"/>
        </w:rPr>
      </w:pPr>
      <w:r>
        <w:rPr>
          <w:rFonts w:ascii="Arial" w:cs="Arial" w:eastAsia="Arial" w:hAnsi="Arial"/>
          <w:sz w:val="17"/>
          <w:szCs w:val="17"/>
          <w:color w:val="auto"/>
        </w:rPr>
        <w:t xml:space="preserve">Any restricted stock units in the successor entity awarded under this paragraph 6.a.ii.1. will vest completely on December 31, 2019 (and be paid within 74 days thereof), provided that Employee remains continuously employed with the successor entity until then. Provided however, in the event of Employee’s involuntary Termination of Employment without Cause during the </w:t>
      </w:r>
      <w:r>
        <w:rPr>
          <w:rFonts w:ascii="Arial" w:cs="Arial" w:eastAsia="Arial" w:hAnsi="Arial"/>
          <w:sz w:val="17"/>
          <w:szCs w:val="17"/>
          <w:b w:val="1"/>
          <w:bCs w:val="1"/>
          <w:i w:val="1"/>
          <w:iCs w:val="1"/>
          <w:color w:val="auto"/>
        </w:rPr>
        <w:t>Window Period</w:t>
      </w:r>
      <w:r>
        <w:rPr>
          <w:rFonts w:ascii="Arial" w:cs="Arial" w:eastAsia="Arial" w:hAnsi="Arial"/>
          <w:sz w:val="17"/>
          <w:szCs w:val="17"/>
          <w:color w:val="auto"/>
        </w:rPr>
        <w:t xml:space="preserve"> (as defined in paragraph c.iv. below), or upon Employee’s Retirement, death or Disability, Employee shall become immediately vested in full in the restricted stock units in the successor entity awarded pursuant to this paragraph 6.a.ii.1 and paid (i) in the case of death or Disability, within 74 days of such time or (ii) in the case of Retirement or involuntary Termination of Employment without Cause, within 74 days following December 31, 2019.</w:t>
      </w:r>
    </w:p>
    <w:p>
      <w:pPr>
        <w:spacing w:after="0" w:line="83" w:lineRule="exact"/>
        <w:rPr>
          <w:sz w:val="20"/>
          <w:szCs w:val="20"/>
          <w:color w:val="auto"/>
        </w:rPr>
      </w:pPr>
    </w:p>
    <w:p>
      <w:pPr>
        <w:ind w:left="1466" w:right="80" w:hanging="440"/>
        <w:spacing w:after="0" w:line="277" w:lineRule="auto"/>
        <w:tabs>
          <w:tab w:leader="none" w:pos="14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successor entity is not a publicly traded company as of the Early Measurement Date, an amount of cash equal to the quotient obtained from the equation in paragraph 6.a.ii.1. above.</w:t>
      </w:r>
    </w:p>
    <w:p>
      <w:pPr>
        <w:spacing w:after="0" w:line="62" w:lineRule="exact"/>
        <w:rPr>
          <w:sz w:val="20"/>
          <w:szCs w:val="20"/>
          <w:color w:val="auto"/>
        </w:rPr>
      </w:pPr>
    </w:p>
    <w:p>
      <w:pPr>
        <w:ind w:left="1486" w:right="220"/>
        <w:spacing w:after="0" w:line="293" w:lineRule="auto"/>
        <w:rPr>
          <w:sz w:val="20"/>
          <w:szCs w:val="20"/>
          <w:color w:val="auto"/>
        </w:rPr>
      </w:pPr>
      <w:r>
        <w:rPr>
          <w:rFonts w:ascii="Arial" w:cs="Arial" w:eastAsia="Arial" w:hAnsi="Arial"/>
          <w:sz w:val="16"/>
          <w:szCs w:val="16"/>
          <w:color w:val="auto"/>
        </w:rPr>
        <w:t>Any cash payment awarded under this paragraph 6.a.ii.2. will be paid to Employee as soon as administratively feasible (and no later than 74 days) following December 31, 2019, provided that Employee remains continuously employed with the successor entity until such date. Provided however, in the event of Employee’s involuntary Termination of Employment without Cause during the Window Period or upon Employee’s Retirement, death or Disability, Employee shall become vested and be paid such cash payment by the successor entity (i) in the case of death or Disability, within 74 days of such time or (ii) in the case of Retirement or involuntary Termination of Employment without Cause, within 74 days following December 31, 2019.</w:t>
      </w:r>
    </w:p>
    <w:p>
      <w:pPr>
        <w:spacing w:after="0" w:line="70" w:lineRule="exact"/>
        <w:rPr>
          <w:sz w:val="20"/>
          <w:szCs w:val="20"/>
          <w:color w:val="auto"/>
        </w:rPr>
      </w:pPr>
    </w:p>
    <w:p>
      <w:pPr>
        <w:ind w:left="446" w:right="40" w:hanging="446"/>
        <w:spacing w:after="0" w:line="270" w:lineRule="auto"/>
        <w:tabs>
          <w:tab w:leader="none" w:pos="446"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Stock Option Award</w:t>
      </w:r>
      <w:r>
        <w:rPr>
          <w:rFonts w:ascii="Arial" w:cs="Arial" w:eastAsia="Arial" w:hAnsi="Arial"/>
          <w:sz w:val="17"/>
          <w:szCs w:val="17"/>
          <w:color w:val="auto"/>
        </w:rPr>
        <w:t>. In the event of Employee’s involuntary Termination of Employment without Cause or Termination of Employment due to a resignation by Employee for Good Reason that, in either case, occurs on or before the second anniversary of a Change in Control, the Stock Option Award shall become exercisable immediately (whether or not previously exercisable) and shall remain exercisable for the three year period following such Termination of Employment. For this purpose,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has the same meaning determined by Employee’s written employment agreement in effect on the Grant Date. In the event there is no such agreement or definition, then Good Reason means the initial existence of one or more of the following conditions, arising without the consent of the Employee: (1) a material diminution in Employee’s base compensation; (2) a material diminution in Employee’s authority, duties, or responsibilities, so as to effectively cause Employee to no longer be performing the duties of his position; (3) a material diminution in the authority, duties, or responsibilities of the supervisor to whom Employee is required to report.</w:t>
      </w:r>
    </w:p>
    <w:p>
      <w:pPr>
        <w:spacing w:after="0" w:line="87" w:lineRule="exact"/>
        <w:rPr>
          <w:rFonts w:ascii="Arial" w:cs="Arial" w:eastAsia="Arial" w:hAnsi="Arial"/>
          <w:sz w:val="17"/>
          <w:szCs w:val="17"/>
          <w:color w:val="auto"/>
        </w:rPr>
      </w:pPr>
    </w:p>
    <w:p>
      <w:pPr>
        <w:ind w:left="446" w:hanging="446"/>
        <w:spacing w:after="0"/>
        <w:tabs>
          <w:tab w:leader="none" w:pos="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terms shall have the meanings set forth below for purposes of this Agreement:</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1"/>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means the first to occur of any of the following:</w:t>
      </w:r>
    </w:p>
    <w:p>
      <w:pPr>
        <w:spacing w:after="0" w:line="130" w:lineRule="exact"/>
        <w:rPr>
          <w:rFonts w:ascii="Arial" w:cs="Arial" w:eastAsia="Arial" w:hAnsi="Arial"/>
          <w:sz w:val="18"/>
          <w:szCs w:val="18"/>
          <w:color w:val="auto"/>
        </w:rPr>
      </w:pPr>
    </w:p>
    <w:p>
      <w:pPr>
        <w:ind w:left="1466" w:hanging="440"/>
        <w:spacing w:after="0" w:line="259" w:lineRule="auto"/>
        <w:tabs>
          <w:tab w:leader="none" w:pos="1466"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11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6"/>
          </w:cols>
          <w:pgMar w:left="694" w:top="270" w:right="259" w:bottom="1440" w:gutter="0" w:footer="0" w:header="0"/>
        </w:sectPr>
      </w:pPr>
    </w:p>
    <w:bookmarkStart w:id="29" w:name="page30"/>
    <w:bookmarkEnd w:id="29"/>
    <w:p>
      <w:pPr>
        <w:ind w:left="1920" w:hanging="440"/>
        <w:spacing w:after="0" w:line="259" w:lineRule="auto"/>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92" w:lineRule="exact"/>
        <w:rPr>
          <w:rFonts w:ascii="Arial" w:cs="Arial" w:eastAsia="Arial" w:hAnsi="Arial"/>
          <w:sz w:val="18"/>
          <w:szCs w:val="18"/>
          <w:color w:val="auto"/>
        </w:rPr>
      </w:pPr>
    </w:p>
    <w:p>
      <w:pPr>
        <w:ind w:left="1920" w:right="100" w:hanging="440"/>
        <w:spacing w:after="0" w:line="255" w:lineRule="auto"/>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at the Grant Date, constitute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94" w:lineRule="exact"/>
        <w:rPr>
          <w:rFonts w:ascii="Arial" w:cs="Arial" w:eastAsia="Arial" w:hAnsi="Arial"/>
          <w:sz w:val="18"/>
          <w:szCs w:val="18"/>
          <w:color w:val="auto"/>
        </w:rPr>
      </w:pPr>
    </w:p>
    <w:p>
      <w:pPr>
        <w:ind w:left="1920" w:hanging="440"/>
        <w:spacing w:after="0" w:line="290" w:lineRule="auto"/>
        <w:tabs>
          <w:tab w:leader="none" w:pos="19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16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in each of cases 1 through 4, that in the event the award or portion of the award is determined to constitute a non-exempt “deferral of compensation” pursuant to Section 409A, to the extent necessary to avoid the imposition of any penalties or additional tax under Section 409A, with respect to such award or portion of award the Change of Control event must also constitute a “change in the ownership of a corporation,” a “change in the effective control of a corporation,” or a “change in the ownership of a substantial portion of a corporation’s assets,” in each case, within the meaning of Section 409A.</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117" w:lineRule="exact"/>
        <w:rPr>
          <w:sz w:val="20"/>
          <w:szCs w:val="20"/>
          <w:color w:val="auto"/>
        </w:rPr>
      </w:pPr>
    </w:p>
    <w:p>
      <w:pPr>
        <w:ind w:left="2180" w:hanging="291"/>
        <w:spacing w:after="0"/>
        <w:tabs>
          <w:tab w:leader="none" w:pos="2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and Exchange Act of 1934, as amended from time to time; and</w:t>
      </w:r>
    </w:p>
    <w:p>
      <w:pPr>
        <w:spacing w:after="0" w:line="117" w:lineRule="exact"/>
        <w:rPr>
          <w:rFonts w:ascii="Arial" w:cs="Arial" w:eastAsia="Arial" w:hAnsi="Arial"/>
          <w:sz w:val="18"/>
          <w:szCs w:val="18"/>
          <w:color w:val="auto"/>
        </w:rPr>
      </w:pPr>
    </w:p>
    <w:p>
      <w:pPr>
        <w:ind w:left="1500" w:right="180" w:firstLine="389"/>
        <w:spacing w:after="0" w:line="276" w:lineRule="auto"/>
        <w:tabs>
          <w:tab w:leader="none" w:pos="2182" w:val="left"/>
        </w:tabs>
        <w:numPr>
          <w:ilvl w:val="0"/>
          <w:numId w:val="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30" w:name="page31"/>
    <w:bookmarkEnd w:id="30"/>
    <w:p>
      <w:pPr>
        <w:ind w:left="1472" w:hanging="567"/>
        <w:spacing w:after="0" w:line="257" w:lineRule="auto"/>
        <w:tabs>
          <w:tab w:leader="none" w:pos="1472" w:val="left"/>
        </w:tabs>
        <w:numPr>
          <w:ilvl w:val="2"/>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Termination of Employment </w:t>
      </w:r>
      <w:r>
        <w:rPr>
          <w:rFonts w:ascii="Arial" w:cs="Arial" w:eastAsia="Arial" w:hAnsi="Arial"/>
          <w:sz w:val="18"/>
          <w:szCs w:val="18"/>
          <w:color w:val="auto"/>
        </w:rPr>
        <w:t>means the termination of Employee’s employment or other service relationship with WM as determined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93" w:lineRule="exact"/>
        <w:rPr>
          <w:rFonts w:ascii="Arial" w:cs="Arial" w:eastAsia="Arial" w:hAnsi="Arial"/>
          <w:sz w:val="18"/>
          <w:szCs w:val="18"/>
          <w:color w:val="auto"/>
        </w:rPr>
      </w:pPr>
    </w:p>
    <w:p>
      <w:pPr>
        <w:ind w:left="1472" w:right="40" w:hanging="567"/>
        <w:spacing w:after="0" w:line="285" w:lineRule="auto"/>
        <w:tabs>
          <w:tab w:leader="none" w:pos="1472" w:val="left"/>
        </w:tabs>
        <w:numPr>
          <w:ilvl w:val="2"/>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Cause </w:t>
      </w:r>
      <w:r>
        <w:rPr>
          <w:rFonts w:ascii="Arial" w:cs="Arial" w:eastAsia="Arial" w:hAnsi="Arial"/>
          <w:sz w:val="16"/>
          <w:szCs w:val="16"/>
          <w:color w:val="auto"/>
        </w:rPr>
        <w:t>means any of the following: (1) willful or deliberate and continual refusal to materially perform Employee’s duties reasonably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Arial" w:cs="Arial" w:eastAsia="Arial" w:hAnsi="Arial"/>
          <w:sz w:val="16"/>
          <w:szCs w:val="16"/>
          <w:i w:val="1"/>
          <w:iCs w:val="1"/>
          <w:color w:val="auto"/>
        </w:rPr>
        <w:t xml:space="preserve">nolo contendre </w:t>
      </w:r>
      <w:r>
        <w:rPr>
          <w:rFonts w:ascii="Arial" w:cs="Arial" w:eastAsia="Arial" w:hAnsi="Arial"/>
          <w:sz w:val="16"/>
          <w:szCs w:val="16"/>
          <w:color w:val="auto"/>
        </w:rPr>
        <w:t>to, any felony; (4) Employee willfully or intentionally caused material injury to WM, its property, or its assets;</w:t>
      </w:r>
    </w:p>
    <w:p>
      <w:pPr>
        <w:spacing w:after="0" w:line="2" w:lineRule="exact"/>
        <w:rPr>
          <w:rFonts w:ascii="Arial" w:cs="Arial" w:eastAsia="Arial" w:hAnsi="Arial"/>
          <w:sz w:val="16"/>
          <w:szCs w:val="16"/>
          <w:color w:val="auto"/>
        </w:rPr>
      </w:pPr>
    </w:p>
    <w:p>
      <w:pPr>
        <w:ind w:left="1732" w:hanging="260"/>
        <w:spacing w:after="0"/>
        <w:tabs>
          <w:tab w:leader="none" w:pos="1732" w:val="left"/>
        </w:tabs>
        <w:numPr>
          <w:ilvl w:val="3"/>
          <w:numId w:val="46"/>
        </w:numPr>
        <w:rPr>
          <w:rFonts w:ascii="Arial" w:cs="Arial" w:eastAsia="Arial" w:hAnsi="Arial"/>
          <w:sz w:val="17"/>
          <w:szCs w:val="17"/>
          <w:color w:val="auto"/>
        </w:rPr>
      </w:pPr>
      <w:r>
        <w:rPr>
          <w:rFonts w:ascii="Arial" w:cs="Arial" w:eastAsia="Arial" w:hAnsi="Arial"/>
          <w:sz w:val="17"/>
          <w:szCs w:val="17"/>
          <w:color w:val="auto"/>
        </w:rPr>
        <w:t>Employee disclosed to unauthorized person(s) proprietary or confidential information of WM that causes a material injury to WM;</w:t>
      </w:r>
    </w:p>
    <w:p>
      <w:pPr>
        <w:spacing w:after="0" w:line="20" w:lineRule="exact"/>
        <w:rPr>
          <w:rFonts w:ascii="Arial" w:cs="Arial" w:eastAsia="Arial" w:hAnsi="Arial"/>
          <w:sz w:val="17"/>
          <w:szCs w:val="17"/>
          <w:color w:val="auto"/>
        </w:rPr>
      </w:pPr>
    </w:p>
    <w:p>
      <w:pPr>
        <w:ind w:left="1472" w:right="80"/>
        <w:spacing w:after="0" w:line="261" w:lineRule="auto"/>
        <w:tabs>
          <w:tab w:leader="none" w:pos="1727" w:val="left"/>
        </w:tabs>
        <w:numPr>
          <w:ilvl w:val="3"/>
          <w:numId w:val="46"/>
        </w:numPr>
        <w:rPr>
          <w:rFonts w:ascii="Arial" w:cs="Arial" w:eastAsia="Arial" w:hAnsi="Arial"/>
          <w:sz w:val="18"/>
          <w:szCs w:val="18"/>
          <w:color w:val="auto"/>
        </w:rPr>
      </w:pPr>
      <w:r>
        <w:rPr>
          <w:rFonts w:ascii="Arial" w:cs="Arial" w:eastAsia="Arial" w:hAnsi="Arial"/>
          <w:sz w:val="18"/>
          <w:szCs w:val="18"/>
          <w:color w:val="auto"/>
        </w:rPr>
        <w:t>any material violation or a repeated and willful violation of WM’s policies or procedures, including but not limited to, WM’s Code of Business Conduct and Ethics (or any successor policy) then in effect.</w:t>
      </w:r>
    </w:p>
    <w:p>
      <w:pPr>
        <w:spacing w:after="0" w:line="89" w:lineRule="exact"/>
        <w:rPr>
          <w:rFonts w:ascii="Arial" w:cs="Arial" w:eastAsia="Arial" w:hAnsi="Arial"/>
          <w:sz w:val="18"/>
          <w:szCs w:val="18"/>
          <w:color w:val="auto"/>
        </w:rPr>
      </w:pPr>
    </w:p>
    <w:p>
      <w:pPr>
        <w:ind w:left="1472" w:right="360" w:hanging="567"/>
        <w:spacing w:after="0" w:line="277" w:lineRule="auto"/>
        <w:tabs>
          <w:tab w:leader="none" w:pos="1472" w:val="left"/>
        </w:tabs>
        <w:numPr>
          <w:ilvl w:val="2"/>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Window Period </w:t>
      </w:r>
      <w:r>
        <w:rPr>
          <w:rFonts w:ascii="Arial" w:cs="Arial" w:eastAsia="Arial" w:hAnsi="Arial"/>
          <w:sz w:val="18"/>
          <w:szCs w:val="18"/>
          <w:color w:val="auto"/>
        </w:rPr>
        <w:t>means the period beginning on the date occurring six (6) months immediately prior to the date on which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first occurs and ending on the second anniversary of the date on which a Change in Control occurs.</w:t>
      </w:r>
    </w:p>
    <w:p>
      <w:pPr>
        <w:spacing w:after="0" w:line="197" w:lineRule="exact"/>
        <w:rPr>
          <w:rFonts w:ascii="Arial" w:cs="Arial" w:eastAsia="Arial" w:hAnsi="Arial"/>
          <w:sz w:val="18"/>
          <w:szCs w:val="18"/>
          <w:color w:val="auto"/>
        </w:rPr>
      </w:pPr>
    </w:p>
    <w:p>
      <w:pPr>
        <w:ind w:left="452" w:right="160" w:hanging="452"/>
        <w:spacing w:after="0" w:line="270" w:lineRule="auto"/>
        <w:tabs>
          <w:tab w:leader="none" w:pos="452"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Dividend Equivalents on PSUs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xml:space="preserve"> mean an amount of cash equal to all dividends and distributions (or their economic equivalent) that are payable by the Company on one share of Common Stock to the stockholders of record. The Company will pay Dividend Equivalents with respect to the PSUs when (i) the Performance Period has ended; (ii) Employee has vested in the Award; and (iii) the PSU Awarded Shares have been certified by the Committee based on actual Achievement during the Performance Period (or otherwise determined pursuant to paragraph 6.a.i. above). As soon as administratively feasible after these events (and no later than 74 days following the end of the Performance Period), the Company will pay Employee a lump-sum cash amount for PSU Award Dividend Equivalents based on the number of PSU Awarded Shares multiplied by the per share quarterly dividend payments made to stockholders of the Company’s Common Stock during the Performance Period (without any interest or compounding). Any accumulated and unpaid Dividend Equivalents attributable to PSUs that are cancelled or forfeited will not be paid and are immediately forfeited upon cancellation of the PSUs.</w:t>
      </w:r>
    </w:p>
    <w:p>
      <w:pPr>
        <w:spacing w:after="0" w:line="87" w:lineRule="exact"/>
        <w:rPr>
          <w:rFonts w:ascii="Arial" w:cs="Arial" w:eastAsia="Arial" w:hAnsi="Arial"/>
          <w:sz w:val="17"/>
          <w:szCs w:val="17"/>
          <w:color w:val="auto"/>
        </w:rPr>
      </w:pPr>
    </w:p>
    <w:p>
      <w:pPr>
        <w:ind w:left="452" w:hanging="452"/>
        <w:spacing w:after="0"/>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20" w:hanging="446"/>
        <w:spacing w:after="0" w:line="272" w:lineRule="auto"/>
        <w:tabs>
          <w:tab w:leader="none" w:pos="892"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Committee may establish procedures for Employee to elect to defer, until a time or times later than the vesting of PSU Awards, receipt of all or a portion of the shares of Common Stock deliverable under the Awards. Any such deferral election (“</w:t>
      </w:r>
      <w:r>
        <w:rPr>
          <w:rFonts w:ascii="Arial" w:cs="Arial" w:eastAsia="Arial" w:hAnsi="Arial"/>
          <w:sz w:val="17"/>
          <w:szCs w:val="17"/>
          <w:b w:val="1"/>
          <w:bCs w:val="1"/>
          <w:i w:val="1"/>
          <w:iCs w:val="1"/>
          <w:color w:val="auto"/>
        </w:rPr>
        <w:t>Deferral Election</w:t>
      </w:r>
      <w:r>
        <w:rPr>
          <w:rFonts w:ascii="Arial" w:cs="Arial" w:eastAsia="Arial" w:hAnsi="Arial"/>
          <w:sz w:val="17"/>
          <w:szCs w:val="17"/>
          <w:i w:val="1"/>
          <w:iCs w:val="1"/>
          <w:color w:val="auto"/>
        </w:rPr>
        <w:t>”)</w:t>
      </w:r>
      <w:r>
        <w:rPr>
          <w:rFonts w:ascii="Arial" w:cs="Arial" w:eastAsia="Arial" w:hAnsi="Arial"/>
          <w:sz w:val="17"/>
          <w:szCs w:val="17"/>
          <w:color w:val="auto"/>
        </w:rPr>
        <w:t xml:space="preserve"> must be under the terms and conditions determined in the sole discretion of the Committee (or its designee) and the Waste Management, Inc. 409A Deferral Savings Plan, As Amended and Restated Effective January 1, 2014 and as further amended, restated or supplemented from time to time (the “</w:t>
      </w:r>
      <w:r>
        <w:rPr>
          <w:rFonts w:ascii="Arial" w:cs="Arial" w:eastAsia="Arial" w:hAnsi="Arial"/>
          <w:sz w:val="17"/>
          <w:szCs w:val="17"/>
          <w:b w:val="1"/>
          <w:bCs w:val="1"/>
          <w:i w:val="1"/>
          <w:iCs w:val="1"/>
          <w:color w:val="auto"/>
        </w:rPr>
        <w:t>WM 409A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The Committee further retains the authority and discretion to modify and/or terminate existing Deferral Elections, procedures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options. Common Stock subject to a Deferral Election does not confer any shareholder rights to Employee unless and until the date the deferral expires and certificates representing such shares are delivered to Employee.</w:t>
      </w:r>
    </w:p>
    <w:p>
      <w:pPr>
        <w:spacing w:after="0" w:line="83" w:lineRule="exact"/>
        <w:rPr>
          <w:rFonts w:ascii="Arial" w:cs="Arial" w:eastAsia="Arial" w:hAnsi="Arial"/>
          <w:sz w:val="17"/>
          <w:szCs w:val="17"/>
          <w:color w:val="auto"/>
        </w:rPr>
      </w:pPr>
    </w:p>
    <w:p>
      <w:pPr>
        <w:ind w:left="892" w:right="80" w:hanging="446"/>
        <w:spacing w:after="0" w:line="286" w:lineRule="auto"/>
        <w:tabs>
          <w:tab w:leader="none" w:pos="892" w:val="left"/>
        </w:tabs>
        <w:numPr>
          <w:ilvl w:val="1"/>
          <w:numId w:val="47"/>
        </w:numPr>
        <w:rPr>
          <w:rFonts w:ascii="Arial" w:cs="Arial" w:eastAsia="Arial" w:hAnsi="Arial"/>
          <w:sz w:val="17"/>
          <w:szCs w:val="17"/>
          <w:color w:val="auto"/>
        </w:rPr>
      </w:pPr>
      <w:r>
        <w:rPr>
          <w:rFonts w:ascii="Arial" w:cs="Arial" w:eastAsia="Arial" w:hAnsi="Arial"/>
          <w:sz w:val="17"/>
          <w:szCs w:val="17"/>
          <w:color w:val="auto"/>
        </w:rPr>
        <w:t>No deferrals of Dividend Equivalents are permitted. In the event shares of Common Stock received upon vesting of PSU Awards are deferred pursuant to a valid Deferral Election, then the Company will pay Dividend Equivalents to Employee in cash on such deferred shares of Common Stock, as soon as administratively feasible following the payment of such dividends to stockholders of record.</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74" w:right="239" w:bottom="1440" w:gutter="0" w:footer="0" w:header="0"/>
        </w:sectPr>
      </w:pPr>
    </w:p>
    <w:bookmarkStart w:id="31" w:name="page32"/>
    <w:bookmarkEnd w:id="31"/>
    <w:p>
      <w:pPr>
        <w:ind w:left="892" w:right="20" w:hanging="446"/>
        <w:spacing w:after="0" w:line="297" w:lineRule="auto"/>
        <w:tabs>
          <w:tab w:leader="none" w:pos="892"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Committee permits deferral of the PSU Awards under this Agreement, then each provision of this Agreement shall be interpreted to permit deferral only (i) in accordance with the terms of the WM 409A Plan and (ii) as allowed in compliance with Section 409A. Any provision that would conflict with such requirements is not valid or enforceable. Employee acknowledges, without limitation, and consents that the application of Section 409A to this Agreement may require additional delay of payments otherwise payable under this Agreement or the WM 409A Plan. Employee and the Company agree to execute any instruments and take any action as reasonably may be necessary to comply with Section 409A.</w:t>
      </w:r>
    </w:p>
    <w:p>
      <w:pPr>
        <w:spacing w:after="0" w:line="356" w:lineRule="exact"/>
        <w:rPr>
          <w:sz w:val="20"/>
          <w:szCs w:val="20"/>
          <w:color w:val="auto"/>
        </w:rPr>
      </w:pPr>
    </w:p>
    <w:p>
      <w:pPr>
        <w:jc w:val="center"/>
        <w:ind w:right="-51"/>
        <w:spacing w:after="0"/>
        <w:rPr>
          <w:sz w:val="20"/>
          <w:szCs w:val="20"/>
          <w:color w:val="auto"/>
        </w:rPr>
      </w:pPr>
      <w:r>
        <w:rPr>
          <w:rFonts w:ascii="Arial" w:cs="Arial" w:eastAsia="Arial" w:hAnsi="Arial"/>
          <w:sz w:val="29"/>
          <w:szCs w:val="29"/>
          <w:b w:val="1"/>
          <w:bCs w:val="1"/>
          <w:color w:val="auto"/>
        </w:rPr>
        <w:t>General Terms</w:t>
      </w:r>
    </w:p>
    <w:p>
      <w:pPr>
        <w:spacing w:after="0" w:line="265" w:lineRule="exact"/>
        <w:rPr>
          <w:sz w:val="20"/>
          <w:szCs w:val="20"/>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100" w:hanging="446"/>
        <w:spacing w:after="0" w:line="259" w:lineRule="auto"/>
        <w:tabs>
          <w:tab w:leader="none" w:pos="892" w:val="left"/>
        </w:tabs>
        <w:numPr>
          <w:ilvl w:val="1"/>
          <w:numId w:val="49"/>
        </w:numPr>
        <w:rPr>
          <w:rFonts w:ascii="Arial" w:cs="Arial" w:eastAsia="Arial" w:hAnsi="Arial"/>
          <w:sz w:val="18"/>
          <w:szCs w:val="18"/>
          <w:color w:val="auto"/>
        </w:rPr>
      </w:pPr>
      <w:r>
        <w:rPr>
          <w:rFonts w:ascii="Arial" w:cs="Arial" w:eastAsia="Arial" w:hAnsi="Arial"/>
          <w:sz w:val="18"/>
          <w:szCs w:val="18"/>
          <w:color w:val="auto"/>
        </w:rPr>
        <w:t>Absent prior written consent of the Committee, Awards may not be sold, assigned, transferred, pledged or otherwise encumbered, whether voluntarily or involuntarily, by operation of law or otherwise, other than pursuant to a domestic relations order; provided, however, that the transfer of any shares of Common Stock issued under the Awards shall not be restricted by virtue of this Agreement once such shares have been paid out.</w:t>
      </w:r>
    </w:p>
    <w:p>
      <w:pPr>
        <w:spacing w:after="0" w:line="92" w:lineRule="exact"/>
        <w:rPr>
          <w:rFonts w:ascii="Arial" w:cs="Arial" w:eastAsia="Arial" w:hAnsi="Arial"/>
          <w:sz w:val="18"/>
          <w:szCs w:val="18"/>
          <w:color w:val="auto"/>
        </w:rPr>
      </w:pPr>
    </w:p>
    <w:p>
      <w:pPr>
        <w:ind w:left="892" w:right="60" w:hanging="446"/>
        <w:spacing w:after="0" w:line="291" w:lineRule="auto"/>
        <w:tabs>
          <w:tab w:leader="none" w:pos="892" w:val="left"/>
        </w:tabs>
        <w:numPr>
          <w:ilvl w:val="1"/>
          <w:numId w:val="49"/>
        </w:numPr>
        <w:rPr>
          <w:rFonts w:ascii="Arial" w:cs="Arial" w:eastAsia="Arial" w:hAnsi="Arial"/>
          <w:sz w:val="16"/>
          <w:szCs w:val="16"/>
          <w:color w:val="auto"/>
        </w:rPr>
      </w:pPr>
      <w:r>
        <w:rPr>
          <w:rFonts w:ascii="Arial" w:cs="Arial" w:eastAsia="Arial" w:hAnsi="Arial"/>
          <w:sz w:val="16"/>
          <w:szCs w:val="16"/>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72" w:lineRule="exact"/>
        <w:rPr>
          <w:rFonts w:ascii="Arial" w:cs="Arial" w:eastAsia="Arial" w:hAnsi="Arial"/>
          <w:sz w:val="16"/>
          <w:szCs w:val="16"/>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will be issued under the Plan or this Agreement.</w:t>
      </w:r>
    </w:p>
    <w:p>
      <w:pPr>
        <w:spacing w:after="0" w:line="130" w:lineRule="exact"/>
        <w:rPr>
          <w:rFonts w:ascii="Arial" w:cs="Arial" w:eastAsia="Arial" w:hAnsi="Arial"/>
          <w:sz w:val="18"/>
          <w:szCs w:val="18"/>
          <w:color w:val="auto"/>
        </w:rPr>
      </w:pPr>
    </w:p>
    <w:p>
      <w:pPr>
        <w:ind w:left="452" w:hanging="452"/>
        <w:spacing w:after="0" w:line="255"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 (i) such amount of money or shares of Common Stock earned or owned by Employee or (ii) if employee is an executive officer at the time of such tax event and so elects, shares deliverable to Employee at such time pursuant to the applicable Award, in each case,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94" w:lineRule="exact"/>
        <w:rPr>
          <w:rFonts w:ascii="Arial" w:cs="Arial" w:eastAsia="Arial" w:hAnsi="Arial"/>
          <w:sz w:val="18"/>
          <w:szCs w:val="18"/>
          <w:color w:val="auto"/>
        </w:rPr>
      </w:pPr>
    </w:p>
    <w:p>
      <w:pPr>
        <w:ind w:left="452" w:right="40" w:hanging="452"/>
        <w:spacing w:after="0" w:line="255"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xml:space="preserve"> WM is not required to deliver any shares of Common Stock under this Agreement, if, in the opinion of counsel for the Company, such issuance would violate the Securities Act of 1933 or any other applicable federal or state securities laws or regulations.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p>
      <w:pPr>
        <w:spacing w:after="0" w:line="12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52"/>
          </w:cols>
          <w:pgMar w:left="248" w:top="274" w:right="299" w:bottom="1440" w:gutter="0" w:footer="0" w:header="0"/>
        </w:sectPr>
      </w:pPr>
    </w:p>
    <w:bookmarkStart w:id="32" w:name="page33"/>
    <w:bookmarkEnd w:id="32"/>
    <w:p>
      <w:pPr>
        <w:ind w:left="452"/>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w:t>
      </w:r>
    </w:p>
    <w:p>
      <w:pPr>
        <w:ind w:left="692" w:hanging="236"/>
        <w:spacing w:after="0"/>
        <w:tabs>
          <w:tab w:leader="none" w:pos="692" w:val="left"/>
        </w:tabs>
        <w:numPr>
          <w:ilvl w:val="2"/>
          <w:numId w:val="50"/>
        </w:numPr>
        <w:rPr>
          <w:rFonts w:ascii="Arial" w:cs="Arial" w:eastAsia="Arial" w:hAnsi="Arial"/>
          <w:sz w:val="18"/>
          <w:szCs w:val="18"/>
          <w:color w:val="auto"/>
        </w:rPr>
      </w:pPr>
      <w:r>
        <w:rPr>
          <w:rFonts w:ascii="Arial" w:cs="Arial" w:eastAsia="Arial" w:hAnsi="Arial"/>
          <w:sz w:val="18"/>
          <w:szCs w:val="18"/>
          <w:color w:val="auto"/>
        </w:rPr>
        <w:t>establishment of Employee’s compliance with any necessary representations or terms and conditions of the Plan or this Agreement, or</w:t>
      </w:r>
    </w:p>
    <w:p>
      <w:pPr>
        <w:spacing w:after="0" w:line="9" w:lineRule="exact"/>
        <w:rPr>
          <w:rFonts w:ascii="Arial" w:cs="Arial" w:eastAsia="Arial" w:hAnsi="Arial"/>
          <w:sz w:val="18"/>
          <w:szCs w:val="18"/>
          <w:color w:val="auto"/>
        </w:rPr>
      </w:pPr>
    </w:p>
    <w:p>
      <w:pPr>
        <w:ind w:left="712" w:hanging="256"/>
        <w:spacing w:after="0"/>
        <w:tabs>
          <w:tab w:leader="none" w:pos="712" w:val="left"/>
        </w:tabs>
        <w:numPr>
          <w:ilvl w:val="2"/>
          <w:numId w:val="50"/>
        </w:numPr>
        <w:rPr>
          <w:rFonts w:ascii="Arial" w:cs="Arial" w:eastAsia="Arial" w:hAnsi="Arial"/>
          <w:sz w:val="18"/>
          <w:szCs w:val="18"/>
          <w:color w:val="auto"/>
        </w:rPr>
      </w:pPr>
      <w:r>
        <w:rPr>
          <w:rFonts w:ascii="Arial" w:cs="Arial" w:eastAsia="Arial" w:hAnsi="Arial"/>
          <w:sz w:val="18"/>
          <w:szCs w:val="18"/>
          <w:color w:val="auto"/>
        </w:rPr>
        <w:t>compliance with any federal, state, or local tax withholding obligations.</w:t>
      </w:r>
    </w:p>
    <w:p>
      <w:pPr>
        <w:spacing w:after="0" w:line="116" w:lineRule="exact"/>
        <w:rPr>
          <w:rFonts w:ascii="Arial" w:cs="Arial" w:eastAsia="Arial" w:hAnsi="Arial"/>
          <w:sz w:val="18"/>
          <w:szCs w:val="18"/>
          <w:color w:val="auto"/>
        </w:rPr>
      </w:pPr>
    </w:p>
    <w:p>
      <w:pPr>
        <w:ind w:left="452" w:right="20" w:hanging="452"/>
        <w:spacing w:after="0" w:line="279" w:lineRule="auto"/>
        <w:tabs>
          <w:tab w:leader="none" w:pos="452"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Employee to Have no Rights as a Stockholder.</w:t>
      </w:r>
      <w:r>
        <w:rPr>
          <w:rFonts w:ascii="Arial" w:cs="Arial" w:eastAsia="Arial" w:hAnsi="Arial"/>
          <w:sz w:val="17"/>
          <w:szCs w:val="17"/>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7 under </w:t>
      </w:r>
      <w:r>
        <w:rPr>
          <w:rFonts w:ascii="Arial" w:cs="Arial" w:eastAsia="Arial" w:hAnsi="Arial"/>
          <w:sz w:val="17"/>
          <w:szCs w:val="17"/>
          <w:b w:val="1"/>
          <w:bCs w:val="1"/>
          <w:color w:val="auto"/>
        </w:rPr>
        <w:t>“Important Award Details.”</w:t>
      </w:r>
    </w:p>
    <w:p>
      <w:pPr>
        <w:spacing w:after="0" w:line="76" w:lineRule="exact"/>
        <w:rPr>
          <w:rFonts w:ascii="Arial" w:cs="Arial" w:eastAsia="Arial" w:hAnsi="Arial"/>
          <w:sz w:val="17"/>
          <w:szCs w:val="17"/>
          <w:color w:val="auto"/>
        </w:rPr>
      </w:pPr>
    </w:p>
    <w:p>
      <w:pPr>
        <w:ind w:left="452" w:right="40" w:hanging="452"/>
        <w:spacing w:after="0" w:line="273" w:lineRule="auto"/>
        <w:tabs>
          <w:tab w:leader="none" w:pos="452"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6.b. under </w:t>
      </w:r>
      <w:r>
        <w:rPr>
          <w:rFonts w:ascii="Arial" w:cs="Arial" w:eastAsia="Arial" w:hAnsi="Arial"/>
          <w:sz w:val="17"/>
          <w:szCs w:val="17"/>
          <w:b w:val="1"/>
          <w:bCs w:val="1"/>
          <w:color w:val="auto"/>
        </w:rPr>
        <w:t>“Important Award Details.”</w:t>
      </w:r>
    </w:p>
    <w:p>
      <w:pPr>
        <w:spacing w:after="0" w:line="83" w:lineRule="exact"/>
        <w:rPr>
          <w:rFonts w:ascii="Arial" w:cs="Arial" w:eastAsia="Arial" w:hAnsi="Arial"/>
          <w:sz w:val="17"/>
          <w:szCs w:val="17"/>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51"/>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Awards other than in the sole discretion of the Committee;</w:t>
      </w:r>
    </w:p>
    <w:p>
      <w:pPr>
        <w:spacing w:after="0" w:line="130" w:lineRule="exact"/>
        <w:rPr>
          <w:rFonts w:ascii="Arial" w:cs="Arial" w:eastAsia="Arial" w:hAnsi="Arial"/>
          <w:sz w:val="18"/>
          <w:szCs w:val="18"/>
          <w:color w:val="auto"/>
        </w:rPr>
      </w:pPr>
    </w:p>
    <w:p>
      <w:pPr>
        <w:ind w:left="892" w:right="100" w:hanging="446"/>
        <w:spacing w:after="0" w:line="264" w:lineRule="auto"/>
        <w:tabs>
          <w:tab w:leader="none" w:pos="892" w:val="left"/>
        </w:tabs>
        <w:numPr>
          <w:ilvl w:val="1"/>
          <w:numId w:val="51"/>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WM.</w:t>
      </w:r>
    </w:p>
    <w:p>
      <w:pPr>
        <w:spacing w:after="0" w:line="130" w:lineRule="exact"/>
        <w:rPr>
          <w:rFonts w:ascii="Arial" w:cs="Arial" w:eastAsia="Arial" w:hAnsi="Arial"/>
          <w:sz w:val="18"/>
          <w:szCs w:val="18"/>
          <w:color w:val="auto"/>
        </w:rPr>
      </w:pPr>
    </w:p>
    <w:p>
      <w:pPr>
        <w:ind w:left="452" w:right="280" w:hanging="452"/>
        <w:spacing w:after="0" w:line="277" w:lineRule="auto"/>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75" w:lineRule="exact"/>
        <w:rPr>
          <w:rFonts w:ascii="Arial" w:cs="Arial" w:eastAsia="Arial" w:hAnsi="Arial"/>
          <w:sz w:val="18"/>
          <w:szCs w:val="18"/>
          <w:color w:val="auto"/>
        </w:rPr>
      </w:pPr>
    </w:p>
    <w:p>
      <w:pPr>
        <w:ind w:left="452" w:right="260" w:hanging="452"/>
        <w:spacing w:after="0" w:line="277" w:lineRule="auto"/>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Severability/Entire Agreement</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75" w:lineRule="exact"/>
        <w:rPr>
          <w:rFonts w:ascii="Arial" w:cs="Arial" w:eastAsia="Arial" w:hAnsi="Arial"/>
          <w:sz w:val="18"/>
          <w:szCs w:val="18"/>
          <w:color w:val="auto"/>
        </w:rPr>
      </w:pPr>
    </w:p>
    <w:p>
      <w:pPr>
        <w:ind w:left="892" w:hanging="446"/>
        <w:spacing w:after="0" w:line="271" w:lineRule="auto"/>
        <w:tabs>
          <w:tab w:leader="none" w:pos="892" w:val="left"/>
        </w:tabs>
        <w:numPr>
          <w:ilvl w:val="1"/>
          <w:numId w:val="51"/>
        </w:numPr>
        <w:rPr>
          <w:rFonts w:ascii="Arial" w:cs="Arial" w:eastAsia="Arial" w:hAnsi="Arial"/>
          <w:sz w:val="17"/>
          <w:szCs w:val="17"/>
          <w:color w:val="auto"/>
        </w:rPr>
      </w:pPr>
      <w:r>
        <w:rPr>
          <w:rFonts w:ascii="Arial" w:cs="Arial" w:eastAsia="Arial" w:hAnsi="Arial"/>
          <w:sz w:val="17"/>
          <w:szCs w:val="17"/>
          <w:color w:val="auto"/>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p>
      <w:pPr>
        <w:spacing w:after="0" w:line="84" w:lineRule="exact"/>
        <w:rPr>
          <w:rFonts w:ascii="Arial" w:cs="Arial" w:eastAsia="Arial" w:hAnsi="Arial"/>
          <w:sz w:val="17"/>
          <w:szCs w:val="17"/>
          <w:color w:val="auto"/>
        </w:rPr>
      </w:pPr>
    </w:p>
    <w:p>
      <w:pPr>
        <w:ind w:left="892" w:right="20" w:hanging="446"/>
        <w:spacing w:after="0" w:line="277" w:lineRule="auto"/>
        <w:tabs>
          <w:tab w:leader="none" w:pos="892" w:val="left"/>
        </w:tabs>
        <w:numPr>
          <w:ilvl w:val="1"/>
          <w:numId w:val="51"/>
        </w:numPr>
        <w:rPr>
          <w:rFonts w:ascii="Arial" w:cs="Arial" w:eastAsia="Arial" w:hAnsi="Arial"/>
          <w:sz w:val="18"/>
          <w:szCs w:val="18"/>
          <w:color w:val="auto"/>
        </w:rPr>
      </w:pPr>
      <w:r>
        <w:rPr>
          <w:rFonts w:ascii="Arial" w:cs="Arial" w:eastAsia="Arial" w:hAnsi="Arial"/>
          <w:sz w:val="18"/>
          <w:szCs w:val="18"/>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74" w:right="239" w:bottom="1440" w:gutter="0" w:footer="0" w:header="0"/>
        </w:sectPr>
      </w:pPr>
    </w:p>
    <w:bookmarkStart w:id="33" w:name="page34"/>
    <w:bookmarkEnd w:id="33"/>
    <w:p>
      <w:pPr>
        <w:jc w:val="both"/>
        <w:ind w:left="900" w:right="140" w:hanging="446"/>
        <w:spacing w:after="0" w:line="264"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86" w:lineRule="exact"/>
        <w:rPr>
          <w:rFonts w:ascii="Arial" w:cs="Arial" w:eastAsia="Arial" w:hAnsi="Arial"/>
          <w:sz w:val="18"/>
          <w:szCs w:val="18"/>
          <w:color w:val="auto"/>
        </w:rPr>
      </w:pPr>
    </w:p>
    <w:p>
      <w:pPr>
        <w:ind w:left="460" w:right="36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75" w:lineRule="exact"/>
        <w:rPr>
          <w:rFonts w:ascii="Arial" w:cs="Arial" w:eastAsia="Arial" w:hAnsi="Arial"/>
          <w:sz w:val="18"/>
          <w:szCs w:val="18"/>
          <w:color w:val="auto"/>
        </w:rPr>
      </w:pPr>
    </w:p>
    <w:p>
      <w:pPr>
        <w:ind w:left="460" w:hanging="452"/>
        <w:spacing w:after="0" w:line="312"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Covenant Requirement Essential Part of Award</w:t>
      </w:r>
      <w:r>
        <w:rPr>
          <w:rFonts w:ascii="Arial" w:cs="Arial" w:eastAsia="Arial" w:hAnsi="Arial"/>
          <w:sz w:val="16"/>
          <w:szCs w:val="16"/>
          <w:color w:val="auto"/>
        </w:rPr>
        <w:t>. An overriding condition (even if any other provision of the Plan and this Agreement are conflicting) for Employee to receive any benefit from or payment of any Award under this Agreement, is that Employee must also have entered into an agreement containing restrictive covenants concerning limitations on Employee’s behavior following termination of employment that is satisfactory to WM.</w:t>
      </w:r>
    </w:p>
    <w:p>
      <w:pPr>
        <w:spacing w:after="0" w:line="52" w:lineRule="exact"/>
        <w:rPr>
          <w:rFonts w:ascii="Arial" w:cs="Arial" w:eastAsia="Arial" w:hAnsi="Arial"/>
          <w:sz w:val="16"/>
          <w:szCs w:val="16"/>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If not defined in this Agreement, capitalized terms have the meanings set forth in the Plan.</w:t>
      </w:r>
    </w:p>
    <w:p>
      <w:pPr>
        <w:spacing w:after="0" w:line="130" w:lineRule="exact"/>
        <w:rPr>
          <w:rFonts w:ascii="Arial" w:cs="Arial" w:eastAsia="Arial" w:hAnsi="Arial"/>
          <w:sz w:val="18"/>
          <w:szCs w:val="18"/>
          <w:color w:val="auto"/>
        </w:rPr>
      </w:pPr>
    </w:p>
    <w:p>
      <w:pPr>
        <w:ind w:left="460" w:right="60" w:hanging="452"/>
        <w:spacing w:after="0" w:line="286"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Compliance with Section 409A</w:t>
      </w:r>
      <w:r>
        <w:rPr>
          <w:rFonts w:ascii="Arial" w:cs="Arial" w:eastAsia="Arial" w:hAnsi="Arial"/>
          <w:sz w:val="16"/>
          <w:szCs w:val="16"/>
          <w:color w:val="auto"/>
        </w:rPr>
        <w:t>. Both WM and Employee intend that this Agreement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not be subject to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74" w:lineRule="exact"/>
        <w:rPr>
          <w:rFonts w:ascii="Arial" w:cs="Arial" w:eastAsia="Arial" w:hAnsi="Arial"/>
          <w:sz w:val="16"/>
          <w:szCs w:val="16"/>
          <w:color w:val="auto"/>
        </w:rPr>
      </w:pPr>
    </w:p>
    <w:p>
      <w:pPr>
        <w:ind w:left="460" w:hanging="452"/>
        <w:spacing w:after="0" w:line="270"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Use of Personal Data</w:t>
      </w:r>
      <w:r>
        <w:rPr>
          <w:rFonts w:ascii="Arial" w:cs="Arial" w:eastAsia="Arial" w:hAnsi="Arial"/>
          <w:sz w:val="17"/>
          <w:szCs w:val="17"/>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(“Data”),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p>
      <w:pPr>
        <w:spacing w:after="0" w:line="83" w:lineRule="exact"/>
        <w:rPr>
          <w:rFonts w:ascii="Arial" w:cs="Arial" w:eastAsia="Arial" w:hAnsi="Arial"/>
          <w:sz w:val="17"/>
          <w:szCs w:val="17"/>
          <w:color w:val="auto"/>
        </w:rPr>
      </w:pPr>
    </w:p>
    <w:p>
      <w:pPr>
        <w:jc w:val="both"/>
        <w:ind w:left="460" w:right="520" w:hanging="452"/>
        <w:spacing w:after="0" w:line="286"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4" w:name="page35"/>
    <w:bookmarkEnd w:id="34"/>
    <w:p>
      <w:pPr>
        <w:ind w:left="452" w:right="60" w:hanging="452"/>
        <w:spacing w:after="0" w:line="279" w:lineRule="auto"/>
        <w:tabs>
          <w:tab w:leader="none" w:pos="452"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Electronic Delivery</w:t>
      </w:r>
      <w:r>
        <w:rPr>
          <w:rFonts w:ascii="Arial" w:cs="Arial" w:eastAsia="Arial" w:hAnsi="Arial"/>
          <w:sz w:val="17"/>
          <w:szCs w:val="17"/>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76" w:lineRule="exact"/>
        <w:rPr>
          <w:rFonts w:ascii="Arial" w:cs="Arial" w:eastAsia="Arial" w:hAnsi="Arial"/>
          <w:sz w:val="17"/>
          <w:szCs w:val="17"/>
          <w:color w:val="auto"/>
        </w:rPr>
      </w:pPr>
    </w:p>
    <w:p>
      <w:pPr>
        <w:ind w:left="452" w:right="60" w:hanging="452"/>
        <w:spacing w:after="0" w:line="259" w:lineRule="auto"/>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Notwithstanding any provisions in the Plan or this Agreement to the contrary, any portion of the payments and benefits provided under this Agreement or the sale of any shares of Common Stock issued hereunder shall be subject to any clawback or other recovery policy adopted by the Committee from time to time, including, without limitation, any such policy adopted in accordance with the requirements of the Dodd-Frank Wall Street Reform and Consumer Protection Act of 2010 or any SEC rule.</w:t>
      </w:r>
    </w:p>
    <w:p>
      <w:pPr>
        <w:spacing w:after="0" w:line="92" w:lineRule="exact"/>
        <w:rPr>
          <w:rFonts w:ascii="Arial" w:cs="Arial" w:eastAsia="Arial" w:hAnsi="Arial"/>
          <w:sz w:val="18"/>
          <w:szCs w:val="18"/>
          <w:color w:val="auto"/>
        </w:rPr>
      </w:pPr>
    </w:p>
    <w:p>
      <w:pPr>
        <w:ind w:left="452" w:hanging="452"/>
        <w:spacing w:after="0" w:line="290" w:lineRule="auto"/>
        <w:tabs>
          <w:tab w:leader="none" w:pos="45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Binding Arbitration</w:t>
      </w:r>
      <w:r>
        <w:rPr>
          <w:rFonts w:ascii="Arial" w:cs="Arial" w:eastAsia="Arial" w:hAnsi="Arial"/>
          <w:sz w:val="16"/>
          <w:szCs w:val="16"/>
          <w:color w:val="auto"/>
        </w:rPr>
        <w:t xml:space="preserve">.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5 under </w:t>
      </w:r>
      <w:r>
        <w:rPr>
          <w:rFonts w:ascii="Arial" w:cs="Arial" w:eastAsia="Arial" w:hAnsi="Arial"/>
          <w:sz w:val="16"/>
          <w:szCs w:val="16"/>
          <w:b w:val="1"/>
          <w:bCs w:val="1"/>
          <w:color w:val="auto"/>
        </w:rPr>
        <w:t>“Important Award Details”</w:t>
      </w:r>
      <w:r>
        <w:rPr>
          <w:rFonts w:ascii="Arial" w:cs="Arial" w:eastAsia="Arial" w:hAnsi="Arial"/>
          <w:sz w:val="16"/>
          <w:szCs w:val="16"/>
          <w:color w:val="auto"/>
        </w:rPr>
        <w:t xml:space="preserve">), the Company and Employee agree that such dispute shall be settled exclusively by final and binding arbitration, as governed by the Federal Arbitration Act (9 U.S.C. 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arbitration proceeding, including the rendering of an award, if any, shall be administered by JAMS pursuant to its Employment Arbitration Rules and Procedures, which may be found on the JAMS Website </w:t>
      </w:r>
      <w:r>
        <w:rPr>
          <w:rFonts w:ascii="Arial" w:cs="Arial" w:eastAsia="Arial" w:hAnsi="Arial"/>
          <w:sz w:val="16"/>
          <w:szCs w:val="16"/>
          <w:b w:val="1"/>
          <w:bCs w:val="1"/>
          <w:color w:val="auto"/>
        </w:rPr>
        <w:t>www.jamsadr.com.</w:t>
      </w:r>
      <w:r>
        <w:rPr>
          <w:rFonts w:ascii="Arial" w:cs="Arial" w:eastAsia="Arial" w:hAnsi="Arial"/>
          <w:sz w:val="16"/>
          <w:szCs w:val="16"/>
          <w:color w:val="auto"/>
        </w:rPr>
        <w:t xml:space="preserve">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71" w:lineRule="exact"/>
        <w:rPr>
          <w:rFonts w:ascii="Arial" w:cs="Arial" w:eastAsia="Arial" w:hAnsi="Arial"/>
          <w:sz w:val="16"/>
          <w:szCs w:val="16"/>
          <w:color w:val="auto"/>
        </w:rPr>
      </w:pPr>
    </w:p>
    <w:p>
      <w:pPr>
        <w:ind w:left="452" w:hanging="452"/>
        <w:spacing w:after="0"/>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32"/>
          </w:cols>
          <w:pgMar w:left="248" w:top="274" w:right="319" w:bottom="1440" w:gutter="0" w:footer="0" w:header="0"/>
        </w:sectPr>
      </w:pPr>
    </w:p>
    <w:bookmarkStart w:id="35" w:name="page36"/>
    <w:bookmarkEnd w:id="35"/>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w:t>
      </w:r>
    </w:p>
    <w:p>
      <w:pPr>
        <w:spacing w:after="0" w:line="23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this Agreement to be duly executed by one of its officers thereunto duly authorized and Employee has</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this Agreement, effective as of February 28,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680845" cy="471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8084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Barry Caldwell</w:t>
            </w:r>
          </w:p>
        </w:tc>
        <w:tc>
          <w:tcPr>
            <w:tcW w:w="5340" w:type="dxa"/>
            <w:vAlign w:val="bottom"/>
          </w:tcPr>
          <w:p>
            <w:pPr>
              <w:ind w:left="2580"/>
              <w:spacing w:after="0"/>
              <w:rPr>
                <w:sz w:val="20"/>
                <w:szCs w:val="20"/>
                <w:color w:val="auto"/>
              </w:rPr>
            </w:pPr>
            <w:r>
              <w:rPr>
                <w:rFonts w:ascii="Arial" w:cs="Arial" w:eastAsia="Arial" w:hAnsi="Arial"/>
                <w:sz w:val="18"/>
                <w:szCs w:val="18"/>
                <w:color w:val="auto"/>
              </w:rPr>
              <w:t>James E. Trevathan, Jr</w:t>
            </w:r>
          </w:p>
        </w:tc>
      </w:tr>
      <w:tr>
        <w:trPr>
          <w:trHeight w:val="230"/>
        </w:trPr>
        <w:tc>
          <w:tcPr>
            <w:tcW w:w="13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340" w:type="dxa"/>
            <w:vAlign w:val="bottom"/>
          </w:tcPr>
          <w:p>
            <w:pPr>
              <w:ind w:left="2580"/>
              <w:spacing w:after="0"/>
              <w:rPr>
                <w:sz w:val="20"/>
                <w:szCs w:val="20"/>
                <w:color w:val="auto"/>
              </w:rPr>
            </w:pPr>
            <w:r>
              <w:rPr>
                <w:rFonts w:ascii="Arial" w:cs="Arial" w:eastAsia="Arial" w:hAnsi="Arial"/>
                <w:sz w:val="18"/>
                <w:szCs w:val="18"/>
                <w:b w:val="1"/>
                <w:bCs w:val="1"/>
                <w:i w:val="1"/>
                <w:iCs w:val="1"/>
                <w:color w:val="auto"/>
                <w:w w:val="86"/>
              </w:rPr>
              <w:t>Accepted by Electronic Confirmation</w:t>
            </w:r>
          </w:p>
        </w:tc>
      </w:tr>
      <w:tr>
        <w:trPr>
          <w:trHeight w:val="392"/>
        </w:trPr>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February 28, 2017</w:t>
            </w:r>
          </w:p>
        </w:tc>
        <w:tc>
          <w:tcPr>
            <w:tcW w:w="21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37"/>
        </w:trPr>
        <w:tc>
          <w:tcPr>
            <w:tcW w:w="3480" w:type="dxa"/>
            <w:vAlign w:val="bottom"/>
            <w:gridSpan w:val="2"/>
          </w:tcPr>
          <w:p>
            <w:pPr>
              <w:spacing w:after="0"/>
              <w:rPr>
                <w:sz w:val="20"/>
                <w:szCs w:val="20"/>
                <w:color w:val="auto"/>
              </w:rPr>
            </w:pPr>
            <w:r>
              <w:rPr>
                <w:rFonts w:ascii="Arial" w:cs="Arial" w:eastAsia="Arial" w:hAnsi="Arial"/>
                <w:sz w:val="18"/>
                <w:szCs w:val="18"/>
                <w:color w:val="auto"/>
              </w:rPr>
              <w:t>Date</w:t>
            </w:r>
          </w:p>
        </w:tc>
        <w:tc>
          <w:tcPr>
            <w:tcW w:w="5340" w:type="dxa"/>
            <w:vAlign w:val="bottom"/>
          </w:tcPr>
          <w:p>
            <w:pPr>
              <w:spacing w:after="0"/>
              <w:rPr>
                <w:sz w:val="20"/>
                <w:szCs w:val="20"/>
                <w:color w:val="auto"/>
              </w:rPr>
            </w:pPr>
          </w:p>
        </w:tc>
      </w:tr>
      <w:tr>
        <w:trPr>
          <w:trHeight w:val="365"/>
        </w:trPr>
        <w:tc>
          <w:tcPr>
            <w:tcW w:w="1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340" w:type="dxa"/>
            <w:vAlign w:val="bottom"/>
          </w:tcPr>
          <w:p>
            <w:pPr>
              <w:jc w:val="right"/>
              <w:ind w:right="2930"/>
              <w:spacing w:after="0"/>
              <w:rPr>
                <w:sz w:val="20"/>
                <w:szCs w:val="20"/>
                <w:color w:val="auto"/>
              </w:rPr>
            </w:pPr>
            <w:r>
              <w:rPr>
                <w:rFonts w:ascii="Arial" w:cs="Arial" w:eastAsia="Arial" w:hAnsi="Arial"/>
                <w:sz w:val="18"/>
                <w:szCs w:val="18"/>
                <w:color w:val="auto"/>
              </w:rPr>
              <w:t>15</w:t>
            </w:r>
          </w:p>
        </w:tc>
      </w:tr>
    </w:tbl>
    <w:p>
      <w:pPr>
        <w:spacing w:after="0" w:line="1" w:lineRule="exact"/>
        <w:rPr>
          <w:sz w:val="20"/>
          <w:szCs w:val="20"/>
          <w:color w:val="auto"/>
        </w:rPr>
      </w:pPr>
    </w:p>
    <w:sectPr>
      <w:pgSz w:w="11900" w:h="16838" w:orient="portrait"/>
      <w:cols w:equalWidth="0" w:num="1">
        <w:col w:w="11320"/>
      </w:cols>
      <w:pgMar w:left="240" w:top="2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
    <w:nsid w:val="2901D82"/>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4">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5">
    <w:nsid w:val="813864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
    <w:nsid w:val="1E7FF521"/>
    <w:multiLevelType w:val="hybridMultilevel"/>
    <w:lvl w:ilvl="0">
      <w:lvlJc w:val="left"/>
      <w:lvlText w:val="%1."/>
      <w:numFmt w:val="decimal"/>
      <w:start w:val="4"/>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4"/>
    </w:lvl>
  </w:abstractNum>
  <w:abstractNum w:abstractNumId="9">
    <w:nsid w:val="6CEAF087"/>
    <w:multiLevelType w:val="hybridMultilevel"/>
    <w:lvl w:ilvl="0">
      <w:lvlJc w:val="left"/>
      <w:lvlText w:val="%1."/>
      <w:numFmt w:val="decimal"/>
      <w:start w:val="5"/>
    </w:lvl>
  </w:abstractNum>
  <w:abstractNum w:abstractNumId="10">
    <w:nsid w:val="22221A70"/>
    <w:multiLevelType w:val="hybridMultilevel"/>
    <w:lvl w:ilvl="0">
      <w:lvlJc w:val="left"/>
      <w:lvlText w:val="%1."/>
      <w:numFmt w:val="decimal"/>
      <w:start w:val="1"/>
    </w:lvl>
    <w:lvl w:ilvl="1">
      <w:lvlJc w:val="left"/>
      <w:lvlText w:val="%2."/>
      <w:numFmt w:val="lowerLetter"/>
      <w:start w:val="1"/>
    </w:lvl>
  </w:abstractNum>
  <w:abstractNum w:abstractNumId="11">
    <w:nsid w:val="4516DDE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
    <w:nsid w:val="3006C83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
    <w:nsid w:val="614FD4A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14">
    <w:nsid w:val="419AC24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Letter"/>
      <w:start w:val="24"/>
    </w:lvl>
  </w:abstractNum>
  <w:abstractNum w:abstractNumId="15">
    <w:nsid w:val="5577F8E1"/>
    <w:multiLevelType w:val="hybridMultilevel"/>
    <w:lvl w:ilvl="0">
      <w:lvlJc w:val="left"/>
      <w:lvlText w:val="%1."/>
      <w:numFmt w:val="lowerRoman"/>
      <w:start w:val="2"/>
    </w:lvl>
    <w:lvl w:ilvl="1">
      <w:lvlJc w:val="left"/>
      <w:lvlText w:val="%2."/>
      <w:numFmt w:val="decimal"/>
      <w:start w:val="1"/>
    </w:lvl>
  </w:abstractNum>
  <w:abstractNum w:abstractNumId="16">
    <w:nsid w:val="440BADFC"/>
    <w:multiLevelType w:val="hybridMultilevel"/>
    <w:lvl w:ilvl="0">
      <w:lvlJc w:val="left"/>
      <w:lvlText w:val="%1."/>
      <w:numFmt w:val="decimal"/>
      <w:start w:val="2"/>
    </w:lvl>
  </w:abstractNum>
  <w:abstractNum w:abstractNumId="17">
    <w:nsid w:val="5072367"/>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8">
    <w:nsid w:val="3804823E"/>
    <w:multiLevelType w:val="hybridMultilevel"/>
    <w:lvl w:ilvl="0">
      <w:lvlJc w:val="left"/>
      <w:lvlText w:val="%1."/>
      <w:numFmt w:val="decimal"/>
      <w:start w:val="3"/>
    </w:lvl>
  </w:abstractNum>
  <w:abstractNum w:abstractNumId="19">
    <w:nsid w:val="77465F01"/>
    <w:multiLevelType w:val="hybridMultilevel"/>
    <w:lvl w:ilvl="0">
      <w:lvlJc w:val="left"/>
      <w:lvlText w:val="%1"/>
      <w:numFmt w:val="lowerRoman"/>
      <w:start w:val="1"/>
    </w:lvl>
    <w:lvl w:ilvl="1">
      <w:lvlJc w:val="left"/>
      <w:lvlText w:val="(%2)"/>
      <w:numFmt w:val="upperLetter"/>
      <w:start w:val="1"/>
    </w:lvl>
  </w:abstractNum>
  <w:abstractNum w:abstractNumId="20">
    <w:nsid w:val="7724C67E"/>
    <w:multiLevelType w:val="hybridMultilevel"/>
    <w:lvl w:ilvl="0">
      <w:lvlJc w:val="left"/>
      <w:lvlText w:val="%1."/>
      <w:numFmt w:val="lowerRoman"/>
      <w:start w:val="2"/>
    </w:lvl>
    <w:lvl w:ilvl="1">
      <w:lvlJc w:val="left"/>
      <w:lvlText w:val="%2"/>
      <w:numFmt w:val="upperLetter"/>
      <w:start w:val="1"/>
    </w:lvl>
  </w:abstractNum>
  <w:abstractNum w:abstractNumId="21">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2">
    <w:nsid w:val="2463B9E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3">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4">
    <w:nsid w:val="51EAD36B"/>
    <w:multiLevelType w:val="hybridMultilevel"/>
    <w:lvl w:ilvl="0">
      <w:lvlJc w:val="left"/>
      <w:lvlText w:val="%1."/>
      <w:numFmt w:val="decimal"/>
      <w:start w:val="5"/>
    </w:lvl>
    <w:lvl w:ilvl="1">
      <w:lvlJc w:val="left"/>
      <w:lvlText w:val="%2."/>
      <w:numFmt w:val="lowerLetter"/>
      <w:start w:val="1"/>
    </w:lvl>
  </w:abstractNum>
  <w:abstractNum w:abstractNumId="25">
    <w:nsid w:val="2D517796"/>
    <w:multiLevelType w:val="hybridMultilevel"/>
    <w:lvl w:ilvl="0">
      <w:lvlJc w:val="left"/>
      <w:lvlText w:val="%1."/>
      <w:numFmt w:val="decimal"/>
      <w:start w:val="11"/>
    </w:lvl>
  </w:abstractNum>
  <w:abstractNum w:abstractNumId="26">
    <w:nsid w:val="580BD78F"/>
    <w:multiLevelType w:val="hybridMultilevel"/>
    <w:lvl w:ilvl="0">
      <w:lvlJc w:val="left"/>
      <w:lvlText w:val="%1."/>
      <w:numFmt w:val="decimal"/>
      <w:start w:val="17"/>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
    <w:nsid w:val="70A64E2A"/>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0">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31">
    <w:nsid w:val="2A487CB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2">
    <w:nsid w:val="1D4ED43B"/>
    <w:multiLevelType w:val="hybridMultilevel"/>
    <w:lvl w:ilvl="0">
      <w:lvlJc w:val="left"/>
      <w:lvlText w:val="%1."/>
      <w:numFmt w:val="decimal"/>
      <w:start w:val="4"/>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4"/>
    </w:lvl>
  </w:abstractNum>
  <w:abstractNum w:abstractNumId="35">
    <w:nsid w:val="57E4CCAF"/>
    <w:multiLevelType w:val="hybridMultilevel"/>
    <w:lvl w:ilvl="0">
      <w:lvlJc w:val="left"/>
      <w:lvlText w:val="%1."/>
      <w:numFmt w:val="decimal"/>
      <w:start w:val="5"/>
    </w:lvl>
  </w:abstractNum>
  <w:abstractNum w:abstractNumId="36">
    <w:nsid w:val="7A6D8D3C"/>
    <w:multiLevelType w:val="hybridMultilevel"/>
    <w:lvl w:ilvl="0">
      <w:lvlJc w:val="left"/>
      <w:lvlText w:val="%1."/>
      <w:numFmt w:val="decimal"/>
      <w:start w:val="1"/>
    </w:lvl>
    <w:lvl w:ilvl="1">
      <w:lvlJc w:val="left"/>
      <w:lvlText w:val="%2."/>
      <w:numFmt w:val="lowerLetter"/>
      <w:start w:val="1"/>
    </w:lvl>
  </w:abstractNum>
  <w:abstractNum w:abstractNumId="37">
    <w:nsid w:val="4B588F5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8">
    <w:nsid w:val="542289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9">
    <w:nsid w:val="6DE91B1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Letter"/>
      <w:start w:val="24"/>
    </w:lvl>
  </w:abstractNum>
  <w:abstractNum w:abstractNumId="40">
    <w:nsid w:val="38437FDB"/>
    <w:multiLevelType w:val="hybridMultilevel"/>
    <w:lvl w:ilvl="0">
      <w:lvlJc w:val="left"/>
      <w:lvlText w:val="%1."/>
      <w:numFmt w:val="lowerRoman"/>
      <w:start w:val="2"/>
    </w:lvl>
    <w:lvl w:ilvl="1">
      <w:lvlJc w:val="left"/>
      <w:lvlText w:val="%2."/>
      <w:numFmt w:val="decimal"/>
      <w:start w:val="1"/>
    </w:lvl>
  </w:abstractNum>
  <w:abstractNum w:abstractNumId="41">
    <w:nsid w:val="7644A45C"/>
    <w:multiLevelType w:val="hybridMultilevel"/>
    <w:lvl w:ilvl="0">
      <w:lvlJc w:val="left"/>
      <w:lvlText w:val="%1."/>
      <w:numFmt w:val="decimal"/>
      <w:start w:val="2"/>
    </w:lvl>
  </w:abstractNum>
  <w:abstractNum w:abstractNumId="42">
    <w:nsid w:val="32FFF902"/>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3">
    <w:nsid w:val="684A481A"/>
    <w:multiLevelType w:val="hybridMultilevel"/>
    <w:lvl w:ilvl="0">
      <w:lvlJc w:val="left"/>
      <w:lvlText w:val="%1."/>
      <w:numFmt w:val="decimal"/>
      <w:start w:val="2"/>
    </w:lvl>
  </w:abstractNum>
  <w:abstractNum w:abstractNumId="44">
    <w:nsid w:val="579478FE"/>
    <w:multiLevelType w:val="hybridMultilevel"/>
    <w:lvl w:ilvl="0">
      <w:lvlJc w:val="left"/>
      <w:lvlText w:val="(%1)"/>
      <w:numFmt w:val="upperLetter"/>
      <w:start w:val="1"/>
    </w:lvl>
  </w:abstractNum>
  <w:abstractNum w:abstractNumId="45">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5"/>
    </w:lvl>
  </w:abstractNum>
  <w:abstractNum w:abstractNumId="46">
    <w:nsid w:val="3DC240F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7">
    <w:nsid w:val="1BA026FA"/>
    <w:multiLevelType w:val="hybridMultilevel"/>
    <w:lvl w:ilvl="0">
      <w:lvlJc w:val="left"/>
      <w:lvlText w:val="%1."/>
      <w:numFmt w:val="lowerLetter"/>
      <w:start w:val="3"/>
    </w:lvl>
  </w:abstractNum>
  <w:abstractNum w:abstractNumId="48">
    <w:nsid w:val="79A1DEAA"/>
    <w:multiLevelType w:val="hybridMultilevel"/>
    <w:lvl w:ilvl="0">
      <w:lvlJc w:val="left"/>
      <w:lvlText w:val="%1."/>
      <w:numFmt w:val="decimal"/>
      <w:start w:val="1"/>
    </w:lvl>
    <w:lvl w:ilvl="1">
      <w:lvlJc w:val="left"/>
      <w:lvlText w:val="%2."/>
      <w:numFmt w:val="lowerLetter"/>
      <w:start w:val="1"/>
    </w:lvl>
  </w:abstractNum>
  <w:abstractNum w:abstractNumId="49">
    <w:nsid w:val="75C6C3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0">
    <w:nsid w:val="12E685F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3"/>
    </w:lvl>
  </w:abstractNum>
  <w:abstractNum w:abstractNumId="52">
    <w:nsid w:val="520EEDD1"/>
    <w:multiLevelType w:val="hybridMultilevel"/>
    <w:lvl w:ilvl="0">
      <w:lvlJc w:val="left"/>
      <w:lvlText w:val="%1."/>
      <w:numFmt w:val="decimal"/>
      <w:start w:val="10"/>
    </w:lvl>
    <w:lvl w:ilvl="1">
      <w:lvlJc w:val="left"/>
      <w:lvlText w:val="%2"/>
      <w:numFmt w:val="lowerLetter"/>
      <w:start w:val="1"/>
    </w:lvl>
  </w:abstractNum>
  <w:abstractNum w:abstractNumId="53">
    <w:nsid w:val="374A3FE6"/>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2019-12-05T15:51:33Z</dcterms:created>
  <dcterms:modified xsi:type="dcterms:W3CDTF">2019-12-05T15:51:33Z</dcterms:modified>
</cp:coreProperties>
</file>