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0" w:firstLine="648"/>
        <w:spacing w:after="0" w:line="266" w:lineRule="auto"/>
        <w:rPr>
          <w:sz w:val="20"/>
          <w:szCs w:val="20"/>
          <w:color w:val="auto"/>
        </w:rPr>
      </w:pPr>
      <w:r>
        <w:rPr>
          <w:rFonts w:ascii="Times New Roman" w:cs="Times New Roman" w:eastAsia="Times New Roman" w:hAnsi="Times New Roman"/>
          <w:sz w:val="18"/>
          <w:szCs w:val="18"/>
          <w:color w:val="auto"/>
        </w:rPr>
        <w:t>Annual incentive awards were granted on February 25, 2025 to each of the named executive officers of Waste Management, Inc. (the “Company”), as identified in the Company’s most recent proxy statement (collectively, the “Executives”), pursuant to action by the Management Development and Compensation Committee (the “Committee”) of the Board of Directors of the Company.</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of the Executives, which includes James C. Fish, Jr., President and Chief Executive Officer; John J. Morris, Jr., Executive Vice President and Chief Operating Officer; Devina A. Rankin, Executive Vice President and Chief Financial Officer; Tara J. Hemmer, Senior Vice President and Chief Sustainability Officer; and Rafael E. Carrasco, Senior Vice President – Enterprise Strategy and President, WM Healthcare Solutions, received performance share units (“PSUs”) and stock options under the Company’s 2023 Stock Incentive Plan. The number of PSUs granted to each of the Executives is as follows: Mr. Fish — 43,636; Mr. Morris — 11,272; Ms. Rankin — 9,818; Ms. Hemmer — 7,636 and Mr. Carrasco — 7,636. The material terms of the PSUs are described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388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1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Calculation Date (“PCD”)</w:t>
            </w: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As of December 31, 2027; award (if any) paid out after certification by the</w:t>
            </w:r>
          </w:p>
        </w:tc>
      </w:tr>
      <w:tr>
        <w:trPr>
          <w:trHeight w:val="234"/>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Committee of actual level of achievement (“payment date”).</w:t>
            </w:r>
          </w:p>
        </w:tc>
      </w:tr>
      <w:tr>
        <w:trPr>
          <w:trHeight w:val="4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Measure</w:t>
            </w: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50% of the PSUs will have a cash flow generation performance measure,</w:t>
            </w: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and 50% of the PSUs will have a total shareholder return relative to the</w:t>
            </w:r>
          </w:p>
        </w:tc>
      </w:tr>
      <w:tr>
        <w:trPr>
          <w:trHeight w:val="216"/>
        </w:trPr>
        <w:tc>
          <w:tcPr>
            <w:tcW w:w="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S&amp;P 500 performance measure, in each case as set forth in the award</w:t>
            </w:r>
          </w:p>
        </w:tc>
      </w:tr>
      <w:tr>
        <w:trPr>
          <w:trHeight w:val="234"/>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agreement filed as Exhibit 10.1.</w:t>
            </w:r>
          </w:p>
        </w:tc>
      </w:tr>
      <w:tr>
        <w:trPr>
          <w:trHeight w:val="4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Possible Awards</w:t>
            </w: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0 — 200% of targeted amount, plus accrued dividend equivalents, based on</w:t>
            </w:r>
          </w:p>
        </w:tc>
      </w:tr>
      <w:tr>
        <w:trPr>
          <w:trHeight w:val="234"/>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actual results achieved.</w:t>
            </w:r>
          </w:p>
        </w:tc>
      </w:tr>
      <w:tr>
        <w:trPr>
          <w:trHeight w:val="414"/>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Payable in full on payment date based on actual results as if participant had</w:t>
            </w:r>
          </w:p>
        </w:tc>
      </w:tr>
      <w:tr>
        <w:trPr>
          <w:trHeight w:val="234"/>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8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remained an active employee through PCD.</w:t>
            </w:r>
          </w:p>
        </w:tc>
      </w:tr>
      <w:tr>
        <w:trPr>
          <w:trHeight w:val="432"/>
        </w:trPr>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 before PCD</w:t>
            </w:r>
          </w:p>
        </w:tc>
        <w:tc>
          <w:tcPr>
            <w:tcW w:w="688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ind w:left="180"/>
        <w:spacing w:after="0"/>
        <w:rPr>
          <w:sz w:val="20"/>
          <w:szCs w:val="20"/>
          <w:color w:val="auto"/>
        </w:rPr>
      </w:pPr>
      <w:r>
        <w:rPr>
          <w:rFonts w:ascii="Times New Roman" w:cs="Times New Roman" w:eastAsia="Times New Roman" w:hAnsi="Times New Roman"/>
          <w:sz w:val="17"/>
          <w:szCs w:val="17"/>
          <w:color w:val="auto"/>
        </w:rPr>
        <w:t>Involuntary Termination for Cause or Voluntary Resignation before PCD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Involuntary Termination other than for Cause before PCD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Retirement (as defined in the award agreement) before PCD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Immediate forfeiture.</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Payable on payment date based on actual results, prorated based on portion of performance period completed prior to termination of employment.</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Retirement occurs on or after December 31, 2025, payable in full on payment date based on actual results as if participant had remained an active employee through PCD. If Retirement occurs before December 31, 2025, payable on payment date based on actual results, prorated based on the number of days worked during 2025 (the first year of the performance period) divided by 365.</w:t>
      </w:r>
    </w:p>
    <w:p>
      <w:pPr>
        <w:spacing w:after="0" w:line="187" w:lineRule="exact"/>
        <w:rPr>
          <w:sz w:val="20"/>
          <w:szCs w:val="20"/>
          <w:color w:val="auto"/>
        </w:rPr>
      </w:pPr>
    </w:p>
    <w:p>
      <w:pPr>
        <w:sectPr>
          <w:pgSz w:w="11900" w:h="16838" w:orient="portrait"/>
          <w:cols w:equalWidth="0" w:num="2">
            <w:col w:w="5420" w:space="320"/>
            <w:col w:w="55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Control before PCD</w:t>
            </w: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Performance measured prior to the change in control and paid on prorated</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basis on actual results achieved up to such date. Thereafter, participant also</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generally receives a replacement award of restricted stock units in the</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successor entity generally equal to the number of PSUs that would have</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been earned had no change in control occurred and target performance</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levels had been met from the time of the change of control through</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December 31, 2027, adjusted for any conversion factors in the change in</w:t>
            </w:r>
          </w:p>
        </w:tc>
      </w:tr>
      <w:tr>
        <w:trPr>
          <w:trHeight w:val="216"/>
        </w:trPr>
        <w:tc>
          <w:tcPr>
            <w:tcW w:w="4080" w:type="dxa"/>
            <w:vAlign w:val="bottom"/>
          </w:tcPr>
          <w:p>
            <w:pPr>
              <w:spacing w:after="0"/>
              <w:rPr>
                <w:sz w:val="18"/>
                <w:szCs w:val="18"/>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control transaction. The new restricted stock units in the successor entity</w:t>
            </w:r>
          </w:p>
        </w:tc>
      </w:tr>
      <w:tr>
        <w:trPr>
          <w:trHeight w:val="234"/>
        </w:trPr>
        <w:tc>
          <w:tcPr>
            <w:tcW w:w="4080" w:type="dxa"/>
            <w:vAlign w:val="bottom"/>
          </w:tcPr>
          <w:p>
            <w:pPr>
              <w:spacing w:after="0"/>
              <w:rPr>
                <w:sz w:val="20"/>
                <w:szCs w:val="20"/>
                <w:color w:val="auto"/>
              </w:rPr>
            </w:pPr>
          </w:p>
        </w:tc>
        <w:tc>
          <w:tcPr>
            <w:tcW w:w="71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would vest on December 31, 2027.</w:t>
            </w:r>
          </w:p>
        </w:tc>
      </w:tr>
      <w:tr>
        <w:trPr>
          <w:trHeight w:val="675"/>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2" w:name="page3"/>
    <w:bookmarkEnd w:id="2"/>
    <w:p>
      <w:pPr>
        <w:ind w:right="20"/>
        <w:spacing w:after="0" w:line="312" w:lineRule="auto"/>
        <w:rPr>
          <w:sz w:val="20"/>
          <w:szCs w:val="20"/>
          <w:color w:val="auto"/>
        </w:rPr>
      </w:pPr>
      <w:r>
        <w:rPr>
          <w:rFonts w:ascii="Times New Roman" w:cs="Times New Roman" w:eastAsia="Times New Roman" w:hAnsi="Times New Roman"/>
          <w:sz w:val="17"/>
          <w:szCs w:val="17"/>
          <w:color w:val="auto"/>
        </w:rPr>
        <w:t>The Committee granted stock options to the Executives to purchase the following number of shares of the Company’s common stock: Mr. Fish — 50,580; Mr. Morris — 13,066; Ms. Rankin — 11,380; Ms. Hemmer – 8,851 and Mr. Carrasco – 8,851. The material terms of the stock options are described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Options</w:t>
      </w:r>
    </w:p>
    <w:p>
      <w:pPr>
        <w:spacing w:after="0" w:line="3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Vesting Schedule</w:t>
      </w:r>
      <w:r>
        <w:rPr>
          <w:sz w:val="20"/>
          <w:szCs w:val="20"/>
          <w:color w:val="auto"/>
        </w:rPr>
        <w:tab/>
      </w:r>
      <w:r>
        <w:rPr>
          <w:rFonts w:ascii="Times New Roman" w:cs="Times New Roman" w:eastAsia="Times New Roman" w:hAnsi="Times New Roman"/>
          <w:sz w:val="17"/>
          <w:szCs w:val="17"/>
          <w:color w:val="auto"/>
        </w:rPr>
        <w:t>34% on first anniversary;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33% on second anniversary; and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33% on third anniversary.</w:t>
      </w:r>
    </w:p>
    <w:p>
      <w:pPr>
        <w:sectPr>
          <w:pgSz w:w="11900" w:h="16838" w:orient="portrait"/>
          <w:cols w:equalWidth="0" w:num="1">
            <w:col w:w="11200"/>
          </w:cols>
          <w:pgMar w:left="320" w:top="904" w:right="37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Employment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Death or Disability</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Qualifying Retirement</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Involuntary Termination other than for Cause or Voluntary Resignation</w:t>
      </w: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Involuntary Termination for Cause</w:t>
      </w:r>
    </w:p>
    <w:p>
      <w:pPr>
        <w:spacing w:after="0" w:line="225" w:lineRule="exact"/>
        <w:rPr>
          <w:sz w:val="20"/>
          <w:szCs w:val="20"/>
          <w:color w:val="auto"/>
        </w:rPr>
      </w:pPr>
    </w:p>
    <w:p>
      <w:pPr>
        <w:ind w:left="180" w:right="120"/>
        <w:spacing w:after="0" w:line="282" w:lineRule="auto"/>
        <w:rPr>
          <w:sz w:val="20"/>
          <w:szCs w:val="20"/>
          <w:color w:val="auto"/>
        </w:rPr>
      </w:pPr>
      <w:r>
        <w:rPr>
          <w:rFonts w:ascii="Times New Roman" w:cs="Times New Roman" w:eastAsia="Times New Roman" w:hAnsi="Times New Roman"/>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 from date of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on date of grant - $231.195.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options immediately vest and remain exercisable for one year, but in no event later than the original term.</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Continued vesting and exercisability for three years, but in no event later than the original term.</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vested options remain exercisable for 90 days, but in no event later than the original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options are forfeited, whether or not exercisable.</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options immediately vest and remain exercisable for three years, but in no event later than the original term.</w:t>
      </w:r>
    </w:p>
    <w:p>
      <w:pPr>
        <w:spacing w:after="0" w:line="162" w:lineRule="exact"/>
        <w:rPr>
          <w:sz w:val="20"/>
          <w:szCs w:val="20"/>
          <w:color w:val="auto"/>
        </w:rPr>
      </w:pPr>
    </w:p>
    <w:p>
      <w:pPr>
        <w:sectPr>
          <w:pgSz w:w="11900" w:h="16838" w:orient="portrait"/>
          <w:cols w:equalWidth="0" w:num="2">
            <w:col w:w="5300" w:space="440"/>
            <w:col w:w="5460"/>
          </w:cols>
          <w:pgMar w:left="320" w:top="904" w:right="379" w:bottom="1440" w:gutter="0" w:footer="0" w:header="0"/>
          <w:type w:val="continuous"/>
        </w:sect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Each of the Executives was also granted an annual cash incentive award on February 25, 2025. Annual cash incentive awards are targeted at a percentage of the Executive’s base salary, and payouts can range from zero to 200% of the targeted amount based on achievement of performance measures. Performance measures for the 2025 annual cash incentive awards include (i) operating EBITDA, (ii) income from operations excluding depreciation and amortization margin and (iii) internal revenue growth. Payouts of annual cash incentives based on the performance measures can be increased or decreased by up to 10%, depending on achievement calculated using a sustainability scorecard. The Committee has discretion to increase or decrease an Executive’s annual cash incentive award by up to 25% based on individual performance. Subject to the terms of any individual written employment, change in control or severance agreement, recipients must be employed by an affiliate of the Company on December 31, 2025 to be eligible to receive payment of an annual cash incentive award; provided, however, in the event of death, the recipient’s beneficiaries will receive a prorated award based on the number of days worked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3" w:name="page4"/>
    <w:bookmarkEnd w:id="3"/>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descriptions of the material terms of the awards are qualified in their entirety by reference to the appropriate award agreement filed as an exhibit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385"/>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Form of 2025</w:t>
            </w:r>
          </w:p>
        </w:tc>
        <w:tc>
          <w:tcPr>
            <w:tcW w:w="4360" w:type="dxa"/>
            <w:vAlign w:val="bottom"/>
            <w:tcBorders>
              <w:top w:val="single" w:sz="8" w:color="auto"/>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8"/>
              </w:rPr>
              <w:t>Long Term Incentive Compensation PSU Award Agreement</w:t>
            </w:r>
          </w:p>
        </w:tc>
        <w:tc>
          <w:tcPr>
            <w:tcW w:w="4500" w:type="dxa"/>
            <w:vAlign w:val="bottom"/>
            <w:tcBorders>
              <w:top w:val="single" w:sz="8" w:color="auto"/>
            </w:tcBorders>
            <w:gridSpan w:val="2"/>
          </w:tcPr>
          <w:p>
            <w:pPr>
              <w:spacing w:after="0"/>
              <w:rPr>
                <w:sz w:val="24"/>
                <w:szCs w:val="2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Form of 2025</w:t>
            </w:r>
          </w:p>
        </w:tc>
        <w:tc>
          <w:tcPr>
            <w:tcW w:w="498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8"/>
              </w:rPr>
              <w:t>Long Term Incentive Compensation Stock Option Award Agreement</w:t>
            </w:r>
          </w:p>
        </w:tc>
        <w:tc>
          <w:tcPr>
            <w:tcW w:w="3880" w:type="dxa"/>
            <w:vAlign w:val="bottom"/>
          </w:tcPr>
          <w:p>
            <w:pPr>
              <w:spacing w:after="0"/>
              <w:rPr>
                <w:sz w:val="24"/>
                <w:szCs w:val="24"/>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EE"/>
              </w:rPr>
              <w:t>Form of 2025</w:t>
            </w:r>
          </w:p>
        </w:tc>
        <w:tc>
          <w:tcPr>
            <w:tcW w:w="8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Executive Officer Annual Incentive Award Agreement</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2025</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7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ind w:left="9880"/>
        <w:spacing w:after="0"/>
        <w:rPr>
          <w:sz w:val="20"/>
          <w:szCs w:val="20"/>
          <w:color w:val="auto"/>
        </w:rPr>
      </w:pPr>
      <w:r>
        <w:rPr>
          <w:rFonts w:ascii="Arial" w:cs="Arial" w:eastAsia="Arial" w:hAnsi="Arial"/>
          <w:sz w:val="19"/>
          <w:szCs w:val="19"/>
          <w:b w:val="1"/>
          <w:bCs w:val="1"/>
          <w:color w:val="auto"/>
        </w:rPr>
        <w:t>EXHIBIT 10.1</w:t>
      </w:r>
    </w:p>
    <w:p>
      <w:pPr>
        <w:spacing w:after="0" w:line="219" w:lineRule="exact"/>
        <w:rPr>
          <w:sz w:val="20"/>
          <w:szCs w:val="20"/>
          <w:color w:val="auto"/>
        </w:rPr>
      </w:pPr>
    </w:p>
    <w:p>
      <w:pPr>
        <w:jc w:val="center"/>
        <w:ind w:right="120"/>
        <w:spacing w:after="0" w:line="249" w:lineRule="auto"/>
        <w:rPr>
          <w:sz w:val="20"/>
          <w:szCs w:val="20"/>
          <w:color w:val="auto"/>
        </w:rPr>
      </w:pPr>
      <w:r>
        <w:rPr>
          <w:rFonts w:ascii="Arial" w:cs="Arial" w:eastAsia="Arial" w:hAnsi="Arial"/>
          <w:sz w:val="53"/>
          <w:szCs w:val="53"/>
          <w:b w:val="1"/>
          <w:bCs w:val="1"/>
          <w:color w:val="00693C"/>
        </w:rPr>
        <w:t>Long Term Incentive Compensation PSU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-788670</wp:posOffset>
            </wp:positionV>
            <wp:extent cx="7127875" cy="6767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676783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9"/>
          <w:szCs w:val="29"/>
          <w:b w:val="1"/>
          <w:bCs w:val="1"/>
          <w:color w:val="00693C"/>
        </w:rPr>
        <w:t>under the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0693C"/>
        </w:rPr>
        <w:t>Waste Management, Inc. 2023 Stock Incentive Plan</w:t>
      </w:r>
    </w:p>
    <w:p>
      <w:pPr>
        <w:spacing w:after="0" w:line="199" w:lineRule="exact"/>
        <w:rPr>
          <w:sz w:val="20"/>
          <w:szCs w:val="20"/>
          <w:color w:val="auto"/>
        </w:rPr>
      </w:pPr>
    </w:p>
    <w:p>
      <w:pPr>
        <w:ind w:right="300"/>
        <w:spacing w:after="0" w:line="243" w:lineRule="auto"/>
        <w:rPr>
          <w:sz w:val="20"/>
          <w:szCs w:val="20"/>
          <w:color w:val="auto"/>
        </w:rPr>
      </w:pPr>
      <w:r>
        <w:rPr>
          <w:rFonts w:ascii="Arial" w:cs="Arial" w:eastAsia="Arial" w:hAnsi="Arial"/>
          <w:sz w:val="19"/>
          <w:szCs w:val="19"/>
          <w:color w:val="auto"/>
        </w:rPr>
        <w:t>This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effective as of [●]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by and between Waste Management,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(together with its Subsidiaries and Affiliates, “</w:t>
      </w:r>
      <w:r>
        <w:rPr>
          <w:rFonts w:ascii="Arial" w:cs="Arial" w:eastAsia="Arial" w:hAnsi="Arial"/>
          <w:sz w:val="19"/>
          <w:szCs w:val="19"/>
          <w:b w:val="1"/>
          <w:bCs w:val="1"/>
          <w:i w:val="1"/>
          <w:iCs w:val="1"/>
          <w:color w:val="auto"/>
        </w:rPr>
        <w:t>WM</w:t>
      </w:r>
      <w:r>
        <w:rPr>
          <w:rFonts w:ascii="Arial" w:cs="Arial" w:eastAsia="Arial" w:hAnsi="Arial"/>
          <w:sz w:val="19"/>
          <w:szCs w:val="19"/>
          <w:color w:val="auto"/>
        </w:rPr>
        <w:t>”), and [●] (“</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At all times, the Awards under this Agreement are subject to the terms and conditions of the Waste Management, Inc. 2023 Stock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this Agreement, and all applicable administrative interpretations and practices. A copy of the Plan and the Plan Prospectus is available online at www.benefits.ml.com.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w:t>
      </w:r>
    </w:p>
    <w:p>
      <w:pPr>
        <w:spacing w:after="0" w:line="172" w:lineRule="exact"/>
        <w:rPr>
          <w:sz w:val="20"/>
          <w:szCs w:val="20"/>
          <w:color w:val="auto"/>
        </w:rPr>
      </w:pPr>
    </w:p>
    <w:p>
      <w:pPr>
        <w:ind w:right="400"/>
        <w:spacing w:after="0" w:line="247" w:lineRule="auto"/>
        <w:rPr>
          <w:sz w:val="20"/>
          <w:szCs w:val="20"/>
          <w:color w:val="auto"/>
        </w:rPr>
      </w:pPr>
      <w:r>
        <w:rPr>
          <w:rFonts w:ascii="Arial" w:cs="Arial" w:eastAsia="Arial" w:hAnsi="Arial"/>
          <w:sz w:val="20"/>
          <w:szCs w:val="20"/>
          <w:b w:val="1"/>
          <w:bCs w:val="1"/>
          <w:color w:val="auto"/>
        </w:rPr>
        <w:t>You must execute this Agreement in full, online in accordance with the instructions below, prior to [●], in order for this Agreement to become effective. If you do not execute this Agreement by correctly following the instructions below, your Awards may be cancelled.</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29"/>
          <w:szCs w:val="29"/>
          <w:b w:val="1"/>
          <w:bCs w:val="1"/>
          <w:color w:val="00693C"/>
        </w:rPr>
        <w:t>Important Instructions for Executing this Agreement</w:t>
      </w:r>
    </w:p>
    <w:p>
      <w:pPr>
        <w:spacing w:after="0" w:line="233"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color w:val="auto"/>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spacing w:after="0" w:line="172"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If you have previously received a stock-based incentive award, log on to www.benefits.ml.com at the secure website maintained by the third-party stock administrator. Follow the online instructions and complete all the steps required to accept the award.</w:t>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29"/>
          <w:szCs w:val="29"/>
          <w:b w:val="1"/>
          <w:bCs w:val="1"/>
          <w:color w:val="00693C"/>
        </w:rPr>
        <w:t>Performance Share Units</w:t>
      </w:r>
    </w:p>
    <w:p>
      <w:pPr>
        <w:spacing w:after="0" w:line="233" w:lineRule="exact"/>
        <w:rPr>
          <w:sz w:val="20"/>
          <w:szCs w:val="20"/>
          <w:color w:val="auto"/>
        </w:rPr>
      </w:pPr>
    </w:p>
    <w:p>
      <w:pPr>
        <w:jc w:val="both"/>
        <w:ind w:left="340" w:right="580" w:hanging="324"/>
        <w:spacing w:after="0" w:line="239"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PSU Grant</w:t>
      </w:r>
      <w:r>
        <w:rPr>
          <w:rFonts w:ascii="Arial" w:cs="Arial" w:eastAsia="Arial" w:hAnsi="Arial"/>
          <w:sz w:val="20"/>
          <w:szCs w:val="20"/>
          <w:color w:val="auto"/>
        </w:rPr>
        <w:t>. The Company hereby grants to Employee a Performance-based Restricted Stock Unit Award of [●] units subject to performance-based vesting conditions (a “</w:t>
      </w:r>
      <w:r>
        <w:rPr>
          <w:rFonts w:ascii="Arial" w:cs="Arial" w:eastAsia="Arial" w:hAnsi="Arial"/>
          <w:sz w:val="20"/>
          <w:szCs w:val="20"/>
          <w:b w:val="1"/>
          <w:bCs w:val="1"/>
          <w:i w:val="1"/>
          <w:iCs w:val="1"/>
          <w:color w:val="auto"/>
        </w:rPr>
        <w:t>PSU Award</w:t>
      </w:r>
      <w:r>
        <w:rPr>
          <w:rFonts w:ascii="Arial" w:cs="Arial" w:eastAsia="Arial" w:hAnsi="Arial"/>
          <w:sz w:val="20"/>
          <w:szCs w:val="20"/>
          <w:color w:val="auto"/>
        </w:rPr>
        <w:t>”), as provided in the Notice of Long-Term Incentive Award (the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Each Restricted Stock Unit subject to performance-based vesting conditions (a “</w:t>
      </w:r>
      <w:r>
        <w:rPr>
          <w:rFonts w:ascii="Arial" w:cs="Arial" w:eastAsia="Arial" w:hAnsi="Arial"/>
          <w:sz w:val="20"/>
          <w:szCs w:val="20"/>
          <w:b w:val="1"/>
          <w:bCs w:val="1"/>
          <w:i w:val="1"/>
          <w:iCs w:val="1"/>
          <w:color w:val="auto"/>
        </w:rPr>
        <w:t>Performance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Share Unit</w:t>
      </w:r>
      <w:r>
        <w:rPr>
          <w:rFonts w:ascii="Arial" w:cs="Arial" w:eastAsia="Arial" w:hAnsi="Arial"/>
          <w:sz w:val="20"/>
          <w:szCs w:val="20"/>
          <w:color w:val="auto"/>
        </w:rPr>
        <w:t>” or “</w:t>
      </w:r>
      <w:r>
        <w:rPr>
          <w:rFonts w:ascii="Arial" w:cs="Arial" w:eastAsia="Arial" w:hAnsi="Arial"/>
          <w:sz w:val="20"/>
          <w:szCs w:val="20"/>
          <w:b w:val="1"/>
          <w:bCs w:val="1"/>
          <w:i w:val="1"/>
          <w:iCs w:val="1"/>
          <w:color w:val="auto"/>
        </w:rPr>
        <w:t>PSU</w:t>
      </w:r>
      <w:r>
        <w:rPr>
          <w:rFonts w:ascii="Arial" w:cs="Arial" w:eastAsia="Arial" w:hAnsi="Arial"/>
          <w:sz w:val="20"/>
          <w:szCs w:val="20"/>
          <w:color w:val="auto"/>
        </w:rPr>
        <w:t>”) is a notational unit of measurement denominated in Common Stock.</w:t>
      </w:r>
    </w:p>
    <w:p>
      <w:pPr>
        <w:spacing w:after="0" w:line="163" w:lineRule="exact"/>
        <w:rPr>
          <w:rFonts w:ascii="Arial" w:cs="Arial" w:eastAsia="Arial" w:hAnsi="Arial"/>
          <w:sz w:val="20"/>
          <w:szCs w:val="20"/>
          <w:color w:val="auto"/>
        </w:rPr>
      </w:pPr>
    </w:p>
    <w:p>
      <w:pPr>
        <w:ind w:left="340" w:hanging="324"/>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PSU Metrics.</w:t>
      </w:r>
    </w:p>
    <w:p>
      <w:pPr>
        <w:spacing w:after="0" w:line="202" w:lineRule="exact"/>
        <w:rPr>
          <w:sz w:val="20"/>
          <w:szCs w:val="20"/>
          <w:color w:val="auto"/>
        </w:rPr>
      </w:pPr>
    </w:p>
    <w:p>
      <w:pPr>
        <w:ind w:left="340" w:right="200" w:hanging="324"/>
        <w:spacing w:after="0" w:line="237"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xml:space="preserve"> for this PSU Award is the 36-month period beginning January 1, 2025, and ending on December 31, 2027. Vesting and payout of your PSU Award is based upon the level of achievement of the </w:t>
      </w:r>
      <w:r>
        <w:rPr>
          <w:rFonts w:ascii="Arial" w:cs="Arial" w:eastAsia="Arial" w:hAnsi="Arial"/>
          <w:sz w:val="20"/>
          <w:szCs w:val="20"/>
          <w:b w:val="1"/>
          <w:bCs w:val="1"/>
          <w:i w:val="1"/>
          <w:iCs w:val="1"/>
          <w:color w:val="auto"/>
        </w:rPr>
        <w:t>Performance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Goals </w:t>
      </w:r>
      <w:r>
        <w:rPr>
          <w:rFonts w:ascii="Arial" w:cs="Arial" w:eastAsia="Arial" w:hAnsi="Arial"/>
          <w:sz w:val="20"/>
          <w:szCs w:val="20"/>
          <w:color w:val="auto"/>
        </w:rPr>
        <w:t>that have been set by the Committee. The Performance Goals set by the Committee for your PSU Awards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described in paragraph 3 below.</w:t>
      </w:r>
    </w:p>
    <w:p>
      <w:pPr>
        <w:spacing w:after="0" w:line="200" w:lineRule="exact"/>
        <w:rPr>
          <w:sz w:val="20"/>
          <w:szCs w:val="20"/>
          <w:color w:val="auto"/>
        </w:rPr>
      </w:pPr>
    </w:p>
    <w:p>
      <w:pPr>
        <w:spacing w:after="0" w:line="30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13335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359" w:right="339" w:bottom="1440" w:gutter="0" w:footer="0" w:header="0"/>
        </w:sectPr>
      </w:pPr>
    </w:p>
    <w:bookmarkStart w:id="6" w:name="page7"/>
    <w:bookmarkEnd w:id="6"/>
    <w:p>
      <w:pPr>
        <w:ind w:left="340" w:right="20" w:hanging="332"/>
        <w:spacing w:after="0" w:line="231"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7417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741795"/>
                    </a:xfrm>
                    <a:prstGeom prst="rect">
                      <a:avLst/>
                    </a:prstGeom>
                    <a:noFill/>
                  </pic:spPr>
                </pic:pic>
              </a:graphicData>
            </a:graphic>
          </wp:anchor>
        </w:drawing>
        <w:t xml:space="preserve">The performance measure selected by the Committee to serve as the Performance Goal for half (50%) of your Target PSU Award is </w:t>
      </w:r>
      <w:r>
        <w:rPr>
          <w:rFonts w:ascii="Arial" w:cs="Arial" w:eastAsia="Arial" w:hAnsi="Arial"/>
          <w:sz w:val="20"/>
          <w:szCs w:val="20"/>
          <w:b w:val="1"/>
          <w:bCs w:val="1"/>
          <w:i w:val="1"/>
          <w:iCs w:val="1"/>
          <w:color w:val="auto"/>
        </w:rPr>
        <w:t>Cash Flow Generation</w:t>
      </w:r>
      <w:r>
        <w:rPr>
          <w:rFonts w:ascii="Arial" w:cs="Arial" w:eastAsia="Arial" w:hAnsi="Arial"/>
          <w:sz w:val="20"/>
          <w:szCs w:val="20"/>
          <w:color w:val="auto"/>
        </w:rPr>
        <w:t xml:space="preserve"> (as defined below). The performance measure selected by the Committee to serve as the Performance Goal for the other half (50%) of your Target PSU Award is </w:t>
      </w:r>
      <w:r>
        <w:rPr>
          <w:rFonts w:ascii="Arial" w:cs="Arial" w:eastAsia="Arial" w:hAnsi="Arial"/>
          <w:sz w:val="20"/>
          <w:szCs w:val="20"/>
          <w:b w:val="1"/>
          <w:bCs w:val="1"/>
          <w:i w:val="1"/>
          <w:iCs w:val="1"/>
          <w:color w:val="auto"/>
        </w:rPr>
        <w:t>Total Shareholder Return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Relative to the S&amp;P 500</w:t>
      </w:r>
      <w:r>
        <w:rPr>
          <w:rFonts w:ascii="Arial" w:cs="Arial" w:eastAsia="Arial" w:hAnsi="Arial"/>
          <w:sz w:val="20"/>
          <w:szCs w:val="20"/>
          <w:color w:val="auto"/>
        </w:rPr>
        <w:t>, or</w:t>
      </w:r>
      <w:r>
        <w:rPr>
          <w:rFonts w:ascii="Arial" w:cs="Arial" w:eastAsia="Arial" w:hAnsi="Arial"/>
          <w:sz w:val="20"/>
          <w:szCs w:val="20"/>
          <w:b w:val="1"/>
          <w:bCs w:val="1"/>
          <w:i w:val="1"/>
          <w:iCs w:val="1"/>
          <w:color w:val="auto"/>
        </w:rPr>
        <w:t xml:space="preserve"> TSR </w:t>
      </w:r>
      <w:r>
        <w:rPr>
          <w:rFonts w:ascii="Arial" w:cs="Arial" w:eastAsia="Arial" w:hAnsi="Arial"/>
          <w:sz w:val="20"/>
          <w:szCs w:val="20"/>
          <w:color w:val="auto"/>
        </w:rPr>
        <w:t>(as defined below). To determine the payout (if any) under your PSU Award,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Committee will determine the level of the Performance Goal reached (“</w:t>
      </w:r>
      <w:r>
        <w:rPr>
          <w:rFonts w:ascii="Arial" w:cs="Arial" w:eastAsia="Arial" w:hAnsi="Arial"/>
          <w:sz w:val="20"/>
          <w:szCs w:val="20"/>
          <w:b w:val="1"/>
          <w:bCs w:val="1"/>
          <w:i w:val="1"/>
          <w:iCs w:val="1"/>
          <w:color w:val="auto"/>
        </w:rPr>
        <w:t>Achievement</w:t>
      </w:r>
      <w:r>
        <w:rPr>
          <w:rFonts w:ascii="Arial" w:cs="Arial" w:eastAsia="Arial" w:hAnsi="Arial"/>
          <w:sz w:val="20"/>
          <w:szCs w:val="20"/>
          <w:color w:val="auto"/>
        </w:rPr>
        <w:t>”) and the corresponding payout percentage applicable to each half of your Target PSU Award under paragraph 3 below. The Committee’s determinations, and the related calculations, including the calculation of Cash Flow Generation and TSR, are made by, and in the sole discretion of, the Committee, and are final and not subject to appeal.</w:t>
      </w:r>
    </w:p>
    <w:p>
      <w:pPr>
        <w:spacing w:after="0" w:line="173" w:lineRule="exact"/>
        <w:rPr>
          <w:rFonts w:ascii="Arial" w:cs="Arial" w:eastAsia="Arial" w:hAnsi="Arial"/>
          <w:sz w:val="20"/>
          <w:szCs w:val="20"/>
          <w:color w:val="auto"/>
        </w:rPr>
      </w:pPr>
    </w:p>
    <w:p>
      <w:pPr>
        <w:ind w:left="340" w:right="260" w:hanging="332"/>
        <w:spacing w:after="0" w:line="234"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Cash Flow Generation </w:t>
      </w:r>
      <w:r>
        <w:rPr>
          <w:rFonts w:ascii="Arial" w:cs="Arial" w:eastAsia="Arial" w:hAnsi="Arial"/>
          <w:sz w:val="20"/>
          <w:szCs w:val="20"/>
          <w:color w:val="auto"/>
        </w:rPr>
        <w:t>is the net cash flow provided by operating activities of WM for the Performance Period, less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capital expenditures, with the following adjustments:</w:t>
      </w:r>
    </w:p>
    <w:p>
      <w:pPr>
        <w:spacing w:after="0" w:line="1" w:lineRule="exact"/>
        <w:rPr>
          <w:rFonts w:ascii="Arial" w:cs="Arial" w:eastAsia="Arial" w:hAnsi="Arial"/>
          <w:sz w:val="20"/>
          <w:szCs w:val="20"/>
          <w:color w:val="auto"/>
        </w:rPr>
      </w:pPr>
    </w:p>
    <w:p>
      <w:pPr>
        <w:jc w:val="both"/>
        <w:ind w:left="980" w:right="180" w:hanging="648"/>
        <w:spacing w:after="0" w:line="225" w:lineRule="auto"/>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Payments related to costs (including legal costs) associated with labor disruptions (e.g., strikes) and actual or potential multiemployer plan withdrawal liability(ies) are excluded as expenditures required as a result of past labor commitments combined with changing economic conditions of the present business climate;</w:t>
      </w:r>
    </w:p>
    <w:p>
      <w:pPr>
        <w:spacing w:after="0" w:line="1" w:lineRule="exact"/>
        <w:rPr>
          <w:rFonts w:ascii="Arial" w:cs="Arial" w:eastAsia="Arial" w:hAnsi="Arial"/>
          <w:sz w:val="20"/>
          <w:szCs w:val="20"/>
          <w:color w:val="auto"/>
        </w:rPr>
      </w:pPr>
    </w:p>
    <w:p>
      <w:pPr>
        <w:ind w:left="980" w:right="520" w:hanging="648"/>
        <w:spacing w:after="0" w:line="225" w:lineRule="auto"/>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Strategic acquisition, restructuring, transformation and reorganization costs are excluded in recognition of WM’s goals to increase customer and business base while minimizing operating costs; and</w:t>
      </w:r>
    </w:p>
    <w:p>
      <w:pPr>
        <w:ind w:left="980" w:hanging="648"/>
        <w:spacing w:after="0" w:line="225" w:lineRule="auto"/>
        <w:tabs>
          <w:tab w:leader="none" w:pos="980" w:val="left"/>
        </w:tabs>
        <w:numPr>
          <w:ilvl w:val="1"/>
          <w:numId w:val="4"/>
        </w:numPr>
        <w:rPr>
          <w:rFonts w:ascii="Arial" w:cs="Arial" w:eastAsia="Arial" w:hAnsi="Arial"/>
          <w:sz w:val="20"/>
          <w:szCs w:val="20"/>
          <w:color w:val="auto"/>
        </w:rPr>
      </w:pPr>
      <w:r>
        <w:rPr>
          <w:rFonts w:ascii="Arial" w:cs="Arial" w:eastAsia="Arial" w:hAnsi="Arial"/>
          <w:sz w:val="20"/>
          <w:szCs w:val="20"/>
          <w:color w:val="auto"/>
        </w:rPr>
        <w:t>If any accounting rule or tax law change occurs that was not anticipated in setting the Cash Flow Generation</w:t>
      </w:r>
    </w:p>
    <w:p>
      <w:pPr>
        <w:ind w:left="340" w:right="100" w:firstLine="648"/>
        <w:spacing w:after="0" w:line="225" w:lineRule="auto"/>
        <w:rPr>
          <w:sz w:val="20"/>
          <w:szCs w:val="20"/>
          <w:color w:val="auto"/>
        </w:rPr>
      </w:pPr>
      <w:r>
        <w:rPr>
          <w:rFonts w:ascii="Arial" w:cs="Arial" w:eastAsia="Arial" w:hAnsi="Arial"/>
          <w:sz w:val="20"/>
          <w:szCs w:val="20"/>
          <w:color w:val="auto"/>
        </w:rPr>
        <w:t>target, any material impact of that change will be disregarded in calculating the Cash Flow Generation result. In addition to the above, the following adjustments will be made when the aggregate impact of the following items has a greater than 5% impact on attainment:</w:t>
      </w:r>
    </w:p>
    <w:p>
      <w:pPr>
        <w:spacing w:after="0" w:line="1" w:lineRule="exact"/>
        <w:rPr>
          <w:sz w:val="20"/>
          <w:szCs w:val="20"/>
          <w:color w:val="auto"/>
        </w:rPr>
      </w:pPr>
    </w:p>
    <w:p>
      <w:pPr>
        <w:ind w:left="980" w:right="580" w:hanging="648"/>
        <w:spacing w:after="0" w:line="225"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Impacts from strategic acquisitions or divestitures of assets or businesses are excluded (EBITDA, capital expenditures, working capital, and proceeds from divestitures) (Impacts from normal course of business acquisitions and divestitures are included);</w:t>
      </w:r>
    </w:p>
    <w:p>
      <w:pPr>
        <w:spacing w:after="0" w:line="1" w:lineRule="exact"/>
        <w:rPr>
          <w:rFonts w:ascii="Arial" w:cs="Arial" w:eastAsia="Arial" w:hAnsi="Arial"/>
          <w:sz w:val="20"/>
          <w:szCs w:val="20"/>
          <w:color w:val="auto"/>
        </w:rPr>
      </w:pPr>
    </w:p>
    <w:p>
      <w:pPr>
        <w:ind w:left="980" w:right="180" w:hanging="648"/>
        <w:spacing w:after="0" w:line="237" w:lineRule="auto"/>
        <w:tabs>
          <w:tab w:leader="none" w:pos="980" w:val="left"/>
        </w:tabs>
        <w:numPr>
          <w:ilvl w:val="0"/>
          <w:numId w:val="5"/>
        </w:numPr>
        <w:rPr>
          <w:rFonts w:ascii="Arial" w:cs="Arial" w:eastAsia="Arial" w:hAnsi="Arial"/>
          <w:sz w:val="19"/>
          <w:szCs w:val="19"/>
          <w:color w:val="auto"/>
        </w:rPr>
      </w:pPr>
      <w:r>
        <w:rPr>
          <w:rFonts w:ascii="Arial" w:cs="Arial" w:eastAsia="Arial" w:hAnsi="Arial"/>
          <w:sz w:val="19"/>
          <w:szCs w:val="19"/>
          <w:color w:val="auto"/>
        </w:rPr>
        <w:t>Impacts from discrete growth capital investment projects made to support the long-term organic growth of the business that were not specifically planned for in setting the Cash Flow Generation target are excluded; and</w:t>
      </w:r>
    </w:p>
    <w:p>
      <w:pPr>
        <w:ind w:left="980" w:hanging="648"/>
        <w:spacing w:after="0" w:line="225" w:lineRule="auto"/>
        <w:tabs>
          <w:tab w:leader="none" w:pos="980" w:val="left"/>
        </w:tabs>
        <w:numPr>
          <w:ilvl w:val="0"/>
          <w:numId w:val="5"/>
        </w:numPr>
        <w:rPr>
          <w:rFonts w:ascii="Arial" w:cs="Arial" w:eastAsia="Arial" w:hAnsi="Arial"/>
          <w:sz w:val="20"/>
          <w:szCs w:val="20"/>
          <w:color w:val="auto"/>
        </w:rPr>
      </w:pPr>
      <w:r>
        <w:rPr>
          <w:rFonts w:ascii="Arial" w:cs="Arial" w:eastAsia="Arial" w:hAnsi="Arial"/>
          <w:sz w:val="20"/>
          <w:szCs w:val="20"/>
          <w:color w:val="auto"/>
        </w:rPr>
        <w:t>Material changes in the realization of earnings and cash flow contributions for growth capital investments</w:t>
      </w:r>
    </w:p>
    <w:p>
      <w:pPr>
        <w:ind w:left="980"/>
        <w:spacing w:after="0" w:line="225" w:lineRule="auto"/>
        <w:rPr>
          <w:sz w:val="20"/>
          <w:szCs w:val="20"/>
          <w:color w:val="auto"/>
        </w:rPr>
      </w:pPr>
      <w:r>
        <w:rPr>
          <w:rFonts w:ascii="Arial" w:cs="Arial" w:eastAsia="Arial" w:hAnsi="Arial"/>
          <w:sz w:val="20"/>
          <w:szCs w:val="20"/>
          <w:color w:val="auto"/>
        </w:rPr>
        <w:t>caused by items outside of WM’s control will be excluded.</w:t>
      </w:r>
    </w:p>
    <w:p>
      <w:pPr>
        <w:spacing w:after="0" w:line="1" w:lineRule="exact"/>
        <w:rPr>
          <w:sz w:val="20"/>
          <w:szCs w:val="20"/>
          <w:color w:val="auto"/>
        </w:rPr>
      </w:pPr>
    </w:p>
    <w:p>
      <w:pPr>
        <w:jc w:val="both"/>
        <w:ind w:left="340" w:right="180"/>
        <w:spacing w:after="0" w:line="234" w:lineRule="auto"/>
        <w:rPr>
          <w:sz w:val="20"/>
          <w:szCs w:val="20"/>
          <w:color w:val="auto"/>
        </w:rPr>
      </w:pPr>
      <w:r>
        <w:rPr>
          <w:rFonts w:ascii="Arial" w:cs="Arial" w:eastAsia="Arial" w:hAnsi="Arial"/>
          <w:sz w:val="20"/>
          <w:szCs w:val="20"/>
          <w:color w:val="auto"/>
        </w:rPr>
        <w:t xml:space="preserve">The Committee, solely in its discretion, is permitted to make other adjustments to reflect management’s performance consistent with maximizing shareholder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adjustments shall not reduce the Cash Flow Generation amount.</w:t>
      </w:r>
    </w:p>
    <w:p>
      <w:pPr>
        <w:spacing w:after="0" w:line="173" w:lineRule="exact"/>
        <w:rPr>
          <w:sz w:val="20"/>
          <w:szCs w:val="20"/>
          <w:color w:val="auto"/>
        </w:rPr>
      </w:pPr>
    </w:p>
    <w:p>
      <w:pPr>
        <w:ind w:left="340" w:right="1160" w:hanging="332"/>
        <w:spacing w:after="0" w:line="234"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TSR </w:t>
      </w:r>
      <w:r>
        <w:rPr>
          <w:rFonts w:ascii="Arial" w:cs="Arial" w:eastAsia="Arial" w:hAnsi="Arial"/>
          <w:sz w:val="20"/>
          <w:szCs w:val="20"/>
          <w:color w:val="auto"/>
        </w:rPr>
        <w:t>is the percentile performance of the Company as compared to the other S&amp;P 500 Companies for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Period. For these purposes:</w:t>
      </w:r>
    </w:p>
    <w:p>
      <w:pPr>
        <w:spacing w:after="0" w:line="1" w:lineRule="exact"/>
        <w:rPr>
          <w:rFonts w:ascii="Arial" w:cs="Arial" w:eastAsia="Arial" w:hAnsi="Arial"/>
          <w:sz w:val="20"/>
          <w:szCs w:val="20"/>
          <w:color w:val="auto"/>
        </w:rPr>
      </w:pPr>
    </w:p>
    <w:p>
      <w:pPr>
        <w:jc w:val="both"/>
        <w:ind w:left="820" w:right="140" w:hanging="164"/>
        <w:spacing w:after="0" w:line="225" w:lineRule="auto"/>
        <w:tabs>
          <w:tab w:leader="none" w:pos="806" w:val="left"/>
        </w:tabs>
        <w:numPr>
          <w:ilvl w:val="1"/>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S&amp;P 500 Companies </w:t>
      </w:r>
      <w:r>
        <w:rPr>
          <w:rFonts w:ascii="Arial" w:cs="Arial" w:eastAsia="Arial" w:hAnsi="Arial"/>
          <w:sz w:val="20"/>
          <w:szCs w:val="20"/>
          <w:color w:val="auto"/>
        </w:rPr>
        <w:t>means all the entities listed on the Standard &amp; Poor’s 500 Composite Index, including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Company, on the date which is 30 trading days prior to the commencement of the Performance Period, with the following modifications:</w:t>
      </w:r>
    </w:p>
    <w:p>
      <w:pPr>
        <w:spacing w:after="0" w:line="1" w:lineRule="exact"/>
        <w:rPr>
          <w:rFonts w:ascii="Arial" w:cs="Arial" w:eastAsia="Arial" w:hAnsi="Arial"/>
          <w:sz w:val="20"/>
          <w:szCs w:val="20"/>
          <w:color w:val="auto"/>
        </w:rPr>
      </w:pPr>
    </w:p>
    <w:p>
      <w:pPr>
        <w:ind w:left="820" w:right="500" w:firstLine="160"/>
        <w:spacing w:after="0" w:line="225" w:lineRule="auto"/>
        <w:tabs>
          <w:tab w:leader="none" w:pos="1218" w:val="left"/>
        </w:tabs>
        <w:numPr>
          <w:ilvl w:val="2"/>
          <w:numId w:val="6"/>
        </w:numPr>
        <w:rPr>
          <w:rFonts w:ascii="Arial" w:cs="Arial" w:eastAsia="Arial" w:hAnsi="Arial"/>
          <w:sz w:val="20"/>
          <w:szCs w:val="20"/>
          <w:color w:val="auto"/>
        </w:rPr>
      </w:pPr>
      <w:r>
        <w:rPr>
          <w:rFonts w:ascii="Arial" w:cs="Arial" w:eastAsia="Arial" w:hAnsi="Arial"/>
          <w:sz w:val="20"/>
          <w:szCs w:val="20"/>
          <w:color w:val="auto"/>
        </w:rPr>
        <w:t xml:space="preserve">except as provided below, only those entities that continue to trade throughout the Performance Period without interruption on a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be included; and</w:t>
      </w:r>
    </w:p>
    <w:p>
      <w:pPr>
        <w:ind w:left="820" w:right="160" w:firstLine="160"/>
        <w:spacing w:after="0" w:line="225" w:lineRule="auto"/>
        <w:tabs>
          <w:tab w:leader="none" w:pos="1218" w:val="left"/>
        </w:tabs>
        <w:numPr>
          <w:ilvl w:val="2"/>
          <w:numId w:val="6"/>
        </w:numPr>
        <w:rPr>
          <w:rFonts w:ascii="Arial" w:cs="Arial" w:eastAsia="Arial" w:hAnsi="Arial"/>
          <w:sz w:val="20"/>
          <w:szCs w:val="20"/>
          <w:color w:val="auto"/>
        </w:rPr>
      </w:pPr>
      <w:r>
        <w:rPr>
          <w:rFonts w:ascii="Arial" w:cs="Arial" w:eastAsia="Arial" w:hAnsi="Arial"/>
          <w:sz w:val="20"/>
          <w:szCs w:val="20"/>
          <w:color w:val="auto"/>
        </w:rPr>
        <w:t>any such entity that files for bankruptcy (“</w:t>
      </w: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during the Performance Period shall continue to be included.</w:t>
      </w:r>
    </w:p>
    <w:p>
      <w:pPr>
        <w:ind w:left="820" w:right="480"/>
        <w:spacing w:after="0" w:line="225" w:lineRule="auto"/>
        <w:rPr>
          <w:rFonts w:ascii="Arial" w:cs="Arial" w:eastAsia="Arial" w:hAnsi="Arial"/>
          <w:sz w:val="20"/>
          <w:szCs w:val="20"/>
          <w:color w:val="auto"/>
        </w:rPr>
      </w:pPr>
      <w:r>
        <w:rPr>
          <w:rFonts w:ascii="Arial" w:cs="Arial" w:eastAsia="Arial" w:hAnsi="Arial"/>
          <w:sz w:val="20"/>
          <w:szCs w:val="20"/>
          <w:color w:val="auto"/>
        </w:rPr>
        <w:t xml:space="preserve">For these purposes </w:t>
      </w:r>
      <w:r>
        <w:rPr>
          <w:rFonts w:ascii="Arial" w:cs="Arial" w:eastAsia="Arial" w:hAnsi="Arial"/>
          <w:sz w:val="20"/>
          <w:szCs w:val="20"/>
          <w:b w:val="1"/>
          <w:bCs w:val="1"/>
          <w:i w:val="1"/>
          <w:iCs w:val="1"/>
          <w:color w:val="auto"/>
        </w:rPr>
        <w:t>National Exchange</w:t>
      </w:r>
      <w:r>
        <w:rPr>
          <w:rFonts w:ascii="Arial" w:cs="Arial" w:eastAsia="Arial" w:hAnsi="Arial"/>
          <w:sz w:val="20"/>
          <w:szCs w:val="20"/>
          <w:color w:val="auto"/>
        </w:rPr>
        <w:t xml:space="preserve"> shall mean a securities exchange that has registered with the SEC under Section 6 of the Securities Exchange Act of 1934.</w:t>
      </w:r>
    </w:p>
    <w:p>
      <w:pPr>
        <w:ind w:left="820" w:hanging="164"/>
        <w:spacing w:after="0" w:line="230" w:lineRule="auto"/>
        <w:tabs>
          <w:tab w:leader="none" w:pos="850" w:val="left"/>
        </w:tabs>
        <w:numPr>
          <w:ilvl w:val="1"/>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Total Shareholder Return </w:t>
      </w:r>
      <w:r>
        <w:rPr>
          <w:rFonts w:ascii="Arial" w:cs="Arial" w:eastAsia="Arial" w:hAnsi="Arial"/>
          <w:sz w:val="20"/>
          <w:szCs w:val="20"/>
          <w:color w:val="auto"/>
        </w:rPr>
        <w:t>is the result of dividing (1) the sum of the cumulative value of an entity’s dividends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Performance 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w:t>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13335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680" w:top="1036" w:right="519" w:bottom="1440" w:gutter="0" w:footer="0" w:header="0"/>
        </w:sectPr>
      </w:pPr>
    </w:p>
    <w:bookmarkStart w:id="7" w:name="page8"/>
    <w:bookmarkEnd w:id="7"/>
    <w:p>
      <w:pPr>
        <w:ind w:left="1180" w:right="1060" w:hanging="167"/>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453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453630"/>
                    </a:xfrm>
                    <a:prstGeom prst="rect">
                      <a:avLst/>
                    </a:prstGeom>
                    <a:noFill/>
                  </pic:spPr>
                </pic:pic>
              </a:graphicData>
            </a:graphic>
          </wp:anchor>
        </w:drawing>
        <w:t>    purchased as part of the reinvestment calculation will be multiplied by the Ending Price to determine the cumulative value of an entity’s dividends for the Performance Period. For these purposes:</w:t>
      </w:r>
    </w:p>
    <w:p>
      <w:pPr>
        <w:spacing w:after="0" w:line="2" w:lineRule="exact"/>
        <w:rPr>
          <w:sz w:val="20"/>
          <w:szCs w:val="20"/>
          <w:color w:val="auto"/>
        </w:rPr>
      </w:pPr>
    </w:p>
    <w:p>
      <w:pPr>
        <w:ind w:left="1820" w:right="340" w:hanging="480"/>
        <w:spacing w:after="0" w:line="225" w:lineRule="auto"/>
        <w:tabs>
          <w:tab w:leader="none" w:pos="1820" w:val="left"/>
        </w:tabs>
        <w:numPr>
          <w:ilvl w:val="3"/>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Price </w:t>
      </w:r>
      <w:r>
        <w:rPr>
          <w:rFonts w:ascii="Arial" w:cs="Arial" w:eastAsia="Arial" w:hAnsi="Arial"/>
          <w:sz w:val="20"/>
          <w:szCs w:val="20"/>
          <w:color w:val="auto"/>
        </w:rPr>
        <w:t>is the per share closing price, as reported by the Bloomberg L.P. (or any other publicly available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reporting service that the Committee may designate from time to time) of a share or share equivalent on the applicable stock exchange.</w:t>
      </w:r>
    </w:p>
    <w:p>
      <w:pPr>
        <w:spacing w:after="0" w:line="1" w:lineRule="exact"/>
        <w:rPr>
          <w:rFonts w:ascii="Arial" w:cs="Arial" w:eastAsia="Arial" w:hAnsi="Arial"/>
          <w:sz w:val="20"/>
          <w:szCs w:val="20"/>
          <w:color w:val="auto"/>
        </w:rPr>
      </w:pPr>
    </w:p>
    <w:p>
      <w:pPr>
        <w:ind w:left="1820" w:right="520" w:hanging="480"/>
        <w:spacing w:after="0" w:line="225" w:lineRule="auto"/>
        <w:tabs>
          <w:tab w:leader="none" w:pos="1820" w:val="left"/>
        </w:tabs>
        <w:numPr>
          <w:ilvl w:val="3"/>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Beginning Price </w:t>
      </w:r>
      <w:r>
        <w:rPr>
          <w:rFonts w:ascii="Arial" w:cs="Arial" w:eastAsia="Arial" w:hAnsi="Arial"/>
          <w:sz w:val="20"/>
          <w:szCs w:val="20"/>
          <w:color w:val="auto"/>
        </w:rPr>
        <w:t>is the average Price for the period of 20 trading days immediately preceding the first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day of the Performance Period.</w:t>
      </w:r>
    </w:p>
    <w:p>
      <w:pPr>
        <w:ind w:left="1820" w:right="300" w:hanging="480"/>
        <w:spacing w:after="0" w:line="225" w:lineRule="auto"/>
        <w:tabs>
          <w:tab w:leader="none" w:pos="1820" w:val="left"/>
        </w:tabs>
        <w:numPr>
          <w:ilvl w:val="3"/>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Ending Price </w:t>
      </w:r>
      <w:r>
        <w:rPr>
          <w:rFonts w:ascii="Arial" w:cs="Arial" w:eastAsia="Arial" w:hAnsi="Arial"/>
          <w:sz w:val="20"/>
          <w:szCs w:val="20"/>
          <w:color w:val="auto"/>
        </w:rPr>
        <w:t>is the average Price for the period of 20 trading days immediately preceding and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final day of the Performance Period.</w:t>
      </w:r>
    </w:p>
    <w:p>
      <w:pPr>
        <w:ind w:left="1820" w:right="320" w:hanging="480"/>
        <w:spacing w:after="0" w:line="225" w:lineRule="auto"/>
        <w:tabs>
          <w:tab w:leader="none" w:pos="1820" w:val="left"/>
        </w:tabs>
        <w:numPr>
          <w:ilvl w:val="3"/>
          <w:numId w:val="7"/>
        </w:numPr>
        <w:rPr>
          <w:rFonts w:ascii="Arial" w:cs="Arial" w:eastAsia="Arial" w:hAnsi="Arial"/>
          <w:sz w:val="20"/>
          <w:szCs w:val="20"/>
          <w:color w:val="auto"/>
        </w:rPr>
      </w:pPr>
      <w:r>
        <w:rPr>
          <w:rFonts w:ascii="Arial" w:cs="Arial" w:eastAsia="Arial" w:hAnsi="Arial"/>
          <w:sz w:val="20"/>
          <w:szCs w:val="20"/>
          <w:b w:val="1"/>
          <w:bCs w:val="1"/>
          <w:i w:val="1"/>
          <w:iCs w:val="1"/>
          <w:color w:val="auto"/>
        </w:rPr>
        <w:t>Bankrupt Peer</w:t>
      </w:r>
      <w:r>
        <w:rPr>
          <w:rFonts w:ascii="Arial" w:cs="Arial" w:eastAsia="Arial" w:hAnsi="Arial"/>
          <w:sz w:val="20"/>
          <w:szCs w:val="20"/>
          <w:color w:val="auto"/>
        </w:rPr>
        <w:t>: Notwithstanding anything in the foregoing to the contrary, any Bankrupt Peer shall have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 Total Shareholder return of negative one hundred percent (-100%).</w:t>
      </w:r>
    </w:p>
    <w:p>
      <w:pPr>
        <w:ind w:left="1180" w:right="280" w:hanging="164"/>
        <w:spacing w:after="0" w:line="230" w:lineRule="auto"/>
        <w:tabs>
          <w:tab w:leader="none" w:pos="1254" w:val="left"/>
        </w:tabs>
        <w:numPr>
          <w:ilvl w:val="2"/>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Relative TSR Percentile Rank </w:t>
      </w:r>
      <w:r>
        <w:rPr>
          <w:rFonts w:ascii="Arial" w:cs="Arial" w:eastAsia="Arial" w:hAnsi="Arial"/>
          <w:sz w:val="20"/>
          <w:szCs w:val="20"/>
          <w:color w:val="auto"/>
        </w:rPr>
        <w:t>is the percentile performance of the Company as compared to the S&amp;P 500</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Companies. Relative TSR Percentile Rank is determined by ranking the Company and all other S&amp;P 500 Companies according to their respective Total Shareholder Return for the Performance Period. The ranking is in order from minimum-to-maximum, with the lowest performing entity assigned a rank of one. The Company’s ranking is then divided by the total number of entities within the S&amp;P 500 Companies to get the Relative TSR Percentile Rank.</w:t>
      </w:r>
    </w:p>
    <w:p>
      <w:pPr>
        <w:spacing w:after="0" w:line="171" w:lineRule="exact"/>
        <w:rPr>
          <w:rFonts w:ascii="Arial" w:cs="Arial" w:eastAsia="Arial" w:hAnsi="Arial"/>
          <w:sz w:val="20"/>
          <w:szCs w:val="20"/>
          <w:color w:val="auto"/>
        </w:rPr>
      </w:pPr>
    </w:p>
    <w:p>
      <w:pPr>
        <w:ind w:left="480" w:hanging="324"/>
        <w:spacing w:after="0"/>
        <w:tabs>
          <w:tab w:leader="none" w:pos="48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PSU Payout Percentage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800" w:right="240" w:hanging="320"/>
        <w:spacing w:after="0" w:line="257" w:lineRule="auto"/>
        <w:tabs>
          <w:tab w:leader="none" w:pos="80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Performance Goals</w:t>
      </w:r>
      <w:r>
        <w:rPr>
          <w:rFonts w:ascii="Arial" w:cs="Arial" w:eastAsia="Arial" w:hAnsi="Arial"/>
          <w:sz w:val="20"/>
          <w:szCs w:val="20"/>
          <w:color w:val="auto"/>
        </w:rPr>
        <w:t xml:space="preserve"> are the levels of performance set by the Committee on the Grant Date with respect to each measure of performance.</w:t>
      </w:r>
    </w:p>
    <w:p>
      <w:pPr>
        <w:spacing w:after="0" w:line="155" w:lineRule="exact"/>
        <w:rPr>
          <w:rFonts w:ascii="Arial" w:cs="Arial" w:eastAsia="Arial" w:hAnsi="Arial"/>
          <w:sz w:val="20"/>
          <w:szCs w:val="20"/>
          <w:color w:val="auto"/>
        </w:rPr>
      </w:pPr>
    </w:p>
    <w:p>
      <w:pPr>
        <w:ind w:left="800" w:right="340" w:hanging="320"/>
        <w:spacing w:after="0" w:line="237" w:lineRule="auto"/>
        <w:tabs>
          <w:tab w:leader="none" w:pos="800"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i w:val="1"/>
          <w:iCs w:val="1"/>
          <w:color w:val="auto"/>
        </w:rPr>
        <w:t>Target PSU Award</w:t>
      </w:r>
      <w:r>
        <w:rPr>
          <w:rFonts w:ascii="Arial" w:cs="Arial" w:eastAsia="Arial" w:hAnsi="Arial"/>
          <w:sz w:val="20"/>
          <w:szCs w:val="20"/>
          <w:color w:val="auto"/>
        </w:rPr>
        <w:t xml:space="preserve"> for this Agreement is based on the target number of PSUs granted by the Committee and announced in the Notice. If Achievement falls between two levels of Achievement, the resulting payout percentage will be straight line interpolated (rounding to the nearest 0.1 percent) between the payout percentages for those two levels of Achievement.</w:t>
      </w:r>
    </w:p>
    <w:p>
      <w:pPr>
        <w:spacing w:after="0" w:line="170" w:lineRule="exact"/>
        <w:rPr>
          <w:sz w:val="20"/>
          <w:szCs w:val="20"/>
          <w:color w:val="auto"/>
        </w:rPr>
      </w:pPr>
    </w:p>
    <w:p>
      <w:pPr>
        <w:ind w:left="140" w:right="820"/>
        <w:spacing w:after="0" w:line="270" w:lineRule="auto"/>
        <w:rPr>
          <w:sz w:val="20"/>
          <w:szCs w:val="20"/>
          <w:color w:val="auto"/>
        </w:rPr>
      </w:pPr>
      <w:r>
        <w:rPr>
          <w:rFonts w:ascii="Arial" w:cs="Arial" w:eastAsia="Arial" w:hAnsi="Arial"/>
          <w:sz w:val="20"/>
          <w:szCs w:val="20"/>
          <w:b w:val="1"/>
          <w:bCs w:val="1"/>
          <w:u w:val="single" w:color="auto"/>
          <w:color w:val="auto"/>
        </w:rPr>
        <w:t>Achievement Levels and Corresponding Payouts for PSUs Dependent on Cash Flow Generation Performance Measure</w:t>
      </w:r>
    </w:p>
    <w:p>
      <w:pPr>
        <w:spacing w:after="0" w:line="134" w:lineRule="exact"/>
        <w:rPr>
          <w:sz w:val="20"/>
          <w:szCs w:val="20"/>
          <w:color w:val="auto"/>
        </w:rPr>
      </w:pPr>
    </w:p>
    <w:tbl>
      <w:tblPr>
        <w:tblLayout w:type="fixed"/>
        <w:tblInd w:w="350" w:type="dxa"/>
        <w:tblCellMar>
          <w:top w:w="0" w:type="dxa"/>
          <w:left w:w="0" w:type="dxa"/>
          <w:bottom w:w="0" w:type="dxa"/>
          <w:right w:w="0" w:type="dxa"/>
        </w:tblCellMar>
      </w:tblPr>
      <w:tr>
        <w:trPr>
          <w:trHeight w:val="219"/>
        </w:trPr>
        <w:tc>
          <w:tcPr>
            <w:tcW w:w="5520" w:type="dxa"/>
            <w:vAlign w:val="bottom"/>
            <w:tcBorders>
              <w:top w:val="single" w:sz="8" w:color="auto"/>
              <w:left w:val="single" w:sz="8" w:color="auto"/>
              <w:right w:val="single" w:sz="8" w:color="auto"/>
            </w:tcBorders>
          </w:tcPr>
          <w:p>
            <w:pPr>
              <w:ind w:left="120"/>
              <w:spacing w:after="0" w:line="219" w:lineRule="exact"/>
              <w:rPr>
                <w:sz w:val="20"/>
                <w:szCs w:val="20"/>
                <w:color w:val="auto"/>
              </w:rPr>
            </w:pPr>
            <w:r>
              <w:rPr>
                <w:rFonts w:ascii="Arial" w:cs="Arial" w:eastAsia="Arial" w:hAnsi="Arial"/>
                <w:sz w:val="20"/>
                <w:szCs w:val="20"/>
                <w:b w:val="1"/>
                <w:bCs w:val="1"/>
                <w:color w:val="auto"/>
              </w:rPr>
              <w:t>Level of Achievement</w:t>
            </w:r>
          </w:p>
        </w:tc>
        <w:tc>
          <w:tcPr>
            <w:tcW w:w="2220" w:type="dxa"/>
            <w:vAlign w:val="bottom"/>
            <w:tcBorders>
              <w:top w:val="single" w:sz="8" w:color="auto"/>
              <w:right w:val="single" w:sz="8" w:color="auto"/>
            </w:tcBorders>
          </w:tcPr>
          <w:p>
            <w:pPr>
              <w:ind w:left="120"/>
              <w:spacing w:after="0" w:line="219" w:lineRule="exact"/>
              <w:rPr>
                <w:sz w:val="20"/>
                <w:szCs w:val="20"/>
                <w:color w:val="auto"/>
              </w:rPr>
            </w:pPr>
            <w:r>
              <w:rPr>
                <w:rFonts w:ascii="Arial" w:cs="Arial" w:eastAsia="Arial" w:hAnsi="Arial"/>
                <w:sz w:val="20"/>
                <w:szCs w:val="20"/>
                <w:b w:val="1"/>
                <w:bCs w:val="1"/>
                <w:color w:val="auto"/>
              </w:rPr>
              <w:t>Cash Flow</w:t>
            </w:r>
          </w:p>
        </w:tc>
        <w:tc>
          <w:tcPr>
            <w:tcW w:w="2860" w:type="dxa"/>
            <w:vAlign w:val="bottom"/>
            <w:tcBorders>
              <w:top w:val="single" w:sz="8" w:color="auto"/>
              <w:right w:val="single" w:sz="8" w:color="auto"/>
            </w:tcBorders>
          </w:tcPr>
          <w:p>
            <w:pPr>
              <w:ind w:left="120"/>
              <w:spacing w:after="0" w:line="219" w:lineRule="exact"/>
              <w:rPr>
                <w:sz w:val="20"/>
                <w:szCs w:val="20"/>
                <w:color w:val="auto"/>
              </w:rPr>
            </w:pPr>
            <w:r>
              <w:rPr>
                <w:rFonts w:ascii="Arial" w:cs="Arial" w:eastAsia="Arial" w:hAnsi="Arial"/>
                <w:sz w:val="20"/>
                <w:szCs w:val="20"/>
                <w:b w:val="1"/>
                <w:bCs w:val="1"/>
                <w:color w:val="auto"/>
              </w:rPr>
              <w:t>Payout Percentage for the</w:t>
            </w:r>
          </w:p>
        </w:tc>
        <w:tc>
          <w:tcPr>
            <w:tcW w:w="0" w:type="dxa"/>
            <w:vAlign w:val="bottom"/>
          </w:tcPr>
          <w:p>
            <w:pPr>
              <w:spacing w:after="0"/>
              <w:rPr>
                <w:sz w:val="1"/>
                <w:szCs w:val="1"/>
                <w:color w:val="auto"/>
              </w:rPr>
            </w:pPr>
          </w:p>
        </w:tc>
      </w:tr>
      <w:tr>
        <w:trPr>
          <w:trHeight w:val="216"/>
        </w:trPr>
        <w:tc>
          <w:tcPr>
            <w:tcW w:w="552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Generation Over</w:t>
            </w:r>
          </w:p>
        </w:tc>
        <w:tc>
          <w:tcPr>
            <w:tcW w:w="28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applicable half of your</w:t>
            </w:r>
          </w:p>
        </w:tc>
        <w:tc>
          <w:tcPr>
            <w:tcW w:w="0" w:type="dxa"/>
            <w:vAlign w:val="bottom"/>
          </w:tcPr>
          <w:p>
            <w:pPr>
              <w:spacing w:after="0"/>
              <w:rPr>
                <w:sz w:val="1"/>
                <w:szCs w:val="1"/>
                <w:color w:val="auto"/>
              </w:rPr>
            </w:pPr>
          </w:p>
        </w:tc>
      </w:tr>
      <w:tr>
        <w:trPr>
          <w:trHeight w:val="216"/>
        </w:trPr>
        <w:tc>
          <w:tcPr>
            <w:tcW w:w="5520" w:type="dxa"/>
            <w:vAlign w:val="bottom"/>
            <w:tcBorders>
              <w:left w:val="single" w:sz="8" w:color="auto"/>
              <w:right w:val="single" w:sz="8" w:color="auto"/>
            </w:tcBorders>
          </w:tcPr>
          <w:p>
            <w:pPr>
              <w:spacing w:after="0"/>
              <w:rPr>
                <w:sz w:val="18"/>
                <w:szCs w:val="18"/>
                <w:color w:val="auto"/>
              </w:rPr>
            </w:pPr>
          </w:p>
        </w:tc>
        <w:tc>
          <w:tcPr>
            <w:tcW w:w="222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the Performance</w:t>
            </w:r>
          </w:p>
        </w:tc>
        <w:tc>
          <w:tcPr>
            <w:tcW w:w="2860" w:type="dxa"/>
            <w:vAlign w:val="bottom"/>
            <w:tcBorders>
              <w:right w:val="single" w:sz="8" w:color="auto"/>
            </w:tcBorders>
          </w:tcPr>
          <w:p>
            <w:pPr>
              <w:ind w:left="120"/>
              <w:spacing w:after="0" w:line="216" w:lineRule="exact"/>
              <w:rPr>
                <w:sz w:val="20"/>
                <w:szCs w:val="20"/>
                <w:color w:val="auto"/>
              </w:rPr>
            </w:pPr>
            <w:r>
              <w:rPr>
                <w:rFonts w:ascii="Arial" w:cs="Arial" w:eastAsia="Arial" w:hAnsi="Arial"/>
                <w:sz w:val="20"/>
                <w:szCs w:val="20"/>
                <w:b w:val="1"/>
                <w:bCs w:val="1"/>
                <w:color w:val="auto"/>
              </w:rPr>
              <w:t>Target PSU Award</w:t>
            </w:r>
          </w:p>
        </w:tc>
        <w:tc>
          <w:tcPr>
            <w:tcW w:w="0" w:type="dxa"/>
            <w:vAlign w:val="bottom"/>
          </w:tcPr>
          <w:p>
            <w:pPr>
              <w:spacing w:after="0"/>
              <w:rPr>
                <w:sz w:val="1"/>
                <w:szCs w:val="1"/>
                <w:color w:val="auto"/>
              </w:rPr>
            </w:pPr>
          </w:p>
        </w:tc>
      </w:tr>
      <w:tr>
        <w:trPr>
          <w:trHeight w:val="253"/>
        </w:trPr>
        <w:tc>
          <w:tcPr>
            <w:tcW w:w="5520" w:type="dxa"/>
            <w:vAlign w:val="bottom"/>
            <w:tcBorders>
              <w:left w:val="single" w:sz="8" w:color="auto"/>
              <w:bottom w:val="single" w:sz="8" w:color="auto"/>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Period</w:t>
            </w:r>
          </w:p>
        </w:tc>
        <w:tc>
          <w:tcPr>
            <w:tcW w:w="2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5520" w:type="dxa"/>
            <w:vAlign w:val="bottom"/>
            <w:tcBorders>
              <w:left w:val="single" w:sz="8" w:color="auto"/>
              <w:right w:val="single" w:sz="8" w:color="auto"/>
            </w:tcBorders>
          </w:tcPr>
          <w:p>
            <w:pPr>
              <w:ind w:left="100"/>
              <w:spacing w:after="0" w:line="223"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 to</w:t>
            </w:r>
          </w:p>
        </w:tc>
        <w:tc>
          <w:tcPr>
            <w:tcW w:w="222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qualify for any payout of the Cash Flow Generation half of your Target PSU</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$9.140 Billion</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Award.)</w:t>
            </w: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2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tcBorders>
              <w:left w:val="single" w:sz="8" w:color="auto"/>
              <w:right w:val="single" w:sz="8" w:color="auto"/>
            </w:tcBorders>
          </w:tcPr>
          <w:p>
            <w:pPr>
              <w:ind w:left="100"/>
              <w:spacing w:after="0" w:line="224"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 100%</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$9.890 Billion</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payout of the Cash Flow Generation half of your Target PSU Award.)</w:t>
            </w: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2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20" w:type="dxa"/>
            <w:vAlign w:val="bottom"/>
            <w:tcBorders>
              <w:left w:val="single" w:sz="8" w:color="auto"/>
              <w:right w:val="single" w:sz="8" w:color="auto"/>
            </w:tcBorders>
          </w:tcPr>
          <w:p>
            <w:pPr>
              <w:ind w:left="100"/>
              <w:spacing w:after="0" w:line="224"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 that</w:t>
            </w:r>
          </w:p>
        </w:tc>
        <w:tc>
          <w:tcPr>
            <w:tcW w:w="222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results in an increased number of PSUs paid out under the Cash Flow</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$10.640 Billion</w:t>
            </w:r>
          </w:p>
        </w:tc>
        <w:tc>
          <w:tcPr>
            <w:tcW w:w="2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28"/>
        </w:trPr>
        <w:tc>
          <w:tcPr>
            <w:tcW w:w="55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Generation half of your Target PSU Award.)</w:t>
            </w:r>
          </w:p>
        </w:tc>
        <w:tc>
          <w:tcPr>
            <w:tcW w:w="2220" w:type="dxa"/>
            <w:vAlign w:val="bottom"/>
            <w:tcBorders>
              <w:bottom w:val="single" w:sz="8" w:color="auto"/>
              <w:right w:val="single" w:sz="8" w:color="auto"/>
            </w:tcBorders>
            <w:vMerge w:val="continue"/>
          </w:tcPr>
          <w:p>
            <w:pPr>
              <w:spacing w:after="0"/>
              <w:rPr>
                <w:sz w:val="19"/>
                <w:szCs w:val="19"/>
                <w:color w:val="auto"/>
              </w:rPr>
            </w:pPr>
          </w:p>
        </w:tc>
        <w:tc>
          <w:tcPr>
            <w:tcW w:w="28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40"/>
        <w:spacing w:after="0"/>
        <w:rPr>
          <w:sz w:val="20"/>
          <w:szCs w:val="20"/>
          <w:color w:val="auto"/>
        </w:rPr>
      </w:pPr>
      <w:r>
        <w:rPr>
          <w:rFonts w:ascii="Arial" w:cs="Arial" w:eastAsia="Arial" w:hAnsi="Arial"/>
          <w:sz w:val="20"/>
          <w:szCs w:val="20"/>
          <w:b w:val="1"/>
          <w:bCs w:val="1"/>
          <w:u w:val="single" w:color="auto"/>
          <w:color w:val="auto"/>
        </w:rPr>
        <w:t>Achievement Levels and Corresponding Payouts for PSUs Dependent on TSR</w:t>
      </w:r>
    </w:p>
    <w:p>
      <w:pPr>
        <w:spacing w:after="0" w:line="216" w:lineRule="exact"/>
        <w:rPr>
          <w:sz w:val="20"/>
          <w:szCs w:val="20"/>
          <w:color w:val="auto"/>
        </w:rPr>
      </w:pPr>
    </w:p>
    <w:p>
      <w:pPr>
        <w:ind w:left="1940"/>
        <w:spacing w:after="0"/>
        <w:rPr>
          <w:sz w:val="20"/>
          <w:szCs w:val="20"/>
          <w:color w:val="auto"/>
        </w:rPr>
      </w:pPr>
      <w:r>
        <w:rPr>
          <w:rFonts w:ascii="Arial" w:cs="Arial" w:eastAsia="Arial" w:hAnsi="Arial"/>
          <w:sz w:val="20"/>
          <w:szCs w:val="20"/>
          <w:b w:val="1"/>
          <w:bCs w:val="1"/>
          <w:color w:val="auto"/>
        </w:rPr>
        <w:t>Total Shareholder Return Relative to the S&amp;P 500 over the Performance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160" w:type="dxa"/>
            <w:vAlign w:val="bottom"/>
            <w:tcBorders>
              <w:top w:val="single" w:sz="8" w:color="auto"/>
            </w:tcBorders>
          </w:tcPr>
          <w:p>
            <w:pPr>
              <w:ind w:left="120"/>
              <w:spacing w:after="0" w:line="185" w:lineRule="exact"/>
              <w:rPr>
                <w:sz w:val="20"/>
                <w:szCs w:val="20"/>
                <w:color w:val="auto"/>
              </w:rPr>
            </w:pPr>
            <w:r>
              <w:rPr>
                <w:rFonts w:ascii="Arial" w:cs="Arial" w:eastAsia="Arial" w:hAnsi="Arial"/>
                <w:sz w:val="20"/>
                <w:szCs w:val="20"/>
                <w:b w:val="1"/>
                <w:bCs w:val="1"/>
                <w:color w:val="auto"/>
              </w:rPr>
              <w:t>Level of Achievement</w:t>
            </w:r>
          </w:p>
        </w:tc>
        <w:tc>
          <w:tcPr>
            <w:tcW w:w="36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jc w:val="center"/>
              <w:spacing w:after="0" w:line="185" w:lineRule="exact"/>
              <w:rPr>
                <w:sz w:val="20"/>
                <w:szCs w:val="20"/>
                <w:color w:val="auto"/>
              </w:rPr>
            </w:pPr>
            <w:r>
              <w:rPr>
                <w:rFonts w:ascii="Arial" w:cs="Arial" w:eastAsia="Arial" w:hAnsi="Arial"/>
                <w:sz w:val="20"/>
                <w:szCs w:val="20"/>
                <w:b w:val="1"/>
                <w:bCs w:val="1"/>
                <w:color w:val="auto"/>
                <w:w w:val="99"/>
              </w:rPr>
              <w:t>Relative TSR</w:t>
            </w:r>
          </w:p>
        </w:tc>
        <w:tc>
          <w:tcPr>
            <w:tcW w:w="3360" w:type="dxa"/>
            <w:vAlign w:val="bottom"/>
            <w:tcBorders>
              <w:top w:val="single" w:sz="8" w:color="auto"/>
            </w:tcBorders>
          </w:tcPr>
          <w:p>
            <w:pPr>
              <w:ind w:left="80"/>
              <w:spacing w:after="0" w:line="185" w:lineRule="exact"/>
              <w:rPr>
                <w:sz w:val="20"/>
                <w:szCs w:val="20"/>
                <w:color w:val="auto"/>
              </w:rPr>
            </w:pPr>
            <w:r>
              <w:rPr>
                <w:rFonts w:ascii="Arial" w:cs="Arial" w:eastAsia="Arial" w:hAnsi="Arial"/>
                <w:sz w:val="20"/>
                <w:szCs w:val="20"/>
                <w:b w:val="1"/>
                <w:bCs w:val="1"/>
                <w:color w:val="auto"/>
              </w:rPr>
              <w:t>Payout Percentage for the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Percentile Rank</w:t>
            </w:r>
          </w:p>
        </w:tc>
        <w:tc>
          <w:tcPr>
            <w:tcW w:w="3680" w:type="dxa"/>
            <w:vAlign w:val="bottom"/>
            <w:gridSpan w:val="2"/>
          </w:tcPr>
          <w:p>
            <w:pPr>
              <w:ind w:left="80"/>
              <w:spacing w:after="0" w:line="216" w:lineRule="exact"/>
              <w:rPr>
                <w:sz w:val="20"/>
                <w:szCs w:val="20"/>
                <w:color w:val="auto"/>
              </w:rPr>
            </w:pPr>
            <w:r>
              <w:rPr>
                <w:rFonts w:ascii="Arial" w:cs="Arial" w:eastAsia="Arial" w:hAnsi="Arial"/>
                <w:sz w:val="20"/>
                <w:szCs w:val="20"/>
                <w:b w:val="1"/>
                <w:bCs w:val="1"/>
                <w:color w:val="auto"/>
              </w:rPr>
              <w:t>applicable half of your Target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700" w:type="dxa"/>
            <w:vAlign w:val="bottom"/>
            <w:tcBorders>
              <w:right w:val="single" w:sz="8" w:color="auto"/>
            </w:tcBorders>
          </w:tcPr>
          <w:p>
            <w:pPr>
              <w:spacing w:after="0"/>
              <w:rPr>
                <w:sz w:val="23"/>
                <w:szCs w:val="23"/>
                <w:color w:val="auto"/>
              </w:rPr>
            </w:pPr>
          </w:p>
        </w:tc>
        <w:tc>
          <w:tcPr>
            <w:tcW w:w="3680" w:type="dxa"/>
            <w:vAlign w:val="bottom"/>
            <w:gridSpan w:val="2"/>
          </w:tcPr>
          <w:p>
            <w:pPr>
              <w:ind w:left="80"/>
              <w:spacing w:after="0"/>
              <w:rPr>
                <w:sz w:val="20"/>
                <w:szCs w:val="20"/>
                <w:color w:val="auto"/>
              </w:rPr>
            </w:pPr>
            <w:r>
              <w:rPr>
                <w:rFonts w:ascii="Arial" w:cs="Arial" w:eastAsia="Arial" w:hAnsi="Arial"/>
                <w:sz w:val="20"/>
                <w:szCs w:val="20"/>
                <w:b w:val="1"/>
                <w:bCs w:val="1"/>
                <w:color w:val="auto"/>
              </w:rPr>
              <w:t>PSU Award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60" w:type="dxa"/>
            <w:vAlign w:val="bottom"/>
          </w:tcPr>
          <w:p>
            <w:pPr>
              <w:ind w:left="100"/>
              <w:spacing w:after="0" w:line="223" w:lineRule="exact"/>
              <w:rPr>
                <w:sz w:val="20"/>
                <w:szCs w:val="20"/>
                <w:color w:val="auto"/>
              </w:rPr>
            </w:pPr>
            <w:r>
              <w:rPr>
                <w:rFonts w:ascii="Arial" w:cs="Arial" w:eastAsia="Arial" w:hAnsi="Arial"/>
                <w:sz w:val="20"/>
                <w:szCs w:val="20"/>
                <w:b w:val="1"/>
                <w:bCs w:val="1"/>
                <w:i w:val="1"/>
                <w:iCs w:val="1"/>
                <w:color w:val="auto"/>
              </w:rPr>
              <w:t xml:space="preserve">Threshold Performance </w:t>
            </w:r>
            <w:r>
              <w:rPr>
                <w:rFonts w:ascii="Arial" w:cs="Arial" w:eastAsia="Arial" w:hAnsi="Arial"/>
                <w:sz w:val="16"/>
                <w:szCs w:val="16"/>
                <w:color w:val="auto"/>
              </w:rPr>
              <w:t>(the minimum level of Achievement to</w:t>
            </w:r>
          </w:p>
        </w:tc>
        <w:tc>
          <w:tcPr>
            <w:tcW w:w="36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vMerge w:val="restart"/>
          </w:tcPr>
          <w:p>
            <w:pPr>
              <w:ind w:left="700"/>
              <w:spacing w:after="0"/>
              <w:rPr>
                <w:sz w:val="20"/>
                <w:szCs w:val="20"/>
                <w:color w:val="auto"/>
              </w:rPr>
            </w:pPr>
            <w:r>
              <w:rPr>
                <w:rFonts w:ascii="Arial" w:cs="Arial" w:eastAsia="Arial" w:hAnsi="Arial"/>
                <w:sz w:val="20"/>
                <w:szCs w:val="20"/>
                <w:color w:val="auto"/>
              </w:rPr>
              <w:t>25</w:t>
            </w:r>
            <w:r>
              <w:rPr>
                <w:rFonts w:ascii="Arial" w:cs="Arial" w:eastAsia="Arial" w:hAnsi="Arial"/>
                <w:sz w:val="32"/>
                <w:szCs w:val="32"/>
                <w:color w:val="auto"/>
                <w:vertAlign w:val="superscript"/>
              </w:rPr>
              <w:t>th</w:t>
            </w:r>
          </w:p>
        </w:tc>
        <w:tc>
          <w:tcPr>
            <w:tcW w:w="3360" w:type="dxa"/>
            <w:vAlign w:val="bottom"/>
            <w:vMerge w:val="restart"/>
          </w:tcPr>
          <w:p>
            <w:pPr>
              <w:jc w:val="right"/>
              <w:ind w:right="1341"/>
              <w:spacing w:after="0"/>
              <w:rPr>
                <w:sz w:val="20"/>
                <w:szCs w:val="20"/>
                <w:color w:val="auto"/>
              </w:rPr>
            </w:pPr>
            <w:r>
              <w:rPr>
                <w:rFonts w:ascii="Arial" w:cs="Arial" w:eastAsia="Arial" w:hAnsi="Arial"/>
                <w:sz w:val="20"/>
                <w:szCs w:val="20"/>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qualify for any payout of the TSR half of your Target PSU Award.)</w:t>
            </w:r>
          </w:p>
        </w:tc>
        <w:tc>
          <w:tcPr>
            <w:tcW w:w="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vMerge w:val="continue"/>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20" w:type="dxa"/>
            <w:vAlign w:val="bottom"/>
            <w:tcBorders>
              <w:bottom w:val="single" w:sz="8" w:color="00693C"/>
            </w:tcBorders>
          </w:tcPr>
          <w:p>
            <w:pPr>
              <w:spacing w:after="0"/>
              <w:rPr>
                <w:sz w:val="7"/>
                <w:szCs w:val="7"/>
                <w:color w:val="auto"/>
              </w:rPr>
            </w:pPr>
          </w:p>
        </w:tc>
        <w:tc>
          <w:tcPr>
            <w:tcW w:w="5160" w:type="dxa"/>
            <w:vAlign w:val="bottom"/>
            <w:tcBorders>
              <w:bottom w:val="single" w:sz="8" w:color="00693C"/>
            </w:tcBorders>
          </w:tcPr>
          <w:p>
            <w:pPr>
              <w:spacing w:after="0"/>
              <w:rPr>
                <w:sz w:val="7"/>
                <w:szCs w:val="7"/>
                <w:color w:val="auto"/>
              </w:rPr>
            </w:pPr>
          </w:p>
        </w:tc>
        <w:tc>
          <w:tcPr>
            <w:tcW w:w="360" w:type="dxa"/>
            <w:vAlign w:val="bottom"/>
            <w:tcBorders>
              <w:bottom w:val="single" w:sz="8" w:color="00693C"/>
            </w:tcBorders>
          </w:tcPr>
          <w:p>
            <w:pPr>
              <w:spacing w:after="0"/>
              <w:rPr>
                <w:sz w:val="7"/>
                <w:szCs w:val="7"/>
                <w:color w:val="auto"/>
              </w:rPr>
            </w:pPr>
          </w:p>
        </w:tc>
        <w:tc>
          <w:tcPr>
            <w:tcW w:w="1700" w:type="dxa"/>
            <w:vAlign w:val="bottom"/>
            <w:tcBorders>
              <w:bottom w:val="single" w:sz="8" w:color="00693C"/>
            </w:tcBorders>
          </w:tcPr>
          <w:p>
            <w:pPr>
              <w:spacing w:after="0"/>
              <w:rPr>
                <w:sz w:val="7"/>
                <w:szCs w:val="7"/>
                <w:color w:val="auto"/>
              </w:rPr>
            </w:pPr>
          </w:p>
        </w:tc>
        <w:tc>
          <w:tcPr>
            <w:tcW w:w="3360" w:type="dxa"/>
            <w:vAlign w:val="bottom"/>
            <w:tcBorders>
              <w:bottom w:val="single" w:sz="8" w:color="00693C"/>
            </w:tcBorders>
          </w:tcPr>
          <w:p>
            <w:pPr>
              <w:spacing w:after="0"/>
              <w:rPr>
                <w:sz w:val="7"/>
                <w:szCs w:val="7"/>
                <w:color w:val="auto"/>
              </w:rPr>
            </w:pPr>
          </w:p>
        </w:tc>
        <w:tc>
          <w:tcPr>
            <w:tcW w:w="320" w:type="dxa"/>
            <w:vAlign w:val="bottom"/>
            <w:tcBorders>
              <w:bottom w:val="single" w:sz="8" w:color="00693C"/>
            </w:tcBorders>
          </w:tcPr>
          <w:p>
            <w:pPr>
              <w:spacing w:after="0"/>
              <w:rPr>
                <w:sz w:val="7"/>
                <w:szCs w:val="7"/>
                <w:color w:val="auto"/>
              </w:rPr>
            </w:pPr>
          </w:p>
        </w:tc>
        <w:tc>
          <w:tcPr>
            <w:tcW w:w="0" w:type="dxa"/>
            <w:vAlign w:val="bottom"/>
          </w:tcPr>
          <w:p>
            <w:pPr>
              <w:spacing w:after="0"/>
              <w:rPr>
                <w:sz w:val="1"/>
                <w:szCs w:val="1"/>
                <w:color w:val="auto"/>
              </w:rPr>
            </w:pPr>
          </w:p>
        </w:tc>
      </w:tr>
      <w:tr>
        <w:trPr>
          <w:trHeight w:val="69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3</w:t>
            </w:r>
          </w:p>
        </w:tc>
        <w:tc>
          <w:tcPr>
            <w:tcW w:w="17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210185</wp:posOffset>
            </wp:positionH>
            <wp:positionV relativeFrom="page">
              <wp:posOffset>605155</wp:posOffset>
            </wp:positionV>
            <wp:extent cx="7127875" cy="6853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853555"/>
                    </a:xfrm>
                    <a:prstGeom prst="rect">
                      <a:avLst/>
                    </a:prstGeom>
                    <a:noFill/>
                  </pic:spPr>
                </pic:pic>
              </a:graphicData>
            </a:graphic>
          </wp:anchor>
        </w:drawing>
        <w:t>Total Shareholder Return Relative to the S&amp;P 500 over the Performance Period</w:t>
      </w:r>
    </w:p>
    <w:p>
      <w:pPr>
        <w:spacing w:after="0" w:line="23"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5520" w:type="dxa"/>
            <w:vAlign w:val="bottom"/>
            <w:tcBorders>
              <w:top w:val="single" w:sz="8" w:color="auto"/>
              <w:right w:val="single" w:sz="8" w:color="auto"/>
            </w:tcBorders>
          </w:tcPr>
          <w:p>
            <w:pPr>
              <w:ind w:left="120"/>
              <w:spacing w:after="0" w:line="208" w:lineRule="exact"/>
              <w:rPr>
                <w:sz w:val="20"/>
                <w:szCs w:val="20"/>
                <w:color w:val="auto"/>
              </w:rPr>
            </w:pPr>
            <w:r>
              <w:rPr>
                <w:rFonts w:ascii="Arial" w:cs="Arial" w:eastAsia="Arial" w:hAnsi="Arial"/>
                <w:sz w:val="20"/>
                <w:szCs w:val="20"/>
                <w:b w:val="1"/>
                <w:bCs w:val="1"/>
                <w:i w:val="1"/>
                <w:iCs w:val="1"/>
                <w:color w:val="auto"/>
              </w:rPr>
              <w:t xml:space="preserve">Target Performance </w:t>
            </w:r>
            <w:r>
              <w:rPr>
                <w:rFonts w:ascii="Arial" w:cs="Arial" w:eastAsia="Arial" w:hAnsi="Arial"/>
                <w:sz w:val="16"/>
                <w:szCs w:val="16"/>
                <w:color w:val="auto"/>
              </w:rPr>
              <w:t>(the level of Achievement to qualify for 100%</w:t>
            </w:r>
          </w:p>
        </w:tc>
        <w:tc>
          <w:tcPr>
            <w:tcW w:w="1700" w:type="dxa"/>
            <w:vAlign w:val="bottom"/>
            <w:tcBorders>
              <w:top w:val="single" w:sz="8" w:color="auto"/>
              <w:right w:val="single" w:sz="8" w:color="auto"/>
            </w:tcBorders>
            <w:vMerge w:val="restart"/>
          </w:tcPr>
          <w:p>
            <w:pPr>
              <w:ind w:left="660"/>
              <w:spacing w:after="0"/>
              <w:rPr>
                <w:sz w:val="20"/>
                <w:szCs w:val="20"/>
                <w:color w:val="auto"/>
              </w:rPr>
            </w:pPr>
            <w:r>
              <w:rPr>
                <w:rFonts w:ascii="Arial" w:cs="Arial" w:eastAsia="Arial" w:hAnsi="Arial"/>
                <w:sz w:val="20"/>
                <w:szCs w:val="20"/>
                <w:color w:val="auto"/>
              </w:rPr>
              <w:t>50</w:t>
            </w:r>
            <w:r>
              <w:rPr>
                <w:rFonts w:ascii="Arial" w:cs="Arial" w:eastAsia="Arial" w:hAnsi="Arial"/>
                <w:sz w:val="32"/>
                <w:szCs w:val="32"/>
                <w:color w:val="auto"/>
                <w:vertAlign w:val="superscript"/>
              </w:rPr>
              <w:t>th</w:t>
            </w:r>
          </w:p>
        </w:tc>
        <w:tc>
          <w:tcPr>
            <w:tcW w:w="3360" w:type="dxa"/>
            <w:vAlign w:val="bottom"/>
            <w:tcBorders>
              <w:top w:val="single" w:sz="8" w:color="auto"/>
            </w:tcBorders>
            <w:vMerge w:val="restart"/>
          </w:tcPr>
          <w:p>
            <w:pPr>
              <w:jc w:val="right"/>
              <w:ind w:right="1341"/>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payout of the TSR half of your Target PSU Award.)</w:t>
            </w:r>
          </w:p>
        </w:tc>
        <w:tc>
          <w:tcPr>
            <w:tcW w:w="1700" w:type="dxa"/>
            <w:vAlign w:val="bottom"/>
            <w:tcBorders>
              <w:bottom w:val="single" w:sz="8" w:color="auto"/>
              <w:right w:val="single" w:sz="8" w:color="auto"/>
            </w:tcBorders>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20" w:type="dxa"/>
            <w:vAlign w:val="bottom"/>
            <w:tcBorders>
              <w:right w:val="single" w:sz="8" w:color="auto"/>
            </w:tcBorders>
          </w:tcPr>
          <w:p>
            <w:pPr>
              <w:ind w:left="120"/>
              <w:spacing w:after="0" w:line="208" w:lineRule="exact"/>
              <w:rPr>
                <w:sz w:val="20"/>
                <w:szCs w:val="20"/>
                <w:color w:val="auto"/>
              </w:rPr>
            </w:pPr>
            <w:r>
              <w:rPr>
                <w:rFonts w:ascii="Arial" w:cs="Arial" w:eastAsia="Arial" w:hAnsi="Arial"/>
                <w:sz w:val="20"/>
                <w:szCs w:val="20"/>
                <w:b w:val="1"/>
                <w:bCs w:val="1"/>
                <w:i w:val="1"/>
                <w:iCs w:val="1"/>
                <w:color w:val="auto"/>
              </w:rPr>
              <w:t xml:space="preserve">Maximum Performance </w:t>
            </w:r>
            <w:r>
              <w:rPr>
                <w:rFonts w:ascii="Arial" w:cs="Arial" w:eastAsia="Arial" w:hAnsi="Arial"/>
                <w:sz w:val="16"/>
                <w:szCs w:val="16"/>
                <w:color w:val="auto"/>
              </w:rPr>
              <w:t>(the maximum level of Achievement that</w:t>
            </w:r>
          </w:p>
        </w:tc>
        <w:tc>
          <w:tcPr>
            <w:tcW w:w="1700" w:type="dxa"/>
            <w:vAlign w:val="bottom"/>
            <w:tcBorders>
              <w:right w:val="single" w:sz="8" w:color="auto"/>
            </w:tcBorders>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results in an increased number of PSUs paid out under the TSR half of</w:t>
            </w:r>
          </w:p>
        </w:tc>
        <w:tc>
          <w:tcPr>
            <w:tcW w:w="1700" w:type="dxa"/>
            <w:vAlign w:val="bottom"/>
            <w:tcBorders>
              <w:right w:val="single" w:sz="8" w:color="auto"/>
            </w:tcBorders>
            <w:vMerge w:val="restart"/>
          </w:tcPr>
          <w:p>
            <w:pPr>
              <w:ind w:left="660"/>
              <w:spacing w:after="0"/>
              <w:rPr>
                <w:sz w:val="20"/>
                <w:szCs w:val="20"/>
                <w:color w:val="auto"/>
              </w:rPr>
            </w:pPr>
            <w:r>
              <w:rPr>
                <w:rFonts w:ascii="Arial" w:cs="Arial" w:eastAsia="Arial" w:hAnsi="Arial"/>
                <w:sz w:val="20"/>
                <w:szCs w:val="20"/>
                <w:color w:val="auto"/>
              </w:rPr>
              <w:t>75</w:t>
            </w:r>
            <w:r>
              <w:rPr>
                <w:rFonts w:ascii="Arial" w:cs="Arial" w:eastAsia="Arial" w:hAnsi="Arial"/>
                <w:sz w:val="32"/>
                <w:szCs w:val="32"/>
                <w:color w:val="auto"/>
                <w:vertAlign w:val="superscript"/>
              </w:rPr>
              <w:t>th</w:t>
            </w:r>
          </w:p>
        </w:tc>
        <w:tc>
          <w:tcPr>
            <w:tcW w:w="3360" w:type="dxa"/>
            <w:vAlign w:val="bottom"/>
            <w:vMerge w:val="restart"/>
          </w:tcPr>
          <w:p>
            <w:pPr>
              <w:jc w:val="right"/>
              <w:ind w:right="1341"/>
              <w:spacing w:after="0"/>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your Target PSU Award.)</w:t>
            </w:r>
          </w:p>
        </w:tc>
        <w:tc>
          <w:tcPr>
            <w:tcW w:w="1700" w:type="dxa"/>
            <w:vAlign w:val="bottom"/>
            <w:tcBorders>
              <w:bottom w:val="single" w:sz="8" w:color="auto"/>
              <w:right w:val="single" w:sz="8" w:color="auto"/>
            </w:tcBorders>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right="120" w:hanging="324"/>
        <w:spacing w:after="0" w:line="243" w:lineRule="auto"/>
        <w:tabs>
          <w:tab w:leader="none" w:pos="34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Timing and Form of Payment of PSU Award</w:t>
      </w:r>
      <w:r>
        <w:rPr>
          <w:rFonts w:ascii="Arial" w:cs="Arial" w:eastAsia="Arial" w:hAnsi="Arial"/>
          <w:sz w:val="19"/>
          <w:szCs w:val="19"/>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Arial" w:cs="Arial" w:eastAsia="Arial" w:hAnsi="Arial"/>
          <w:sz w:val="19"/>
          <w:szCs w:val="19"/>
          <w:b w:val="1"/>
          <w:bCs w:val="1"/>
          <w:i w:val="1"/>
          <w:iCs w:val="1"/>
          <w:color w:val="auto"/>
        </w:rPr>
        <w:t>PSU Awarded Shares</w:t>
      </w:r>
      <w:r>
        <w:rPr>
          <w:rFonts w:ascii="Arial" w:cs="Arial" w:eastAsia="Arial" w:hAnsi="Arial"/>
          <w:sz w:val="19"/>
          <w:szCs w:val="19"/>
          <w:color w:val="auto"/>
        </w:rPr>
        <w:t>”). Unless you have a valid deferral in place for your PSU Award (see paragraph 8 under “Important Award Details” for further information on permitted deferrals), the Company will deliver the PSU Awarded Shares and payment of the corresponding Dividend Equivalent as soon as administratively feasible (and no later than 74 days after the end of the Performance Period) after the Committee’s certification and determination.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Important Award Details</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55" w:lineRule="exact"/>
        <w:rPr>
          <w:sz w:val="20"/>
          <w:szCs w:val="20"/>
          <w:color w:val="auto"/>
        </w:rPr>
      </w:pPr>
    </w:p>
    <w:p>
      <w:pPr>
        <w:ind w:left="340" w:right="20" w:hanging="324"/>
        <w:spacing w:after="0" w:line="245" w:lineRule="auto"/>
        <w:tabs>
          <w:tab w:leader="none" w:pos="340" w:val="left"/>
        </w:tabs>
        <w:numPr>
          <w:ilvl w:val="0"/>
          <w:numId w:val="1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specifically Section 409A(a)(2)(C)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Employee (or in the case of Employee’s death, Employee’s beneficiary) shall, subject to paragraph 2.e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which shall be paid no later than 74 days following the end of the Performance Period.</w:t>
      </w:r>
    </w:p>
    <w:p>
      <w:pPr>
        <w:spacing w:after="0" w:line="166" w:lineRule="exact"/>
        <w:rPr>
          <w:rFonts w:ascii="Arial" w:cs="Arial" w:eastAsia="Arial" w:hAnsi="Arial"/>
          <w:sz w:val="19"/>
          <w:szCs w:val="19"/>
          <w:u w:val="single" w:color="auto"/>
          <w:color w:val="auto"/>
        </w:rPr>
      </w:pPr>
    </w:p>
    <w:p>
      <w:pPr>
        <w:ind w:left="340" w:hanging="324"/>
        <w:spacing w:after="0"/>
        <w:tabs>
          <w:tab w:leader="none" w:pos="340" w:val="left"/>
        </w:tabs>
        <w:numPr>
          <w:ilvl w:val="0"/>
          <w:numId w:val="11"/>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Treatment of PSU Awards Upon Retirement or Involuntary Termination of Employment Without Cause by WM</w:t>
      </w:r>
      <w:r>
        <w:rPr>
          <w:rFonts w:ascii="Arial" w:cs="Arial" w:eastAsia="Arial" w:hAnsi="Arial"/>
          <w:sz w:val="20"/>
          <w:szCs w:val="20"/>
          <w:color w:val="auto"/>
        </w:rPr>
        <w:t>.</w:t>
      </w:r>
    </w:p>
    <w:p>
      <w:pPr>
        <w:spacing w:after="0" w:line="202" w:lineRule="exact"/>
        <w:rPr>
          <w:rFonts w:ascii="Arial" w:cs="Arial" w:eastAsia="Arial" w:hAnsi="Arial"/>
          <w:sz w:val="20"/>
          <w:szCs w:val="20"/>
          <w:u w:val="single" w:color="auto"/>
          <w:color w:val="auto"/>
        </w:rPr>
      </w:pPr>
    </w:p>
    <w:p>
      <w:pPr>
        <w:ind w:left="560" w:right="180" w:hanging="332"/>
        <w:spacing w:after="0" w:line="232" w:lineRule="auto"/>
        <w:tabs>
          <w:tab w:leader="none" w:pos="5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Upon an involuntary Termination of Employment by WM without Cause, Employee shall, subject to the requirements below,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Performance Period and has as its denominator 1095 (which amount shall be issued and paid as soon as practicable and no later than 74 days following the end of the Performance Period).</w:t>
      </w:r>
    </w:p>
    <w:p>
      <w:pPr>
        <w:spacing w:after="0" w:line="171" w:lineRule="exact"/>
        <w:rPr>
          <w:rFonts w:ascii="Arial" w:cs="Arial" w:eastAsia="Arial" w:hAnsi="Arial"/>
          <w:sz w:val="20"/>
          <w:szCs w:val="20"/>
          <w:color w:val="auto"/>
        </w:rPr>
      </w:pPr>
    </w:p>
    <w:p>
      <w:pPr>
        <w:ind w:left="560" w:right="80" w:hanging="332"/>
        <w:spacing w:after="0" w:line="230" w:lineRule="auto"/>
        <w:tabs>
          <w:tab w:leader="none" w:pos="5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Upon Employee’s Retirement, Employee shall be entitled to 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multiplied by the fraction which has as its numerator the total number of days that Employee was employed by WM during the first 12 months of the Performance Period and has as its denominator 365 (which amount shall be issued and paid as soon as practicable and no later than 74 days following the end of the Performance Period). To illustrate the application of the preceding sentence, if Employee’s Retirement is on or after December 31, 2025, he or she shall be eligible to receive a full payout at the end of the Performance Period (based upon actual Achievement).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13335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60" w:top="1088" w:right="479" w:bottom="1440" w:gutter="0" w:footer="0" w:header="0"/>
        </w:sectPr>
      </w:pPr>
    </w:p>
    <w:bookmarkStart w:id="9" w:name="page10"/>
    <w:bookmarkEnd w:id="9"/>
    <w:p>
      <w:pPr>
        <w:ind w:left="340" w:right="360" w:hanging="332"/>
        <w:spacing w:after="0" w:line="252" w:lineRule="auto"/>
        <w:tabs>
          <w:tab w:leader="none" w:pos="340" w:val="left"/>
        </w:tabs>
        <w:numPr>
          <w:ilvl w:val="0"/>
          <w:numId w:val="1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330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330315"/>
                    </a:xfrm>
                    <a:prstGeom prst="rect">
                      <a:avLst/>
                    </a:prstGeom>
                    <a:noFill/>
                  </pic:spPr>
                </pic:pic>
              </a:graphicData>
            </a:graphic>
          </wp:anchor>
        </w:drawing>
        <w:t>In the event Employee is employed by a subsidiary of the Company that is sold by the Company in a transaction (i) that would not constitute a Corporate Change, but (ii) that would constitute a Corporate Change with the subsidiary substituted for Company thereunder, such transaction shall be deemed to constitute an involuntary Termination of Employment by WM without Cause as of the effective date of such Transaction and Employee’s termination.</w:t>
      </w:r>
    </w:p>
    <w:p>
      <w:pPr>
        <w:spacing w:after="0" w:line="162" w:lineRule="exact"/>
        <w:rPr>
          <w:rFonts w:ascii="Arial" w:cs="Arial" w:eastAsia="Arial" w:hAnsi="Arial"/>
          <w:sz w:val="19"/>
          <w:szCs w:val="19"/>
          <w:color w:val="auto"/>
        </w:rPr>
      </w:pPr>
    </w:p>
    <w:p>
      <w:pPr>
        <w:ind w:left="340" w:hanging="332"/>
        <w:spacing w:after="0"/>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980" w:right="140" w:hanging="324"/>
        <w:spacing w:after="0" w:line="233" w:lineRule="auto"/>
        <w:tabs>
          <w:tab w:leader="none" w:pos="980" w:val="left"/>
        </w:tabs>
        <w:numPr>
          <w:ilvl w:val="1"/>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 Employee,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72" w:lineRule="exact"/>
        <w:rPr>
          <w:rFonts w:ascii="Arial" w:cs="Arial" w:eastAsia="Arial" w:hAnsi="Arial"/>
          <w:sz w:val="20"/>
          <w:szCs w:val="20"/>
          <w:color w:val="auto"/>
        </w:rPr>
      </w:pPr>
    </w:p>
    <w:p>
      <w:pPr>
        <w:ind w:left="980" w:right="100" w:hanging="324"/>
        <w:spacing w:after="0" w:line="232" w:lineRule="auto"/>
        <w:tabs>
          <w:tab w:leader="none" w:pos="980" w:val="left"/>
        </w:tabs>
        <w:numPr>
          <w:ilvl w:val="1"/>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 the case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71" w:lineRule="exact"/>
        <w:rPr>
          <w:rFonts w:ascii="Arial" w:cs="Arial" w:eastAsia="Arial" w:hAnsi="Arial"/>
          <w:sz w:val="20"/>
          <w:szCs w:val="20"/>
          <w:color w:val="auto"/>
        </w:rPr>
      </w:pPr>
    </w:p>
    <w:p>
      <w:pPr>
        <w:ind w:left="980" w:hanging="324"/>
        <w:spacing w:after="0" w:line="233" w:lineRule="auto"/>
        <w:tabs>
          <w:tab w:leader="none" w:pos="980" w:val="left"/>
        </w:tabs>
        <w:numPr>
          <w:ilvl w:val="1"/>
          <w:numId w:val="12"/>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Termination of Employment </w:t>
      </w:r>
      <w:r>
        <w:rPr>
          <w:rFonts w:ascii="Arial" w:cs="Arial" w:eastAsia="Arial" w:hAnsi="Arial"/>
          <w:sz w:val="20"/>
          <w:szCs w:val="20"/>
          <w:color w:val="auto"/>
        </w:rPr>
        <w:t>means the termination of Employee’s employment or other service relationship</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72" w:lineRule="exact"/>
        <w:rPr>
          <w:rFonts w:ascii="Arial" w:cs="Arial" w:eastAsia="Arial" w:hAnsi="Arial"/>
          <w:sz w:val="20"/>
          <w:szCs w:val="20"/>
          <w:color w:val="auto"/>
        </w:rPr>
      </w:pPr>
    </w:p>
    <w:p>
      <w:pPr>
        <w:ind w:left="980" w:hanging="324"/>
        <w:spacing w:after="0" w:line="242" w:lineRule="auto"/>
        <w:tabs>
          <w:tab w:leader="none" w:pos="980" w:val="left"/>
        </w:tabs>
        <w:numPr>
          <w:ilvl w:val="1"/>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Cause </w:t>
      </w:r>
      <w:r>
        <w:rPr>
          <w:rFonts w:ascii="Arial" w:cs="Arial" w:eastAsia="Arial" w:hAnsi="Arial"/>
          <w:sz w:val="19"/>
          <w:szCs w:val="19"/>
          <w:color w:val="auto"/>
        </w:rPr>
        <w:t>means any of the following: (1) willful or deliberate and continual refusal to materially perform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w:t>
      </w:r>
    </w:p>
    <w:p>
      <w:pPr>
        <w:ind w:left="980" w:right="60"/>
        <w:spacing w:after="0" w:line="230" w:lineRule="auto"/>
        <w:rPr>
          <w:rFonts w:ascii="Arial" w:cs="Arial" w:eastAsia="Arial" w:hAnsi="Arial"/>
          <w:sz w:val="19"/>
          <w:szCs w:val="19"/>
          <w:color w:val="auto"/>
        </w:rPr>
      </w:pPr>
      <w:r>
        <w:rPr>
          <w:rFonts w:ascii="Arial" w:cs="Arial" w:eastAsia="Arial" w:hAnsi="Arial"/>
          <w:sz w:val="20"/>
          <w:szCs w:val="20"/>
          <w:color w:val="auto"/>
        </w:rPr>
        <w:t xml:space="preserve">(2)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1" w:lineRule="exact"/>
        <w:rPr>
          <w:rFonts w:ascii="Arial" w:cs="Arial" w:eastAsia="Arial" w:hAnsi="Arial"/>
          <w:sz w:val="19"/>
          <w:szCs w:val="19"/>
          <w:color w:val="auto"/>
        </w:rPr>
      </w:pPr>
    </w:p>
    <w:p>
      <w:pPr>
        <w:ind w:left="340" w:right="240" w:hanging="332"/>
        <w:spacing w:after="0" w:line="234" w:lineRule="auto"/>
        <w:tabs>
          <w:tab w:leader="none" w:pos="3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order to receive any of the vesting or exercisability benefits upon termination described in paragraphs 1, 2, and 3 (except resignation), Employee (or, if applicable, Employee’s estate) must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200" w:lineRule="exact"/>
        <w:rPr>
          <w:sz w:val="20"/>
          <w:szCs w:val="20"/>
          <w:color w:val="auto"/>
        </w:rPr>
      </w:pPr>
    </w:p>
    <w:p>
      <w:pPr>
        <w:spacing w:after="0" w:line="312"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13335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0"/>
          </w:cols>
          <w:pgMar w:left="680" w:top="1036" w:right="499" w:bottom="1440" w:gutter="0" w:footer="0" w:header="0"/>
        </w:sectPr>
      </w:pPr>
    </w:p>
    <w:bookmarkStart w:id="10" w:name="page11"/>
    <w:bookmarkEnd w:id="10"/>
    <w:p>
      <w:pPr>
        <w:ind w:left="324" w:hanging="324"/>
        <w:spacing w:after="0"/>
        <w:tabs>
          <w:tab w:leader="none" w:pos="324" w:val="left"/>
        </w:tabs>
        <w:numPr>
          <w:ilvl w:val="0"/>
          <w:numId w:val="1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6878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878955"/>
                    </a:xfrm>
                    <a:prstGeom prst="rect">
                      <a:avLst/>
                    </a:prstGeom>
                    <a:noFill/>
                  </pic:spPr>
                </pic:pic>
              </a:graphicData>
            </a:graphic>
          </wp:anchor>
        </w:drawing>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u w:val="single" w:color="auto"/>
          <w:color w:val="auto"/>
        </w:rPr>
      </w:pPr>
    </w:p>
    <w:p>
      <w:pPr>
        <w:ind w:left="544" w:right="80" w:hanging="332"/>
        <w:spacing w:after="0" w:line="233" w:lineRule="auto"/>
        <w:tabs>
          <w:tab w:leader="none" w:pos="544"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PSU Awards in the Event of Involuntary Termination with Cause or Resignation by Employee</w:t>
      </w:r>
      <w:r>
        <w:rPr>
          <w:rFonts w:ascii="Arial" w:cs="Arial" w:eastAsia="Arial" w:hAnsi="Arial"/>
          <w:sz w:val="20"/>
          <w:szCs w:val="20"/>
          <w:color w:val="auto"/>
        </w:rPr>
        <w:t>. Except as provided in paragraphs 1 through 2 above and 5 below, Employee must be an employee of WM continuously from the Grant Date through the close of business on last day of the Performance Period for PSUs to be entitled to receive payment of any PSU Award. Upon Termination of Employment on or before the last day of the Performance Period for PSUs, Employee shall immediately forfeit the PSU Award and any related Dividend Equivalents without payment of any consideration by WM.</w:t>
      </w:r>
    </w:p>
    <w:p>
      <w:pPr>
        <w:spacing w:after="0" w:line="172" w:lineRule="exact"/>
        <w:rPr>
          <w:rFonts w:ascii="Arial" w:cs="Arial" w:eastAsia="Arial" w:hAnsi="Arial"/>
          <w:sz w:val="20"/>
          <w:szCs w:val="20"/>
          <w:color w:val="auto"/>
        </w:rPr>
      </w:pPr>
    </w:p>
    <w:p>
      <w:pPr>
        <w:ind w:left="324" w:hanging="324"/>
        <w:spacing w:after="0"/>
        <w:tabs>
          <w:tab w:leader="none" w:pos="324" w:val="left"/>
        </w:tabs>
        <w:numPr>
          <w:ilvl w:val="0"/>
          <w:numId w:val="13"/>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Recoupment Provisions</w:t>
      </w:r>
    </w:p>
    <w:p>
      <w:pPr>
        <w:spacing w:after="0" w:line="202" w:lineRule="exact"/>
        <w:rPr>
          <w:rFonts w:ascii="Arial" w:cs="Arial" w:eastAsia="Arial" w:hAnsi="Arial"/>
          <w:sz w:val="20"/>
          <w:szCs w:val="20"/>
          <w:u w:val="single" w:color="auto"/>
          <w:color w:val="auto"/>
        </w:rPr>
      </w:pPr>
    </w:p>
    <w:p>
      <w:pPr>
        <w:ind w:left="624" w:hanging="331"/>
        <w:spacing w:after="0"/>
        <w:tabs>
          <w:tab w:leader="none" w:pos="624" w:val="left"/>
        </w:tabs>
        <w:numPr>
          <w:ilvl w:val="2"/>
          <w:numId w:val="13"/>
        </w:numPr>
        <w:rPr>
          <w:rFonts w:ascii="Arial" w:cs="Arial" w:eastAsia="Arial" w:hAnsi="Arial"/>
          <w:sz w:val="20"/>
          <w:szCs w:val="20"/>
          <w:color w:val="auto"/>
        </w:rPr>
      </w:pPr>
      <w:r>
        <w:rPr>
          <w:rFonts w:ascii="Arial" w:cs="Arial" w:eastAsia="Arial" w:hAnsi="Arial"/>
          <w:sz w:val="20"/>
          <w:szCs w:val="20"/>
          <w:u w:val="single" w:color="auto"/>
          <w:color w:val="auto"/>
        </w:rPr>
        <w:t>Clawback Policy.</w:t>
      </w:r>
    </w:p>
    <w:p>
      <w:pPr>
        <w:spacing w:after="0" w:line="202" w:lineRule="exact"/>
        <w:rPr>
          <w:rFonts w:ascii="Arial" w:cs="Arial" w:eastAsia="Arial" w:hAnsi="Arial"/>
          <w:sz w:val="20"/>
          <w:szCs w:val="20"/>
          <w:color w:val="auto"/>
        </w:rPr>
      </w:pPr>
    </w:p>
    <w:p>
      <w:pPr>
        <w:ind w:left="1184" w:hanging="324"/>
        <w:spacing w:after="0" w:line="227" w:lineRule="auto"/>
        <w:tabs>
          <w:tab w:leader="none" w:pos="1184" w:val="left"/>
        </w:tabs>
        <w:numPr>
          <w:ilvl w:val="4"/>
          <w:numId w:val="13"/>
        </w:numPr>
        <w:rPr>
          <w:rFonts w:ascii="Arial" w:cs="Arial" w:eastAsia="Arial" w:hAnsi="Arial"/>
          <w:sz w:val="20"/>
          <w:szCs w:val="20"/>
          <w:color w:val="auto"/>
        </w:rPr>
      </w:pPr>
      <w:r>
        <w:rPr>
          <w:rFonts w:ascii="Arial" w:cs="Arial" w:eastAsia="Arial" w:hAnsi="Arial"/>
          <w:sz w:val="20"/>
          <w:szCs w:val="20"/>
          <w:color w:val="auto"/>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rFonts w:ascii="Arial" w:cs="Arial" w:eastAsia="Arial" w:hAnsi="Arial"/>
          <w:sz w:val="20"/>
          <w:szCs w:val="20"/>
          <w:b w:val="1"/>
          <w:bCs w:val="1"/>
          <w:i w:val="1"/>
          <w:iCs w:val="1"/>
          <w:color w:val="auto"/>
        </w:rPr>
        <w:t>Clawback Policy</w:t>
      </w:r>
      <w:r>
        <w:rPr>
          <w:rFonts w:ascii="Arial" w:cs="Arial" w:eastAsia="Arial" w:hAnsi="Arial"/>
          <w:sz w:val="20"/>
          <w:szCs w:val="20"/>
          <w:color w:val="auto"/>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rFonts w:ascii="Arial" w:cs="Arial" w:eastAsia="Arial" w:hAnsi="Arial"/>
          <w:sz w:val="20"/>
          <w:szCs w:val="20"/>
          <w:b w:val="1"/>
          <w:bCs w:val="1"/>
          <w:i w:val="1"/>
          <w:iCs w:val="1"/>
          <w:color w:val="auto"/>
        </w:rPr>
        <w:t>Clawback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Proceeding</w:t>
      </w:r>
      <w:r>
        <w:rPr>
          <w:rFonts w:ascii="Arial" w:cs="Arial" w:eastAsia="Arial" w:hAnsi="Arial"/>
          <w:sz w:val="20"/>
          <w:szCs w:val="20"/>
          <w:color w:val="auto"/>
        </w:rPr>
        <w:t>”) or loss (including judgments, fines, taxes, penalties or amounts paid in settlement by or on behalf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p>
      <w:pPr>
        <w:spacing w:after="0" w:line="181" w:lineRule="exact"/>
        <w:rPr>
          <w:rFonts w:ascii="Arial" w:cs="Arial" w:eastAsia="Arial" w:hAnsi="Arial"/>
          <w:sz w:val="20"/>
          <w:szCs w:val="20"/>
          <w:color w:val="auto"/>
        </w:rPr>
      </w:pPr>
    </w:p>
    <w:p>
      <w:pPr>
        <w:ind w:left="624" w:hanging="331"/>
        <w:spacing w:after="0"/>
        <w:tabs>
          <w:tab w:leader="none" w:pos="624" w:val="left"/>
        </w:tabs>
        <w:numPr>
          <w:ilvl w:val="2"/>
          <w:numId w:val="13"/>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p>
    <w:p>
      <w:pPr>
        <w:spacing w:after="0" w:line="202" w:lineRule="exact"/>
        <w:rPr>
          <w:rFonts w:ascii="Arial" w:cs="Arial" w:eastAsia="Arial" w:hAnsi="Arial"/>
          <w:sz w:val="20"/>
          <w:szCs w:val="20"/>
          <w:color w:val="auto"/>
        </w:rPr>
      </w:pPr>
    </w:p>
    <w:p>
      <w:pPr>
        <w:ind w:left="944" w:right="80" w:hanging="327"/>
        <w:spacing w:after="0" w:line="231" w:lineRule="auto"/>
        <w:tabs>
          <w:tab w:leader="none" w:pos="944" w:val="left"/>
        </w:tabs>
        <w:numPr>
          <w:ilvl w:val="3"/>
          <w:numId w:val="13"/>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Misconduct</w:t>
      </w:r>
      <w:r>
        <w:rPr>
          <w:rFonts w:ascii="Arial" w:cs="Arial" w:eastAsia="Arial" w:hAnsi="Arial"/>
          <w:sz w:val="20"/>
          <w:szCs w:val="20"/>
          <w:color w:val="auto"/>
        </w:rPr>
        <w:t xml:space="preserve"> means any act or failure to act by any employee of WM that (i) caused or was intended to 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200" w:lineRule="exact"/>
        <w:rPr>
          <w:sz w:val="20"/>
          <w:szCs w:val="20"/>
          <w:color w:val="auto"/>
        </w:rPr>
      </w:pPr>
    </w:p>
    <w:p>
      <w:pPr>
        <w:spacing w:after="0" w:line="300"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4"/>
          </w:cols>
          <w:pgMar w:left="476" w:top="1036" w:right="499" w:bottom="1440" w:gutter="0" w:footer="0" w:header="0"/>
        </w:sectPr>
      </w:pPr>
    </w:p>
    <w:bookmarkStart w:id="11" w:name="page12"/>
    <w:bookmarkEnd w:id="11"/>
    <w:p>
      <w:pPr>
        <w:ind w:left="944" w:right="60" w:hanging="327"/>
        <w:spacing w:after="0" w:line="237" w:lineRule="auto"/>
        <w:tabs>
          <w:tab w:leader="none" w:pos="944" w:val="left"/>
        </w:tabs>
        <w:numPr>
          <w:ilvl w:val="2"/>
          <w:numId w:val="1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016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016115"/>
                    </a:xfrm>
                    <a:prstGeom prst="rect">
                      <a:avLst/>
                    </a:prstGeom>
                    <a:noFill/>
                  </pic:spPr>
                </pic:pic>
              </a:graphicData>
            </a:graphic>
          </wp:anchor>
        </w:drawing>
        <w:t>Following a determination of Misconduct by Employee, Employee may dispute such determination pursuant to binding arbitration as set forth below under “General Terms” provided, however, that if Employee is determined to have benefited from, but not engaged in, Misconduct, Employee will have no right to dispute such determination and such determination shall be conclusive and binding.</w:t>
      </w:r>
    </w:p>
    <w:p>
      <w:pPr>
        <w:spacing w:after="0" w:line="171" w:lineRule="exact"/>
        <w:rPr>
          <w:rFonts w:ascii="Arial" w:cs="Arial" w:eastAsia="Arial" w:hAnsi="Arial"/>
          <w:sz w:val="20"/>
          <w:szCs w:val="20"/>
          <w:color w:val="auto"/>
        </w:rPr>
      </w:pPr>
    </w:p>
    <w:p>
      <w:pPr>
        <w:ind w:left="944" w:right="480" w:hanging="327"/>
        <w:spacing w:after="0" w:line="257" w:lineRule="auto"/>
        <w:tabs>
          <w:tab w:leader="none" w:pos="944" w:val="left"/>
        </w:tabs>
        <w:numPr>
          <w:ilvl w:val="2"/>
          <w:numId w:val="14"/>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by the earliest of (i) one year after discovery of alleged Misconduct, or (ii) the second anniversary of Employee’s Termination of Employment.</w:t>
      </w:r>
    </w:p>
    <w:p>
      <w:pPr>
        <w:spacing w:after="0" w:line="155" w:lineRule="exact"/>
        <w:rPr>
          <w:rFonts w:ascii="Arial" w:cs="Arial" w:eastAsia="Arial" w:hAnsi="Arial"/>
          <w:sz w:val="20"/>
          <w:szCs w:val="20"/>
          <w:color w:val="auto"/>
        </w:rPr>
      </w:pPr>
    </w:p>
    <w:p>
      <w:pPr>
        <w:ind w:left="944" w:hanging="327"/>
        <w:spacing w:after="0" w:line="257" w:lineRule="auto"/>
        <w:tabs>
          <w:tab w:leader="none" w:pos="944" w:val="left"/>
        </w:tabs>
        <w:numPr>
          <w:ilvl w:val="2"/>
          <w:numId w:val="14"/>
        </w:numPr>
        <w:rPr>
          <w:rFonts w:ascii="Arial" w:cs="Arial" w:eastAsia="Arial" w:hAnsi="Arial"/>
          <w:sz w:val="20"/>
          <w:szCs w:val="20"/>
          <w:color w:val="auto"/>
        </w:rPr>
      </w:pPr>
      <w:r>
        <w:rPr>
          <w:rFonts w:ascii="Arial" w:cs="Arial" w:eastAsia="Arial" w:hAnsi="Arial"/>
          <w:sz w:val="20"/>
          <w:szCs w:val="20"/>
          <w:color w:val="auto"/>
        </w:rPr>
        <w:t>The provisions of this paragraph, without any implication as to any other provision of this Agreement, shall survive the expiration or termination of this Agreement and Employee’s employment.</w:t>
      </w:r>
    </w:p>
    <w:p>
      <w:pPr>
        <w:spacing w:after="0" w:line="155" w:lineRule="exact"/>
        <w:rPr>
          <w:rFonts w:ascii="Arial" w:cs="Arial" w:eastAsia="Arial" w:hAnsi="Arial"/>
          <w:sz w:val="20"/>
          <w:szCs w:val="20"/>
          <w:color w:val="auto"/>
        </w:rPr>
      </w:pPr>
    </w:p>
    <w:p>
      <w:pPr>
        <w:ind w:left="324" w:hanging="324"/>
        <w:spacing w:after="0"/>
        <w:tabs>
          <w:tab w:leader="none" w:pos="324" w:val="left"/>
        </w:tabs>
        <w:numPr>
          <w:ilvl w:val="0"/>
          <w:numId w:val="1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Acceleration upon Corporate Change</w:t>
      </w:r>
      <w:r>
        <w:rPr>
          <w:rFonts w:ascii="Arial" w:cs="Arial" w:eastAsia="Arial" w:hAnsi="Arial"/>
          <w:sz w:val="20"/>
          <w:szCs w:val="20"/>
          <w:color w:val="auto"/>
        </w:rPr>
        <w:t>. Overriding any other inconsistent terms of this Agreement:</w:t>
      </w:r>
    </w:p>
    <w:p>
      <w:pPr>
        <w:spacing w:after="0" w:line="202" w:lineRule="exact"/>
        <w:rPr>
          <w:rFonts w:ascii="Arial" w:cs="Arial" w:eastAsia="Arial" w:hAnsi="Arial"/>
          <w:sz w:val="20"/>
          <w:szCs w:val="20"/>
          <w:u w:val="single" w:color="auto"/>
          <w:color w:val="auto"/>
        </w:rPr>
      </w:pPr>
    </w:p>
    <w:p>
      <w:pPr>
        <w:ind w:left="544" w:right="620" w:hanging="332"/>
        <w:spacing w:after="0" w:line="257" w:lineRule="auto"/>
        <w:tabs>
          <w:tab w:leader="none" w:pos="544"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PSU Award</w:t>
      </w:r>
      <w:r>
        <w:rPr>
          <w:rFonts w:ascii="Arial" w:cs="Arial" w:eastAsia="Arial" w:hAnsi="Arial"/>
          <w:sz w:val="20"/>
          <w:szCs w:val="20"/>
          <w:color w:val="auto"/>
        </w:rPr>
        <w:t>. If there is a Corporate Change before the close of the Performance Period, Employee is entitled to receive both i. and ii., as follows:</w:t>
      </w:r>
    </w:p>
    <w:p>
      <w:pPr>
        <w:spacing w:after="0" w:line="155" w:lineRule="exact"/>
        <w:rPr>
          <w:rFonts w:ascii="Arial" w:cs="Arial" w:eastAsia="Arial" w:hAnsi="Arial"/>
          <w:sz w:val="20"/>
          <w:szCs w:val="20"/>
          <w:color w:val="auto"/>
        </w:rPr>
      </w:pPr>
    </w:p>
    <w:p>
      <w:pPr>
        <w:ind w:left="1184" w:hanging="324"/>
        <w:spacing w:after="0"/>
        <w:tabs>
          <w:tab w:leader="none" w:pos="1184" w:val="left"/>
        </w:tabs>
        <w:numPr>
          <w:ilvl w:val="3"/>
          <w:numId w:val="15"/>
        </w:numPr>
        <w:rPr>
          <w:rFonts w:ascii="Arial" w:cs="Arial" w:eastAsia="Arial" w:hAnsi="Arial"/>
          <w:sz w:val="20"/>
          <w:szCs w:val="20"/>
          <w:color w:val="auto"/>
        </w:rPr>
      </w:pPr>
      <w:r>
        <w:rPr>
          <w:rFonts w:ascii="Arial" w:cs="Arial" w:eastAsia="Arial" w:hAnsi="Arial"/>
          <w:sz w:val="20"/>
          <w:szCs w:val="20"/>
          <w:color w:val="auto"/>
        </w:rPr>
        <w:t>For each half of the PSU Award, the result of an equation with a numerator of</w:t>
      </w:r>
    </w:p>
    <w:p>
      <w:pPr>
        <w:spacing w:after="0" w:line="202" w:lineRule="exact"/>
        <w:rPr>
          <w:rFonts w:ascii="Arial" w:cs="Arial" w:eastAsia="Arial" w:hAnsi="Arial"/>
          <w:sz w:val="20"/>
          <w:szCs w:val="20"/>
          <w:color w:val="auto"/>
        </w:rPr>
      </w:pPr>
    </w:p>
    <w:p>
      <w:pPr>
        <w:ind w:left="1824" w:right="140" w:hanging="640"/>
        <w:spacing w:after="0" w:line="241" w:lineRule="auto"/>
        <w:tabs>
          <w:tab w:leader="none" w:pos="1824" w:val="left"/>
        </w:tabs>
        <w:numPr>
          <w:ilvl w:val="4"/>
          <w:numId w:val="15"/>
        </w:numPr>
        <w:rPr>
          <w:rFonts w:ascii="Arial" w:cs="Arial" w:eastAsia="Arial" w:hAnsi="Arial"/>
          <w:sz w:val="19"/>
          <w:szCs w:val="19"/>
          <w:color w:val="auto"/>
        </w:rPr>
      </w:pPr>
      <w:r>
        <w:rPr>
          <w:rFonts w:ascii="Arial" w:cs="Arial" w:eastAsia="Arial" w:hAnsi="Arial"/>
          <w:sz w:val="19"/>
          <w:szCs w:val="19"/>
          <w:color w:val="auto"/>
        </w:rPr>
        <w:t>the respective number of PSUs Employee would have otherwise received based upon achievement of the applicable Performance Goal after reducing the Performance Period so that it ends on the last day of the quarter preceding the Corporate Change (the “</w:t>
      </w:r>
      <w:r>
        <w:rPr>
          <w:rFonts w:ascii="Arial" w:cs="Arial" w:eastAsia="Arial" w:hAnsi="Arial"/>
          <w:sz w:val="19"/>
          <w:szCs w:val="19"/>
          <w:b w:val="1"/>
          <w:bCs w:val="1"/>
          <w:i w:val="1"/>
          <w:iCs w:val="1"/>
          <w:color w:val="auto"/>
        </w:rPr>
        <w:t>Early Measurement Date</w:t>
      </w:r>
      <w:r>
        <w:rPr>
          <w:rFonts w:ascii="Arial" w:cs="Arial" w:eastAsia="Arial" w:hAnsi="Arial"/>
          <w:sz w:val="19"/>
          <w:szCs w:val="19"/>
          <w:color w:val="auto"/>
        </w:rPr>
        <w:t>”) and, for the Cash Flow Generation half of the PSU Award, after adjusting the Threshold, Target and Maximum Achievement Levels to reflect budgeted performance in the shorter Performance Period, multiplied by</w:t>
      </w:r>
    </w:p>
    <w:p>
      <w:pPr>
        <w:spacing w:after="0" w:line="1" w:lineRule="exact"/>
        <w:rPr>
          <w:rFonts w:ascii="Arial" w:cs="Arial" w:eastAsia="Arial" w:hAnsi="Arial"/>
          <w:sz w:val="19"/>
          <w:szCs w:val="19"/>
          <w:color w:val="auto"/>
        </w:rPr>
      </w:pPr>
    </w:p>
    <w:p>
      <w:pPr>
        <w:ind w:left="1824" w:right="160" w:hanging="640"/>
        <w:spacing w:after="0" w:line="264" w:lineRule="auto"/>
        <w:tabs>
          <w:tab w:leader="none" w:pos="1824" w:val="left"/>
        </w:tabs>
        <w:numPr>
          <w:ilvl w:val="4"/>
          <w:numId w:val="15"/>
        </w:numPr>
        <w:rPr>
          <w:rFonts w:ascii="Arial" w:cs="Arial" w:eastAsia="Arial" w:hAnsi="Arial"/>
          <w:sz w:val="19"/>
          <w:szCs w:val="19"/>
          <w:color w:val="auto"/>
        </w:rPr>
      </w:pPr>
      <w:r>
        <w:rPr>
          <w:rFonts w:ascii="Arial" w:cs="Arial" w:eastAsia="Arial" w:hAnsi="Arial"/>
          <w:sz w:val="19"/>
          <w:szCs w:val="19"/>
          <w:color w:val="auto"/>
        </w:rPr>
        <w:t>a fraction equal to (1) the number of days occurring between the beginning of the Performance Period and the Early Measurement Date (including the Early Measurement Date) divided by (2) 1095.</w:t>
      </w:r>
    </w:p>
    <w:p>
      <w:pPr>
        <w:spacing w:after="0" w:line="149" w:lineRule="exact"/>
        <w:rPr>
          <w:sz w:val="20"/>
          <w:szCs w:val="20"/>
          <w:color w:val="auto"/>
        </w:rPr>
      </w:pPr>
    </w:p>
    <w:p>
      <w:pPr>
        <w:ind w:left="1184" w:right="20"/>
        <w:spacing w:after="0" w:line="237" w:lineRule="auto"/>
        <w:rPr>
          <w:sz w:val="20"/>
          <w:szCs w:val="20"/>
          <w:color w:val="auto"/>
        </w:rPr>
      </w:pPr>
      <w:r>
        <w:rPr>
          <w:rFonts w:ascii="Arial" w:cs="Arial" w:eastAsia="Arial" w:hAnsi="Arial"/>
          <w:sz w:val="20"/>
          <w:szCs w:val="20"/>
          <w:color w:val="auto"/>
        </w:rPr>
        <w:t>Payout of the PSUs shall be an immediate cash payment (in all events paid within 74 days following the Corporate Change) equal to the number of PSUs earned under this paragraph 5.a. multiplied by the closing stock price of the Common Stock on the Early Measurement Date and will be accompanied by a cash payment of the associated Dividend Equivalents through the Early Measurement Date; and</w:t>
      </w:r>
    </w:p>
    <w:p>
      <w:pPr>
        <w:spacing w:after="0" w:line="172" w:lineRule="exact"/>
        <w:rPr>
          <w:sz w:val="20"/>
          <w:szCs w:val="20"/>
          <w:color w:val="auto"/>
        </w:rPr>
      </w:pPr>
    </w:p>
    <w:p>
      <w:pPr>
        <w:ind w:left="1184" w:right="540" w:hanging="324"/>
        <w:spacing w:after="0" w:line="257" w:lineRule="auto"/>
        <w:tabs>
          <w:tab w:leader="none" w:pos="1184" w:val="left"/>
        </w:tabs>
        <w:numPr>
          <w:ilvl w:val="0"/>
          <w:numId w:val="16"/>
        </w:numPr>
        <w:rPr>
          <w:rFonts w:ascii="Arial" w:cs="Arial" w:eastAsia="Arial" w:hAnsi="Arial"/>
          <w:sz w:val="20"/>
          <w:szCs w:val="20"/>
          <w:color w:val="auto"/>
        </w:rPr>
      </w:pPr>
      <w:r>
        <w:rPr>
          <w:rFonts w:ascii="Arial" w:cs="Arial" w:eastAsia="Arial" w:hAnsi="Arial"/>
          <w:sz w:val="20"/>
          <w:szCs w:val="20"/>
          <w:color w:val="auto"/>
        </w:rPr>
        <w:t>As a substitute award for the lost opportunity to continue to earn PSUs for the entire length of the original Performance Period:</w:t>
      </w:r>
    </w:p>
    <w:p>
      <w:pPr>
        <w:spacing w:after="0" w:line="155" w:lineRule="exact"/>
        <w:rPr>
          <w:rFonts w:ascii="Arial" w:cs="Arial" w:eastAsia="Arial" w:hAnsi="Arial"/>
          <w:sz w:val="20"/>
          <w:szCs w:val="20"/>
          <w:color w:val="auto"/>
        </w:rPr>
      </w:pPr>
    </w:p>
    <w:p>
      <w:pPr>
        <w:ind w:left="1504" w:right="140" w:hanging="320"/>
        <w:spacing w:after="0" w:line="237" w:lineRule="auto"/>
        <w:tabs>
          <w:tab w:leader="none" w:pos="1504" w:val="left"/>
        </w:tabs>
        <w:numPr>
          <w:ilvl w:val="1"/>
          <w:numId w:val="16"/>
        </w:numPr>
        <w:rPr>
          <w:rFonts w:ascii="Arial" w:cs="Arial" w:eastAsia="Arial" w:hAnsi="Arial"/>
          <w:sz w:val="20"/>
          <w:szCs w:val="20"/>
          <w:color w:val="auto"/>
        </w:rPr>
      </w:pPr>
      <w:r>
        <w:rPr>
          <w:rFonts w:ascii="Arial" w:cs="Arial" w:eastAsia="Arial" w:hAnsi="Arial"/>
          <w:sz w:val="20"/>
          <w:szCs w:val="20"/>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20"/>
          <w:szCs w:val="20"/>
          <w:b w:val="1"/>
          <w:bCs w:val="1"/>
          <w:u w:val="single" w:color="auto"/>
          <w:color w:val="auto"/>
        </w:rPr>
        <w:t>TAP X (1095 – EMD) x CP</w:t>
      </w:r>
    </w:p>
    <w:p>
      <w:pPr>
        <w:jc w:val="center"/>
        <w:ind w:right="-43"/>
        <w:spacing w:after="0" w:line="231" w:lineRule="auto"/>
        <w:rPr>
          <w:sz w:val="20"/>
          <w:szCs w:val="20"/>
          <w:color w:val="auto"/>
        </w:rPr>
      </w:pPr>
      <w:r>
        <w:rPr>
          <w:rFonts w:ascii="Arial" w:cs="Arial" w:eastAsia="Arial" w:hAnsi="Arial"/>
          <w:sz w:val="20"/>
          <w:szCs w:val="20"/>
          <w:b w:val="1"/>
          <w:bCs w:val="1"/>
          <w:color w:val="auto"/>
        </w:rPr>
        <w:t>1095</w:t>
      </w:r>
    </w:p>
    <w:p>
      <w:pPr>
        <w:ind w:left="2164"/>
        <w:spacing w:after="0" w:line="226" w:lineRule="auto"/>
        <w:rPr>
          <w:sz w:val="20"/>
          <w:szCs w:val="20"/>
          <w:color w:val="auto"/>
        </w:rPr>
      </w:pPr>
      <w:r>
        <w:rPr>
          <w:rFonts w:ascii="Arial" w:cs="Arial" w:eastAsia="Arial" w:hAnsi="Arial"/>
          <w:sz w:val="20"/>
          <w:szCs w:val="20"/>
          <w:color w:val="auto"/>
        </w:rPr>
        <w:t>where</w:t>
      </w:r>
    </w:p>
    <w:p>
      <w:pPr>
        <w:ind w:left="3444"/>
        <w:spacing w:after="0" w:line="225" w:lineRule="auto"/>
        <w:rPr>
          <w:sz w:val="20"/>
          <w:szCs w:val="20"/>
          <w:color w:val="auto"/>
        </w:rPr>
      </w:pPr>
      <w:r>
        <w:rPr>
          <w:rFonts w:ascii="Arial" w:cs="Arial" w:eastAsia="Arial" w:hAnsi="Arial"/>
          <w:sz w:val="20"/>
          <w:szCs w:val="20"/>
          <w:b w:val="1"/>
          <w:bCs w:val="1"/>
          <w:color w:val="auto"/>
        </w:rPr>
        <w:t xml:space="preserve">TAP </w:t>
      </w:r>
      <w:r>
        <w:rPr>
          <w:rFonts w:ascii="Arial" w:cs="Arial" w:eastAsia="Arial" w:hAnsi="Arial"/>
          <w:sz w:val="20"/>
          <w:szCs w:val="20"/>
          <w:color w:val="auto"/>
        </w:rPr>
        <w:t>is the number of PSUs represented by the Target PSU Award;</w:t>
      </w:r>
    </w:p>
    <w:p>
      <w:pPr>
        <w:spacing w:after="0" w:line="1" w:lineRule="exact"/>
        <w:rPr>
          <w:sz w:val="20"/>
          <w:szCs w:val="20"/>
          <w:color w:val="auto"/>
        </w:rPr>
      </w:pPr>
    </w:p>
    <w:p>
      <w:pPr>
        <w:ind w:left="1504" w:right="140" w:firstLine="1944"/>
        <w:spacing w:after="0" w:line="225" w:lineRule="auto"/>
        <w:rPr>
          <w:sz w:val="20"/>
          <w:szCs w:val="20"/>
          <w:color w:val="auto"/>
        </w:rPr>
      </w:pPr>
      <w:r>
        <w:rPr>
          <w:rFonts w:ascii="Arial" w:cs="Arial" w:eastAsia="Arial" w:hAnsi="Arial"/>
          <w:sz w:val="20"/>
          <w:szCs w:val="20"/>
          <w:b w:val="1"/>
          <w:bCs w:val="1"/>
          <w:color w:val="auto"/>
        </w:rPr>
        <w:t xml:space="preserve">EMD </w:t>
      </w:r>
      <w:r>
        <w:rPr>
          <w:rFonts w:ascii="Arial" w:cs="Arial" w:eastAsia="Arial" w:hAnsi="Arial"/>
          <w:sz w:val="20"/>
          <w:szCs w:val="20"/>
          <w:color w:val="auto"/>
        </w:rPr>
        <w:t>is the number of days during the Performance Period which occur prior to and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Early Measurement Date; and</w:t>
      </w:r>
    </w:p>
    <w:p>
      <w:pPr>
        <w:ind w:left="3444"/>
        <w:spacing w:after="0" w:line="226" w:lineRule="auto"/>
        <w:rPr>
          <w:sz w:val="20"/>
          <w:szCs w:val="20"/>
          <w:color w:val="auto"/>
        </w:rPr>
      </w:pPr>
      <w:r>
        <w:rPr>
          <w:rFonts w:ascii="Arial" w:cs="Arial" w:eastAsia="Arial" w:hAnsi="Arial"/>
          <w:sz w:val="20"/>
          <w:szCs w:val="20"/>
          <w:b w:val="1"/>
          <w:bCs w:val="1"/>
          <w:color w:val="auto"/>
        </w:rPr>
        <w:t xml:space="preserve">CP </w:t>
      </w:r>
      <w:r>
        <w:rPr>
          <w:rFonts w:ascii="Arial" w:cs="Arial" w:eastAsia="Arial" w:hAnsi="Arial"/>
          <w:sz w:val="20"/>
          <w:szCs w:val="20"/>
          <w:color w:val="auto"/>
        </w:rPr>
        <w:t>is the closing price of a share of Common Stock of the Company on the Early</w:t>
      </w:r>
    </w:p>
    <w:p>
      <w:pPr>
        <w:ind w:left="1504"/>
        <w:spacing w:after="0"/>
        <w:rPr>
          <w:sz w:val="20"/>
          <w:szCs w:val="20"/>
          <w:color w:val="auto"/>
        </w:rPr>
      </w:pPr>
      <w:r>
        <w:rPr>
          <w:rFonts w:ascii="Arial" w:cs="Arial" w:eastAsia="Arial" w:hAnsi="Arial"/>
          <w:sz w:val="20"/>
          <w:szCs w:val="20"/>
          <w:color w:val="auto"/>
        </w:rPr>
        <w:t>Measurement Date.</w:t>
      </w:r>
    </w:p>
    <w:p>
      <w:pPr>
        <w:spacing w:after="0" w:line="184" w:lineRule="exact"/>
        <w:rPr>
          <w:sz w:val="20"/>
          <w:szCs w:val="20"/>
          <w:color w:val="auto"/>
        </w:rPr>
      </w:pPr>
    </w:p>
    <w:p>
      <w:pPr>
        <w:ind w:left="1504" w:right="20"/>
        <w:spacing w:after="0" w:line="257" w:lineRule="auto"/>
        <w:rPr>
          <w:sz w:val="20"/>
          <w:szCs w:val="20"/>
          <w:color w:val="auto"/>
        </w:rPr>
      </w:pPr>
      <w:r>
        <w:rPr>
          <w:rFonts w:ascii="Arial" w:cs="Arial" w:eastAsia="Arial" w:hAnsi="Arial"/>
          <w:sz w:val="20"/>
          <w:szCs w:val="20"/>
          <w:color w:val="auto"/>
        </w:rPr>
        <w:t>Any restricted stock units in the successor entity awarded under this paragraph 5.a.ii.1. will vest completely on December 31, 2026 (and be paid within 74 days thereof), provided that Employee</w:t>
      </w:r>
    </w:p>
    <w:p>
      <w:pPr>
        <w:spacing w:after="0" w:line="200" w:lineRule="exact"/>
        <w:rPr>
          <w:sz w:val="20"/>
          <w:szCs w:val="20"/>
          <w:color w:val="auto"/>
        </w:rPr>
      </w:pPr>
    </w:p>
    <w:p>
      <w:pPr>
        <w:spacing w:after="0" w:line="293" w:lineRule="exact"/>
        <w:rPr>
          <w:sz w:val="20"/>
          <w:szCs w:val="20"/>
          <w:color w:val="auto"/>
        </w:rPr>
      </w:pPr>
    </w:p>
    <w:p>
      <w:pPr>
        <w:jc w:val="center"/>
        <w:ind w:right="-43"/>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4"/>
          </w:cols>
          <w:pgMar w:left="476" w:top="1036" w:right="539" w:bottom="1440" w:gutter="0" w:footer="0" w:header="0"/>
        </w:sectPr>
      </w:pPr>
    </w:p>
    <w:bookmarkStart w:id="12" w:name="page13"/>
    <w:bookmarkEnd w:id="12"/>
    <w:p>
      <w:pPr>
        <w:ind w:left="1504"/>
        <w:spacing w:after="0" w:line="23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016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7016115"/>
                    </a:xfrm>
                    <a:prstGeom prst="rect">
                      <a:avLst/>
                    </a:prstGeom>
                    <a:noFill/>
                  </pic:spPr>
                </pic:pic>
              </a:graphicData>
            </a:graphic>
          </wp:anchor>
        </w:drawing>
        <w:t xml:space="preserve">remains continuously employed with the successor entity until then. Provided however, in the event of Employee’s involuntary Termination of Employment without Cause during the </w:t>
      </w:r>
      <w:r>
        <w:rPr>
          <w:rFonts w:ascii="Arial" w:cs="Arial" w:eastAsia="Arial" w:hAnsi="Arial"/>
          <w:sz w:val="20"/>
          <w:szCs w:val="20"/>
          <w:b w:val="1"/>
          <w:bCs w:val="1"/>
          <w:i w:val="1"/>
          <w:iCs w:val="1"/>
          <w:color w:val="auto"/>
        </w:rPr>
        <w:t>Window Period</w:t>
      </w:r>
      <w:r>
        <w:rPr>
          <w:rFonts w:ascii="Arial" w:cs="Arial" w:eastAsia="Arial" w:hAnsi="Arial"/>
          <w:sz w:val="20"/>
          <w:szCs w:val="20"/>
          <w:color w:val="auto"/>
        </w:rPr>
        <w:t xml:space="preserve"> (as defined in paragraph d.iv. below) or upon Employee’s Retirement, death or Disability, Employee shall become immediately vested in full in the restricted stock units in the successor entity awarded pursuant to this paragraph 5.a.ii.1 and paid (i) in the case of death or Disability, within 74 days of such time or (ii) in the case of Retirement or involuntary Termination of Employment without Cause, within 74 days following December 31, 2026.</w:t>
      </w:r>
    </w:p>
    <w:p>
      <w:pPr>
        <w:spacing w:after="0" w:line="172" w:lineRule="exact"/>
        <w:rPr>
          <w:sz w:val="20"/>
          <w:szCs w:val="20"/>
          <w:color w:val="auto"/>
        </w:rPr>
      </w:pPr>
    </w:p>
    <w:p>
      <w:pPr>
        <w:ind w:left="1504" w:right="320" w:hanging="320"/>
        <w:spacing w:after="0" w:line="257" w:lineRule="auto"/>
        <w:tabs>
          <w:tab w:leader="none" w:pos="1504" w:val="left"/>
        </w:tabs>
        <w:numPr>
          <w:ilvl w:val="4"/>
          <w:numId w:val="17"/>
        </w:numPr>
        <w:rPr>
          <w:rFonts w:ascii="Arial" w:cs="Arial" w:eastAsia="Arial" w:hAnsi="Arial"/>
          <w:sz w:val="20"/>
          <w:szCs w:val="20"/>
          <w:color w:val="auto"/>
        </w:rPr>
      </w:pPr>
      <w:r>
        <w:rPr>
          <w:rFonts w:ascii="Arial" w:cs="Arial" w:eastAsia="Arial" w:hAnsi="Arial"/>
          <w:sz w:val="20"/>
          <w:szCs w:val="20"/>
          <w:color w:val="auto"/>
        </w:rPr>
        <w:t>If the successor entity is not a publicly traded company as of the Early Measurement Date, an amount of cash equal to the quotient obtained from the equation in paragraph 5.a.ii.1. above.</w:t>
      </w:r>
    </w:p>
    <w:p>
      <w:pPr>
        <w:spacing w:after="0" w:line="155" w:lineRule="exact"/>
        <w:rPr>
          <w:rFonts w:ascii="Arial" w:cs="Arial" w:eastAsia="Arial" w:hAnsi="Arial"/>
          <w:sz w:val="20"/>
          <w:szCs w:val="20"/>
          <w:color w:val="auto"/>
        </w:rPr>
      </w:pPr>
    </w:p>
    <w:p>
      <w:pPr>
        <w:ind w:left="1504" w:right="20"/>
        <w:spacing w:after="0" w:line="231" w:lineRule="auto"/>
        <w:rPr>
          <w:rFonts w:ascii="Arial" w:cs="Arial" w:eastAsia="Arial" w:hAnsi="Arial"/>
          <w:sz w:val="20"/>
          <w:szCs w:val="20"/>
          <w:color w:val="auto"/>
        </w:rPr>
      </w:pPr>
      <w:r>
        <w:rPr>
          <w:rFonts w:ascii="Arial" w:cs="Arial" w:eastAsia="Arial" w:hAnsi="Arial"/>
          <w:sz w:val="20"/>
          <w:szCs w:val="20"/>
          <w:color w:val="auto"/>
        </w:rPr>
        <w:t>Any cash payment awarded under this paragraph 5.a.ii.2. will be paid to Employee as soon as administratively feasible (and no later than 74 days) following December 31, 2026, provided that Employee remains continuously employed with the successor entity until such date. Provided however, in the event of Employee’s involuntary Termination of Employment without Cause during the Window Period or upon Employee’s Retirement, death or Disability, Employee shall become vested and be paid such cash payment by the successor entity (i) in the case of death or Disability, within 74 days of such time or (ii) in the case of Retirement or involuntary Termination of Employment without Cause, within 74 days following December 31, 2026.</w:t>
      </w:r>
    </w:p>
    <w:p>
      <w:pPr>
        <w:spacing w:after="0" w:line="173" w:lineRule="exact"/>
        <w:rPr>
          <w:rFonts w:ascii="Arial" w:cs="Arial" w:eastAsia="Arial" w:hAnsi="Arial"/>
          <w:sz w:val="20"/>
          <w:szCs w:val="20"/>
          <w:color w:val="auto"/>
        </w:rPr>
      </w:pPr>
    </w:p>
    <w:p>
      <w:pPr>
        <w:ind w:left="864" w:right="120" w:hanging="328"/>
        <w:spacing w:after="0" w:line="241" w:lineRule="auto"/>
        <w:tabs>
          <w:tab w:leader="none" w:pos="864" w:val="left"/>
        </w:tabs>
        <w:numPr>
          <w:ilvl w:val="2"/>
          <w:numId w:val="18"/>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 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which a Corporate Change first occurs and ending on the second anniversary of the date on which a Corporate Change occurs.</w:t>
      </w:r>
    </w:p>
    <w:p>
      <w:pPr>
        <w:spacing w:after="0" w:line="171" w:lineRule="exact"/>
        <w:rPr>
          <w:rFonts w:ascii="Arial" w:cs="Arial" w:eastAsia="Arial" w:hAnsi="Arial"/>
          <w:sz w:val="20"/>
          <w:szCs w:val="20"/>
          <w:color w:val="auto"/>
        </w:rPr>
      </w:pPr>
    </w:p>
    <w:p>
      <w:pPr>
        <w:ind w:left="324" w:hanging="324"/>
        <w:spacing w:after="0"/>
        <w:tabs>
          <w:tab w:leader="none" w:pos="324" w:val="left"/>
        </w:tabs>
        <w:numPr>
          <w:ilvl w:val="0"/>
          <w:numId w:val="1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w:t>
      </w:r>
    </w:p>
    <w:p>
      <w:pPr>
        <w:spacing w:after="0" w:line="202" w:lineRule="exact"/>
        <w:rPr>
          <w:rFonts w:ascii="Arial" w:cs="Arial" w:eastAsia="Arial" w:hAnsi="Arial"/>
          <w:sz w:val="20"/>
          <w:szCs w:val="20"/>
          <w:u w:val="single" w:color="auto"/>
          <w:color w:val="auto"/>
        </w:rPr>
      </w:pPr>
    </w:p>
    <w:p>
      <w:pPr>
        <w:ind w:left="864" w:hanging="328"/>
        <w:spacing w:after="0"/>
        <w:tabs>
          <w:tab w:leader="none" w:pos="864" w:val="left"/>
        </w:tabs>
        <w:numPr>
          <w:ilvl w:val="2"/>
          <w:numId w:val="19"/>
        </w:numPr>
        <w:rPr>
          <w:rFonts w:ascii="Arial" w:cs="Arial" w:eastAsia="Arial" w:hAnsi="Arial"/>
          <w:sz w:val="19"/>
          <w:szCs w:val="19"/>
          <w:color w:val="auto"/>
        </w:rPr>
      </w:pPr>
      <w:r>
        <w:rPr>
          <w:rFonts w:ascii="Arial" w:cs="Arial" w:eastAsia="Arial" w:hAnsi="Arial"/>
          <w:sz w:val="19"/>
          <w:szCs w:val="19"/>
          <w:color w:val="auto"/>
        </w:rPr>
        <w:t>The Company will pay Dividend Equivalents with respect to the PSUs when (i) the Performance Period has ended;</w:t>
      </w:r>
    </w:p>
    <w:p>
      <w:pPr>
        <w:spacing w:after="0" w:line="15" w:lineRule="exact"/>
        <w:rPr>
          <w:rFonts w:ascii="Arial" w:cs="Arial" w:eastAsia="Arial" w:hAnsi="Arial"/>
          <w:sz w:val="19"/>
          <w:szCs w:val="19"/>
          <w:color w:val="auto"/>
        </w:rPr>
      </w:pPr>
    </w:p>
    <w:p>
      <w:pPr>
        <w:ind w:left="864" w:right="360" w:hanging="4"/>
        <w:spacing w:after="0" w:line="237" w:lineRule="auto"/>
        <w:tabs>
          <w:tab w:leader="none" w:pos="1138" w:val="left"/>
        </w:tabs>
        <w:numPr>
          <w:ilvl w:val="3"/>
          <w:numId w:val="19"/>
        </w:numPr>
        <w:rPr>
          <w:rFonts w:ascii="Arial" w:cs="Arial" w:eastAsia="Arial" w:hAnsi="Arial"/>
          <w:sz w:val="19"/>
          <w:szCs w:val="19"/>
          <w:color w:val="auto"/>
        </w:rPr>
      </w:pPr>
      <w:r>
        <w:rPr>
          <w:rFonts w:ascii="Arial" w:cs="Arial" w:eastAsia="Arial" w:hAnsi="Arial"/>
          <w:sz w:val="19"/>
          <w:szCs w:val="19"/>
          <w:color w:val="auto"/>
        </w:rPr>
        <w:t>Employee has vested in the Award; and (iii) the PSU Awarded Shares have been certified by the Committee based on actual Achievement during the Performance Period (or otherwise determined pursuant to paragraph</w:t>
      </w:r>
    </w:p>
    <w:p>
      <w:pPr>
        <w:ind w:left="864" w:right="40"/>
        <w:spacing w:after="0" w:line="230" w:lineRule="auto"/>
        <w:rPr>
          <w:rFonts w:ascii="Arial" w:cs="Arial" w:eastAsia="Arial" w:hAnsi="Arial"/>
          <w:sz w:val="19"/>
          <w:szCs w:val="19"/>
          <w:color w:val="auto"/>
        </w:rPr>
      </w:pPr>
      <w:r>
        <w:rPr>
          <w:rFonts w:ascii="Arial" w:cs="Arial" w:eastAsia="Arial" w:hAnsi="Arial"/>
          <w:sz w:val="20"/>
          <w:szCs w:val="20"/>
          <w:color w:val="auto"/>
        </w:rPr>
        <w:t>6.a.i. above). As soon as administratively feasible after these events (and no later than 74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171" w:lineRule="exact"/>
        <w:rPr>
          <w:rFonts w:ascii="Arial" w:cs="Arial" w:eastAsia="Arial" w:hAnsi="Arial"/>
          <w:sz w:val="19"/>
          <w:szCs w:val="19"/>
          <w:color w:val="auto"/>
        </w:rPr>
      </w:pPr>
    </w:p>
    <w:p>
      <w:pPr>
        <w:ind w:left="324" w:hanging="324"/>
        <w:spacing w:after="0"/>
        <w:tabs>
          <w:tab w:leader="none" w:pos="324" w:val="left"/>
        </w:tabs>
        <w:numPr>
          <w:ilvl w:val="0"/>
          <w:numId w:val="19"/>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Deferral</w:t>
      </w:r>
      <w:r>
        <w:rPr>
          <w:rFonts w:ascii="Arial" w:cs="Arial" w:eastAsia="Arial" w:hAnsi="Arial"/>
          <w:sz w:val="20"/>
          <w:szCs w:val="20"/>
          <w:color w:val="auto"/>
        </w:rPr>
        <w:t>.</w:t>
      </w:r>
    </w:p>
    <w:p>
      <w:pPr>
        <w:spacing w:after="0" w:line="202" w:lineRule="exact"/>
        <w:rPr>
          <w:rFonts w:ascii="Arial" w:cs="Arial" w:eastAsia="Arial" w:hAnsi="Arial"/>
          <w:sz w:val="20"/>
          <w:szCs w:val="20"/>
          <w:u w:val="single" w:color="auto"/>
          <w:color w:val="auto"/>
        </w:rPr>
      </w:pPr>
    </w:p>
    <w:p>
      <w:pPr>
        <w:ind w:left="544" w:right="100" w:hanging="332"/>
        <w:spacing w:after="0" w:line="245" w:lineRule="auto"/>
        <w:tabs>
          <w:tab w:leader="none" w:pos="544"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Committee may establish procedures for Employee to elect for deferral, until a time or times later than the vesting of PSU Awards, receipt of all or a portion of the shares of Common Stock deliverable under the Awards. Any such deferral must be under the terms and conditions determined in the sole discretion of the Committee (or its designee) and the Waste Management, Inc. 409A Deferral Savings Plan (“</w:t>
      </w:r>
      <w:r>
        <w:rPr>
          <w:rFonts w:ascii="Arial" w:cs="Arial" w:eastAsia="Arial" w:hAnsi="Arial"/>
          <w:sz w:val="19"/>
          <w:szCs w:val="19"/>
          <w:b w:val="1"/>
          <w:bCs w:val="1"/>
          <w:i w:val="1"/>
          <w:iCs w:val="1"/>
          <w:color w:val="auto"/>
        </w:rPr>
        <w:t>WM 409A Plan</w:t>
      </w:r>
      <w:r>
        <w:rPr>
          <w:rFonts w:ascii="Arial" w:cs="Arial" w:eastAsia="Arial" w:hAnsi="Arial"/>
          <w:sz w:val="19"/>
          <w:szCs w:val="19"/>
          <w:color w:val="auto"/>
        </w:rPr>
        <w:t>”). The Committee further retains the authority and discretion to modify and/or terminate existing deferral elections, procedures, and distribution options. Common Stock subject to a deferral election does not confer any shareholder rights to Employee unless and until the date the deferral expires and certificates representing such shares are delivered to Employee.</w:t>
      </w:r>
    </w:p>
    <w:p>
      <w:pPr>
        <w:spacing w:after="0" w:line="166" w:lineRule="exact"/>
        <w:rPr>
          <w:rFonts w:ascii="Arial" w:cs="Arial" w:eastAsia="Arial" w:hAnsi="Arial"/>
          <w:sz w:val="19"/>
          <w:szCs w:val="19"/>
          <w:color w:val="auto"/>
        </w:rPr>
      </w:pPr>
    </w:p>
    <w:p>
      <w:pPr>
        <w:ind w:left="544" w:right="60" w:hanging="332"/>
        <w:spacing w:after="0" w:line="237" w:lineRule="auto"/>
        <w:tabs>
          <w:tab w:leader="none" w:pos="544" w:val="left"/>
        </w:tabs>
        <w:numPr>
          <w:ilvl w:val="1"/>
          <w:numId w:val="19"/>
        </w:numPr>
        <w:rPr>
          <w:rFonts w:ascii="Arial" w:cs="Arial" w:eastAsia="Arial" w:hAnsi="Arial"/>
          <w:sz w:val="20"/>
          <w:szCs w:val="20"/>
          <w:color w:val="auto"/>
        </w:rPr>
      </w:pPr>
      <w:r>
        <w:rPr>
          <w:rFonts w:ascii="Arial" w:cs="Arial" w:eastAsia="Arial" w:hAnsi="Arial"/>
          <w:sz w:val="20"/>
          <w:szCs w:val="20"/>
          <w:color w:val="auto"/>
        </w:rPr>
        <w:t>No deferral of Dividend Equivalents is permitted. In the event shares of Common Stock received upon vesting of PSU Awards are deferred pursuant to a valid deferral, then the Company will pay Dividend Equivalents to Employee in cash on such deferred shares of Common Stock, as soon as administratively feasible following the payment of such dividends to stockholders of record.</w:t>
      </w:r>
    </w:p>
    <w:p>
      <w:pPr>
        <w:spacing w:after="0" w:line="200" w:lineRule="exact"/>
        <w:rPr>
          <w:sz w:val="20"/>
          <w:szCs w:val="20"/>
          <w:color w:val="auto"/>
        </w:rPr>
      </w:pPr>
    </w:p>
    <w:p>
      <w:pPr>
        <w:spacing w:after="0" w:line="309"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4"/>
          </w:cols>
          <w:pgMar w:left="476" w:top="1036" w:right="479" w:bottom="1440" w:gutter="0" w:footer="0" w:header="0"/>
        </w:sectPr>
      </w:pPr>
    </w:p>
    <w:bookmarkStart w:id="13" w:name="page14"/>
    <w:bookmarkEnd w:id="13"/>
    <w:p>
      <w:pPr>
        <w:ind w:left="544" w:right="200" w:hanging="332"/>
        <w:spacing w:after="0" w:line="232" w:lineRule="auto"/>
        <w:tabs>
          <w:tab w:leader="none" w:pos="544" w:val="left"/>
        </w:tabs>
        <w:numPr>
          <w:ilvl w:val="0"/>
          <w:numId w:val="2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6682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682105"/>
                    </a:xfrm>
                    <a:prstGeom prst="rect">
                      <a:avLst/>
                    </a:prstGeom>
                    <a:noFill/>
                  </pic:spPr>
                </pic:pic>
              </a:graphicData>
            </a:graphic>
          </wp:anchor>
        </w:drawing>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159" w:lineRule="exact"/>
        <w:rPr>
          <w:sz w:val="20"/>
          <w:szCs w:val="20"/>
          <w:color w:val="auto"/>
        </w:rPr>
      </w:pPr>
    </w:p>
    <w:p>
      <w:pPr>
        <w:jc w:val="center"/>
        <w:ind w:right="36"/>
        <w:spacing w:after="0"/>
        <w:rPr>
          <w:sz w:val="20"/>
          <w:szCs w:val="20"/>
          <w:color w:val="auto"/>
        </w:rPr>
      </w:pPr>
      <w:r>
        <w:rPr>
          <w:rFonts w:ascii="Arial" w:cs="Arial" w:eastAsia="Arial" w:hAnsi="Arial"/>
          <w:sz w:val="29"/>
          <w:szCs w:val="29"/>
          <w:b w:val="1"/>
          <w:bCs w:val="1"/>
          <w:color w:val="00693C"/>
        </w:rPr>
        <w:t>General Terms</w:t>
      </w:r>
    </w:p>
    <w:p>
      <w:pPr>
        <w:spacing w:after="0" w:line="233"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544" w:right="80" w:hanging="332"/>
        <w:spacing w:after="0" w:line="237" w:lineRule="auto"/>
        <w:tabs>
          <w:tab w:leader="none" w:pos="544" w:val="left"/>
        </w:tabs>
        <w:numPr>
          <w:ilvl w:val="1"/>
          <w:numId w:val="21"/>
        </w:numPr>
        <w:rPr>
          <w:rFonts w:ascii="Arial" w:cs="Arial" w:eastAsia="Arial" w:hAnsi="Arial"/>
          <w:sz w:val="20"/>
          <w:szCs w:val="20"/>
          <w:color w:val="auto"/>
        </w:rPr>
      </w:pPr>
      <w:r>
        <w:rPr>
          <w:rFonts w:ascii="Arial" w:cs="Arial" w:eastAsia="Arial" w:hAnsi="Arial"/>
          <w:sz w:val="20"/>
          <w:szCs w:val="20"/>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71" w:lineRule="exact"/>
        <w:rPr>
          <w:rFonts w:ascii="Arial" w:cs="Arial" w:eastAsia="Arial" w:hAnsi="Arial"/>
          <w:sz w:val="20"/>
          <w:szCs w:val="20"/>
          <w:color w:val="auto"/>
        </w:rPr>
      </w:pPr>
    </w:p>
    <w:p>
      <w:pPr>
        <w:ind w:left="604" w:hanging="334"/>
        <w:spacing w:after="0" w:line="230" w:lineRule="auto"/>
        <w:tabs>
          <w:tab w:leader="none" w:pos="604" w:val="left"/>
        </w:tabs>
        <w:numPr>
          <w:ilvl w:val="2"/>
          <w:numId w:val="21"/>
        </w:numPr>
        <w:rPr>
          <w:rFonts w:ascii="Arial" w:cs="Arial" w:eastAsia="Arial" w:hAnsi="Arial"/>
          <w:sz w:val="20"/>
          <w:szCs w:val="20"/>
          <w:color w:val="auto"/>
        </w:rPr>
      </w:pPr>
      <w:r>
        <w:rPr>
          <w:rFonts w:ascii="Arial" w:cs="Arial" w:eastAsia="Arial" w:hAnsi="Arial"/>
          <w:sz w:val="20"/>
          <w:szCs w:val="20"/>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76" w:lineRule="exact"/>
        <w:rPr>
          <w:rFonts w:ascii="Arial" w:cs="Arial" w:eastAsia="Arial" w:hAnsi="Arial"/>
          <w:sz w:val="20"/>
          <w:szCs w:val="20"/>
          <w:color w:val="auto"/>
        </w:rPr>
      </w:pPr>
    </w:p>
    <w:p>
      <w:pPr>
        <w:ind w:left="324" w:hanging="324"/>
        <w:spacing w:after="0"/>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2" w:lineRule="exact"/>
        <w:rPr>
          <w:rFonts w:ascii="Arial" w:cs="Arial" w:eastAsia="Arial" w:hAnsi="Arial"/>
          <w:sz w:val="20"/>
          <w:szCs w:val="20"/>
          <w:color w:val="auto"/>
        </w:rPr>
      </w:pPr>
    </w:p>
    <w:p>
      <w:pPr>
        <w:ind w:left="324" w:right="60" w:hanging="324"/>
        <w:spacing w:after="0" w:line="230" w:lineRule="auto"/>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76" w:lineRule="exact"/>
        <w:rPr>
          <w:rFonts w:ascii="Arial" w:cs="Arial" w:eastAsia="Arial" w:hAnsi="Arial"/>
          <w:sz w:val="20"/>
          <w:szCs w:val="20"/>
          <w:color w:val="auto"/>
        </w:rPr>
      </w:pPr>
    </w:p>
    <w:p>
      <w:pPr>
        <w:ind w:left="324" w:right="80" w:hanging="324"/>
        <w:spacing w:after="0" w:line="231" w:lineRule="auto"/>
        <w:tabs>
          <w:tab w:leader="none" w:pos="324"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200" w:lineRule="exact"/>
        <w:rPr>
          <w:sz w:val="20"/>
          <w:szCs w:val="20"/>
          <w:color w:val="auto"/>
        </w:rPr>
      </w:pPr>
    </w:p>
    <w:p>
      <w:pPr>
        <w:spacing w:after="0" w:line="311" w:lineRule="exact"/>
        <w:rPr>
          <w:sz w:val="20"/>
          <w:szCs w:val="20"/>
          <w:color w:val="auto"/>
        </w:rPr>
      </w:pPr>
    </w:p>
    <w:p>
      <w:pPr>
        <w:jc w:val="center"/>
        <w:ind w:right="36"/>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4"/>
          </w:cols>
          <w:pgMar w:left="476" w:top="1036" w:right="439" w:bottom="1440" w:gutter="0" w:footer="0" w:header="0"/>
        </w:sectPr>
      </w:pPr>
    </w:p>
    <w:bookmarkStart w:id="14" w:name="page15"/>
    <w:bookmarkEnd w:id="14"/>
    <w:p>
      <w:pPr>
        <w:ind w:left="384" w:right="20"/>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153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7153275"/>
                    </a:xfrm>
                    <a:prstGeom prst="rect">
                      <a:avLst/>
                    </a:prstGeom>
                    <a:noFill/>
                  </pic:spPr>
                </pic:pic>
              </a:graphicData>
            </a:graphic>
          </wp:anchor>
        </w:drawing>
        <w:t>Further,WM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72" w:lineRule="exact"/>
        <w:rPr>
          <w:sz w:val="20"/>
          <w:szCs w:val="20"/>
          <w:color w:val="auto"/>
        </w:rPr>
      </w:pPr>
    </w:p>
    <w:p>
      <w:pPr>
        <w:ind w:left="324" w:right="60" w:hanging="324"/>
        <w:spacing w:after="0" w:line="236" w:lineRule="auto"/>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6 under “</w:t>
      </w:r>
      <w:r>
        <w:rPr>
          <w:rFonts w:ascii="Arial" w:cs="Arial" w:eastAsia="Arial" w:hAnsi="Arial"/>
          <w:sz w:val="20"/>
          <w:szCs w:val="20"/>
          <w:b w:val="1"/>
          <w:bCs w:val="1"/>
          <w:color w:val="auto"/>
        </w:rPr>
        <w:t>Important Award Details.</w:t>
      </w:r>
      <w:r>
        <w:rPr>
          <w:rFonts w:ascii="Arial" w:cs="Arial" w:eastAsia="Arial" w:hAnsi="Arial"/>
          <w:sz w:val="20"/>
          <w:szCs w:val="20"/>
          <w:color w:val="auto"/>
        </w:rPr>
        <w:t>”</w:t>
      </w:r>
    </w:p>
    <w:p>
      <w:pPr>
        <w:spacing w:after="0" w:line="165" w:lineRule="exact"/>
        <w:rPr>
          <w:rFonts w:ascii="Arial" w:cs="Arial" w:eastAsia="Arial" w:hAnsi="Arial"/>
          <w:sz w:val="20"/>
          <w:szCs w:val="20"/>
          <w:color w:val="auto"/>
        </w:rPr>
      </w:pPr>
    </w:p>
    <w:p>
      <w:pPr>
        <w:jc w:val="both"/>
        <w:ind w:left="324" w:hanging="324"/>
        <w:spacing w:after="0" w:line="232" w:lineRule="auto"/>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under “Important Award Details.”</w:t>
      </w:r>
    </w:p>
    <w:p>
      <w:pPr>
        <w:spacing w:after="0" w:line="171" w:lineRule="exact"/>
        <w:rPr>
          <w:rFonts w:ascii="Arial" w:cs="Arial" w:eastAsia="Arial" w:hAnsi="Arial"/>
          <w:sz w:val="20"/>
          <w:szCs w:val="20"/>
          <w:color w:val="auto"/>
        </w:rPr>
      </w:pPr>
    </w:p>
    <w:p>
      <w:pPr>
        <w:ind w:left="324" w:hanging="324"/>
        <w:spacing w:after="0"/>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544" w:hanging="332"/>
        <w:spacing w:after="0"/>
        <w:tabs>
          <w:tab w:leader="none" w:pos="5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jc w:val="both"/>
        <w:ind w:left="544" w:right="20" w:hanging="332"/>
        <w:spacing w:after="0" w:line="241" w:lineRule="auto"/>
        <w:tabs>
          <w:tab w:leader="none" w:pos="5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71" w:lineRule="exact"/>
        <w:rPr>
          <w:rFonts w:ascii="Arial" w:cs="Arial" w:eastAsia="Arial" w:hAnsi="Arial"/>
          <w:sz w:val="20"/>
          <w:szCs w:val="20"/>
          <w:color w:val="auto"/>
        </w:rPr>
      </w:pPr>
    </w:p>
    <w:p>
      <w:pPr>
        <w:ind w:left="544" w:hanging="332"/>
        <w:spacing w:after="0"/>
        <w:tabs>
          <w:tab w:leader="none" w:pos="5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02" w:lineRule="exact"/>
        <w:rPr>
          <w:rFonts w:ascii="Arial" w:cs="Arial" w:eastAsia="Arial" w:hAnsi="Arial"/>
          <w:sz w:val="20"/>
          <w:szCs w:val="20"/>
          <w:color w:val="auto"/>
        </w:rPr>
      </w:pPr>
    </w:p>
    <w:p>
      <w:pPr>
        <w:ind w:left="324" w:right="120" w:hanging="324"/>
        <w:spacing w:after="0" w:line="257" w:lineRule="auto"/>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55" w:lineRule="exact"/>
        <w:rPr>
          <w:rFonts w:ascii="Arial" w:cs="Arial" w:eastAsia="Arial" w:hAnsi="Arial"/>
          <w:sz w:val="20"/>
          <w:szCs w:val="20"/>
          <w:color w:val="auto"/>
        </w:rPr>
      </w:pPr>
    </w:p>
    <w:p>
      <w:pPr>
        <w:ind w:left="324" w:right="360" w:hanging="324"/>
        <w:spacing w:after="0" w:line="257" w:lineRule="auto"/>
        <w:tabs>
          <w:tab w:leader="none" w:pos="324"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55" w:lineRule="exact"/>
        <w:rPr>
          <w:rFonts w:ascii="Arial" w:cs="Arial" w:eastAsia="Arial" w:hAnsi="Arial"/>
          <w:sz w:val="20"/>
          <w:szCs w:val="20"/>
          <w:color w:val="auto"/>
        </w:rPr>
      </w:pPr>
    </w:p>
    <w:p>
      <w:pPr>
        <w:ind w:left="544" w:right="40" w:hanging="332"/>
        <w:spacing w:after="0" w:line="230" w:lineRule="auto"/>
        <w:tabs>
          <w:tab w:leader="none" w:pos="5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 the Clawback Policy.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72" w:lineRule="exact"/>
        <w:rPr>
          <w:rFonts w:ascii="Arial" w:cs="Arial" w:eastAsia="Arial" w:hAnsi="Arial"/>
          <w:sz w:val="20"/>
          <w:szCs w:val="20"/>
          <w:color w:val="auto"/>
        </w:rPr>
      </w:pPr>
    </w:p>
    <w:p>
      <w:pPr>
        <w:jc w:val="both"/>
        <w:ind w:left="544" w:right="20" w:hanging="332"/>
        <w:spacing w:after="0" w:line="241" w:lineRule="auto"/>
        <w:tabs>
          <w:tab w:leader="none" w:pos="544" w:val="left"/>
        </w:tabs>
        <w:numPr>
          <w:ilvl w:val="1"/>
          <w:numId w:val="22"/>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200" w:lineRule="exact"/>
        <w:rPr>
          <w:sz w:val="20"/>
          <w:szCs w:val="20"/>
          <w:color w:val="auto"/>
        </w:rPr>
      </w:pPr>
    </w:p>
    <w:p>
      <w:pPr>
        <w:spacing w:after="0" w:line="309"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4"/>
          </w:cols>
          <w:pgMar w:left="476" w:top="1036" w:right="479" w:bottom="1440" w:gutter="0" w:footer="0" w:header="0"/>
        </w:sectPr>
      </w:pPr>
    </w:p>
    <w:bookmarkStart w:id="15" w:name="page16"/>
    <w:bookmarkEnd w:id="15"/>
    <w:p>
      <w:pPr>
        <w:jc w:val="both"/>
        <w:ind w:left="544" w:hanging="332"/>
        <w:spacing w:after="0" w:line="241" w:lineRule="auto"/>
        <w:tabs>
          <w:tab w:leader="none" w:pos="544" w:val="left"/>
        </w:tabs>
        <w:numPr>
          <w:ilvl w:val="1"/>
          <w:numId w:val="2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6742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6742430"/>
                    </a:xfrm>
                    <a:prstGeom prst="rect">
                      <a:avLst/>
                    </a:prstGeom>
                    <a:noFill/>
                  </pic:spPr>
                </pic:pic>
              </a:graphicData>
            </a:graphic>
          </wp:anchor>
        </w:drawing>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1" w:lineRule="exact"/>
        <w:rPr>
          <w:rFonts w:ascii="Arial" w:cs="Arial" w:eastAsia="Arial" w:hAnsi="Arial"/>
          <w:sz w:val="20"/>
          <w:szCs w:val="20"/>
          <w:color w:val="auto"/>
        </w:rPr>
      </w:pPr>
    </w:p>
    <w:p>
      <w:pPr>
        <w:ind w:left="324" w:right="300" w:hanging="324"/>
        <w:spacing w:after="0" w:line="284" w:lineRule="auto"/>
        <w:tabs>
          <w:tab w:leader="none" w:pos="3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30" w:lineRule="exact"/>
        <w:rPr>
          <w:rFonts w:ascii="Arial" w:cs="Arial" w:eastAsia="Arial" w:hAnsi="Arial"/>
          <w:sz w:val="19"/>
          <w:szCs w:val="19"/>
          <w:color w:val="auto"/>
        </w:rPr>
      </w:pPr>
    </w:p>
    <w:p>
      <w:pPr>
        <w:ind w:left="324" w:right="160" w:hanging="324"/>
        <w:spacing w:after="0" w:line="252" w:lineRule="auto"/>
        <w:tabs>
          <w:tab w:leader="none" w:pos="3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Covenant Requirement Essential Part of Award</w:t>
      </w:r>
      <w:r>
        <w:rPr>
          <w:rFonts w:ascii="Arial" w:cs="Arial" w:eastAsia="Arial" w:hAnsi="Arial"/>
          <w:sz w:val="19"/>
          <w:szCs w:val="19"/>
          <w:color w:val="auto"/>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p>
      <w:pPr>
        <w:spacing w:after="0" w:line="162" w:lineRule="exact"/>
        <w:rPr>
          <w:rFonts w:ascii="Arial" w:cs="Arial" w:eastAsia="Arial" w:hAnsi="Arial"/>
          <w:sz w:val="19"/>
          <w:szCs w:val="19"/>
          <w:color w:val="auto"/>
        </w:rPr>
      </w:pPr>
    </w:p>
    <w:p>
      <w:pPr>
        <w:ind w:left="324" w:hanging="324"/>
        <w:spacing w:after="0"/>
        <w:tabs>
          <w:tab w:leader="none" w:pos="32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24" w:hanging="324"/>
        <w:spacing w:after="0" w:line="228" w:lineRule="auto"/>
        <w:tabs>
          <w:tab w:leader="none" w:pos="32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71" w:lineRule="exact"/>
        <w:rPr>
          <w:rFonts w:ascii="Arial" w:cs="Arial" w:eastAsia="Arial" w:hAnsi="Arial"/>
          <w:sz w:val="20"/>
          <w:szCs w:val="20"/>
          <w:color w:val="auto"/>
        </w:rPr>
      </w:pPr>
    </w:p>
    <w:p>
      <w:pPr>
        <w:ind w:left="324" w:right="80" w:hanging="324"/>
        <w:spacing w:after="0" w:line="241" w:lineRule="auto"/>
        <w:tabs>
          <w:tab w:leader="none" w:pos="3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Use of Personal Data</w:t>
      </w:r>
      <w:r>
        <w:rPr>
          <w:rFonts w:ascii="Arial" w:cs="Arial" w:eastAsia="Arial" w:hAnsi="Arial"/>
          <w:sz w:val="19"/>
          <w:szCs w:val="19"/>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75" w:lineRule="exact"/>
        <w:rPr>
          <w:rFonts w:ascii="Arial" w:cs="Arial" w:eastAsia="Arial" w:hAnsi="Arial"/>
          <w:sz w:val="19"/>
          <w:szCs w:val="19"/>
          <w:color w:val="auto"/>
        </w:rPr>
      </w:pPr>
    </w:p>
    <w:p>
      <w:pPr>
        <w:ind w:left="324" w:right="720" w:hanging="324"/>
        <w:spacing w:after="0" w:line="284" w:lineRule="auto"/>
        <w:tabs>
          <w:tab w:leader="none" w:pos="32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given by one party under this Agreement to the other shall be in writing and may be delivered personally or by mail, postage prepaid, addressed to the Secretary of the Company, at its then corporate</w:t>
      </w:r>
    </w:p>
    <w:p>
      <w:pPr>
        <w:spacing w:after="0" w:line="200" w:lineRule="exact"/>
        <w:rPr>
          <w:sz w:val="20"/>
          <w:szCs w:val="20"/>
          <w:color w:val="auto"/>
        </w:rPr>
      </w:pPr>
    </w:p>
    <w:p>
      <w:pPr>
        <w:spacing w:after="0" w:line="26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4"/>
          </w:cols>
          <w:pgMar w:left="476" w:top="1036" w:right="499" w:bottom="1440" w:gutter="0" w:footer="0" w:header="0"/>
        </w:sectPr>
      </w:pPr>
    </w:p>
    <w:bookmarkStart w:id="16" w:name="page17"/>
    <w:bookmarkEnd w:id="16"/>
    <w:p>
      <w:pPr>
        <w:ind w:left="384"/>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3313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3313430"/>
                    </a:xfrm>
                    <a:prstGeom prst="rect">
                      <a:avLst/>
                    </a:prstGeom>
                    <a:noFill/>
                  </pic:spPr>
                </pic:pic>
              </a:graphicData>
            </a:graphic>
          </wp:anchor>
        </w:drawing>
        <w:t>headquarters, and Employee at Employee’s address as shown on WM’s records, or to such other address as Employee, by notice to the Company, may designate in writing from time to time.</w:t>
      </w:r>
    </w:p>
    <w:p>
      <w:pPr>
        <w:spacing w:after="0" w:line="155" w:lineRule="exact"/>
        <w:rPr>
          <w:sz w:val="20"/>
          <w:szCs w:val="20"/>
          <w:color w:val="auto"/>
        </w:rPr>
      </w:pPr>
    </w:p>
    <w:p>
      <w:pPr>
        <w:ind w:left="324" w:right="20" w:hanging="324"/>
        <w:spacing w:after="0" w:line="234" w:lineRule="auto"/>
        <w:tabs>
          <w:tab w:leader="none" w:pos="32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74" w:lineRule="exact"/>
        <w:rPr>
          <w:rFonts w:ascii="Arial" w:cs="Arial" w:eastAsia="Arial" w:hAnsi="Arial"/>
          <w:sz w:val="20"/>
          <w:szCs w:val="20"/>
          <w:color w:val="auto"/>
        </w:rPr>
      </w:pPr>
    </w:p>
    <w:p>
      <w:pPr>
        <w:ind w:left="324" w:right="100" w:hanging="324"/>
        <w:spacing w:after="0" w:line="229" w:lineRule="auto"/>
        <w:tabs>
          <w:tab w:leader="none" w:pos="32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or a matter directly relating to this Award under the Clawback Policy, the Company and Employee agree that such dispute shall be settled exclusively by final and binding arbitration, as governed by the Federal Arbitration Act (9 U.S.C.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auto"/>
        </w:rPr>
        <w:t>www.jamsadr.com</w:t>
      </w:r>
      <w:r>
        <w:rPr>
          <w:rFonts w:ascii="Arial" w:cs="Arial" w:eastAsia="Arial" w:hAnsi="Arial"/>
          <w:sz w:val="20"/>
          <w:szCs w:val="20"/>
          <w:color w:val="auto"/>
        </w:rPr>
        <w:t>. All expenses associated with the arbitration shall be borne by WM; provided however, 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arbitration expenses will not include attorney fees incurred by the respective parties. Judgment on any arbitration award may be entered in any court having jurisdiction.</w:t>
      </w:r>
    </w:p>
    <w:p>
      <w:pPr>
        <w:spacing w:after="0" w:line="178" w:lineRule="exact"/>
        <w:rPr>
          <w:rFonts w:ascii="Arial" w:cs="Arial" w:eastAsia="Arial" w:hAnsi="Arial"/>
          <w:sz w:val="20"/>
          <w:szCs w:val="20"/>
          <w:color w:val="auto"/>
        </w:rPr>
      </w:pPr>
    </w:p>
    <w:p>
      <w:pPr>
        <w:ind w:left="324" w:right="600" w:hanging="324"/>
        <w:spacing w:after="0" w:line="257" w:lineRule="auto"/>
        <w:tabs>
          <w:tab w:leader="none" w:pos="324"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93"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13335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4"/>
          </w:cols>
          <w:pgMar w:left="476" w:top="1036" w:right="519" w:bottom="1440" w:gutter="0" w:footer="0" w:header="0"/>
        </w:sectPr>
      </w:pPr>
    </w:p>
    <w:bookmarkStart w:id="17" w:name="page18"/>
    <w:bookmarkEnd w:id="17"/>
    <w:p>
      <w:pPr>
        <w:jc w:val="center"/>
        <w:spacing w:after="0"/>
        <w:rPr>
          <w:sz w:val="20"/>
          <w:szCs w:val="20"/>
          <w:color w:val="auto"/>
        </w:rPr>
      </w:pPr>
      <w:r>
        <w:rPr>
          <w:rFonts w:ascii="Arial" w:cs="Arial" w:eastAsia="Arial" w:hAnsi="Arial"/>
          <w:sz w:val="29"/>
          <w:szCs w:val="29"/>
          <w:b w:val="1"/>
          <w:bCs w:val="1"/>
          <w:color w:val="00693C"/>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1212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1212850"/>
                    </a:xfrm>
                    <a:prstGeom prst="rect">
                      <a:avLst/>
                    </a:prstGeom>
                    <a:noFill/>
                  </pic:spPr>
                </pic:pic>
              </a:graphicData>
            </a:graphic>
          </wp:anchor>
        </w:drawing>
        <w:t>Execution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and Employee has executed this Agreement, effective as of [●].</w:t>
      </w:r>
    </w:p>
    <w:p>
      <w:pPr>
        <w:spacing w:after="0" w:line="152" w:lineRule="exact"/>
        <w:rPr>
          <w:sz w:val="20"/>
          <w:szCs w:val="20"/>
          <w:color w:val="auto"/>
        </w:rPr>
      </w:pPr>
    </w:p>
    <w:p>
      <w:pPr>
        <w:ind w:left="20"/>
        <w:spacing w:after="0"/>
        <w:tabs>
          <w:tab w:leader="none" w:pos="546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19"/>
          <w:szCs w:val="19"/>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13335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60" w:top="1023" w:right="47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163195</wp:posOffset>
            </wp:positionV>
            <wp:extent cx="7132320" cy="7286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728662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339"/>
        <w:spacing w:after="0" w:line="249" w:lineRule="auto"/>
        <w:rPr>
          <w:sz w:val="20"/>
          <w:szCs w:val="20"/>
          <w:color w:val="auto"/>
        </w:rPr>
      </w:pPr>
      <w:r>
        <w:rPr>
          <w:rFonts w:ascii="Arial" w:cs="Arial" w:eastAsia="Arial" w:hAnsi="Arial"/>
          <w:sz w:val="53"/>
          <w:szCs w:val="53"/>
          <w:b w:val="1"/>
          <w:bCs w:val="1"/>
          <w:color w:val="00693C"/>
        </w:rPr>
        <w:t>Long Term Incentive Compensation Stock Option Award Agreement</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29"/>
          <w:szCs w:val="29"/>
          <w:b w:val="1"/>
          <w:bCs w:val="1"/>
          <w:color w:val="00693C"/>
        </w:rPr>
        <w:t>under the</w:t>
      </w:r>
    </w:p>
    <w:p>
      <w:pPr>
        <w:spacing w:after="0" w:line="9" w:lineRule="exact"/>
        <w:rPr>
          <w:sz w:val="20"/>
          <w:szCs w:val="20"/>
          <w:color w:val="auto"/>
        </w:rPr>
      </w:pPr>
    </w:p>
    <w:p>
      <w:pPr>
        <w:ind w:left="61"/>
        <w:spacing w:after="0"/>
        <w:rPr>
          <w:sz w:val="20"/>
          <w:szCs w:val="20"/>
          <w:color w:val="auto"/>
        </w:rPr>
      </w:pPr>
      <w:r>
        <w:rPr>
          <w:rFonts w:ascii="Arial" w:cs="Arial" w:eastAsia="Arial" w:hAnsi="Arial"/>
          <w:sz w:val="43"/>
          <w:szCs w:val="43"/>
          <w:b w:val="1"/>
          <w:bCs w:val="1"/>
          <w:color w:val="00693C"/>
        </w:rPr>
        <w:t>Waste Management, Inc. 2023 Stock Incentive Plan</w:t>
      </w:r>
    </w:p>
    <w:p>
      <w:pPr>
        <w:spacing w:after="0" w:line="199" w:lineRule="exact"/>
        <w:rPr>
          <w:sz w:val="20"/>
          <w:szCs w:val="20"/>
          <w:color w:val="auto"/>
        </w:rPr>
      </w:pPr>
    </w:p>
    <w:p>
      <w:pPr>
        <w:ind w:left="1" w:right="380"/>
        <w:spacing w:after="0" w:line="230" w:lineRule="auto"/>
        <w:rPr>
          <w:sz w:val="20"/>
          <w:szCs w:val="20"/>
          <w:color w:val="auto"/>
        </w:rPr>
      </w:pPr>
      <w:r>
        <w:rPr>
          <w:rFonts w:ascii="Arial" w:cs="Arial" w:eastAsia="Arial" w:hAnsi="Arial"/>
          <w:sz w:val="20"/>
          <w:szCs w:val="20"/>
          <w:color w:val="auto"/>
        </w:rPr>
        <w:t>This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effective as of [●] (the “</w:t>
      </w:r>
      <w:r>
        <w:rPr>
          <w:rFonts w:ascii="Arial" w:cs="Arial" w:eastAsia="Arial" w:hAnsi="Arial"/>
          <w:sz w:val="20"/>
          <w:szCs w:val="20"/>
          <w:b w:val="1"/>
          <w:bCs w:val="1"/>
          <w:i w:val="1"/>
          <w:iCs w:val="1"/>
          <w:color w:val="auto"/>
        </w:rPr>
        <w:t>Grant Date</w:t>
      </w:r>
      <w:r>
        <w:rPr>
          <w:rFonts w:ascii="Arial" w:cs="Arial" w:eastAsia="Arial" w:hAnsi="Arial"/>
          <w:sz w:val="20"/>
          <w:szCs w:val="20"/>
          <w:color w:val="auto"/>
        </w:rPr>
        <w:t>”), by and between Waste Management,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(together with its Subsidiaries and Affiliates, “</w:t>
      </w:r>
      <w:r>
        <w:rPr>
          <w:rFonts w:ascii="Arial" w:cs="Arial" w:eastAsia="Arial" w:hAnsi="Arial"/>
          <w:sz w:val="20"/>
          <w:szCs w:val="20"/>
          <w:b w:val="1"/>
          <w:bCs w:val="1"/>
          <w:i w:val="1"/>
          <w:iCs w:val="1"/>
          <w:color w:val="auto"/>
        </w:rPr>
        <w:t>WM</w:t>
      </w:r>
      <w:r>
        <w:rPr>
          <w:rFonts w:ascii="Arial" w:cs="Arial" w:eastAsia="Arial" w:hAnsi="Arial"/>
          <w:sz w:val="20"/>
          <w:szCs w:val="20"/>
          <w:color w:val="auto"/>
        </w:rPr>
        <w:t>”), and [●]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At all times, the Awards under this Agreement are subject to the terms and conditions of the Waste Management, Inc. 2023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this Agreement, and all applicable administrative interpretations and practices. A copy of the Plan and the Plan Prospectus is available online at www.benefits.ml.com. Please also see the Company’s Form 10-K included in its most recent Annual Report, available on the Investor Relations page of www.wm.com under Financial Reporting – Annual Reports, for information about the Company. By executing this Agreement, you consent to receipt of the Plan, the Prospectus, and the Annual Reports by electronic access as set forth in this paragraph.</w:t>
      </w:r>
    </w:p>
    <w:p>
      <w:pPr>
        <w:spacing w:after="0" w:line="174" w:lineRule="exact"/>
        <w:rPr>
          <w:sz w:val="20"/>
          <w:szCs w:val="20"/>
          <w:color w:val="auto"/>
        </w:rPr>
      </w:pPr>
    </w:p>
    <w:p>
      <w:pPr>
        <w:ind w:left="1" w:right="520"/>
        <w:spacing w:after="0" w:line="247" w:lineRule="auto"/>
        <w:rPr>
          <w:sz w:val="20"/>
          <w:szCs w:val="20"/>
          <w:color w:val="auto"/>
        </w:rPr>
      </w:pPr>
      <w:r>
        <w:rPr>
          <w:rFonts w:ascii="Arial" w:cs="Arial" w:eastAsia="Arial" w:hAnsi="Arial"/>
          <w:sz w:val="20"/>
          <w:szCs w:val="20"/>
          <w:b w:val="1"/>
          <w:bCs w:val="1"/>
          <w:color w:val="auto"/>
        </w:rPr>
        <w:t xml:space="preserve">You must execute this Agreement in full, online in accordance with the instructions below, prior to </w:t>
      </w:r>
      <w:r>
        <w:rPr>
          <w:rFonts w:ascii="Arial" w:cs="Arial" w:eastAsia="Arial" w:hAnsi="Arial"/>
          <w:sz w:val="20"/>
          <w:szCs w:val="20"/>
          <w:color w:val="auto"/>
        </w:rPr>
        <w:t>[●],</w:t>
      </w:r>
      <w:r>
        <w:rPr>
          <w:rFonts w:ascii="Arial" w:cs="Arial" w:eastAsia="Arial" w:hAnsi="Arial"/>
          <w:sz w:val="20"/>
          <w:szCs w:val="20"/>
          <w:b w:val="1"/>
          <w:bCs w:val="1"/>
          <w:color w:val="auto"/>
        </w:rPr>
        <w:t xml:space="preserve"> in order for this Agreement to become effective. If you do not execute this Agreement by correctly following the instructions below, your Awards may be cancelled.</w:t>
      </w:r>
    </w:p>
    <w:p>
      <w:pPr>
        <w:spacing w:after="0" w:line="143" w:lineRule="exact"/>
        <w:rPr>
          <w:sz w:val="20"/>
          <w:szCs w:val="20"/>
          <w:color w:val="auto"/>
        </w:rPr>
      </w:pPr>
    </w:p>
    <w:p>
      <w:pPr>
        <w:ind w:left="1681"/>
        <w:spacing w:after="0"/>
        <w:rPr>
          <w:sz w:val="20"/>
          <w:szCs w:val="20"/>
          <w:color w:val="auto"/>
        </w:rPr>
      </w:pPr>
      <w:r>
        <w:rPr>
          <w:rFonts w:ascii="Arial" w:cs="Arial" w:eastAsia="Arial" w:hAnsi="Arial"/>
          <w:sz w:val="29"/>
          <w:szCs w:val="29"/>
          <w:b w:val="1"/>
          <w:bCs w:val="1"/>
          <w:color w:val="00693C"/>
        </w:rPr>
        <w:t>Important Instructions for Executing this Agreement</w:t>
      </w:r>
    </w:p>
    <w:p>
      <w:pPr>
        <w:spacing w:after="0" w:line="233" w:lineRule="exact"/>
        <w:rPr>
          <w:sz w:val="20"/>
          <w:szCs w:val="20"/>
          <w:color w:val="auto"/>
        </w:rPr>
      </w:pPr>
    </w:p>
    <w:p>
      <w:pPr>
        <w:ind w:left="1" w:right="740"/>
        <w:spacing w:after="0" w:line="234" w:lineRule="auto"/>
        <w:rPr>
          <w:sz w:val="20"/>
          <w:szCs w:val="20"/>
          <w:color w:val="auto"/>
        </w:rPr>
      </w:pPr>
      <w:r>
        <w:rPr>
          <w:rFonts w:ascii="Arial" w:cs="Arial" w:eastAsia="Arial" w:hAnsi="Arial"/>
          <w:sz w:val="20"/>
          <w:szCs w:val="20"/>
          <w:color w:val="auto"/>
        </w:rPr>
        <w:t>If you are a new equity award participant, you must open a Limited Individual Investor Account (LIIA) before you can accept your awards. To open your LIIA, log in to www.benefits.ml.com at the secure website maintained by the third-party stock administrator. Once logged in, follow the prompts to “Open a Brokerage Account”. When you have successfully created your account, follow the online instructions, and complete all the steps required to accept the award.</w:t>
      </w:r>
    </w:p>
    <w:p>
      <w:pPr>
        <w:spacing w:after="0" w:line="175" w:lineRule="exact"/>
        <w:rPr>
          <w:sz w:val="20"/>
          <w:szCs w:val="20"/>
          <w:color w:val="auto"/>
        </w:rPr>
      </w:pPr>
    </w:p>
    <w:p>
      <w:pPr>
        <w:jc w:val="both"/>
        <w:ind w:left="1" w:right="660"/>
        <w:spacing w:after="0" w:line="241" w:lineRule="auto"/>
        <w:rPr>
          <w:sz w:val="20"/>
          <w:szCs w:val="20"/>
          <w:color w:val="auto"/>
        </w:rPr>
      </w:pPr>
      <w:r>
        <w:rPr>
          <w:rFonts w:ascii="Arial" w:cs="Arial" w:eastAsia="Arial" w:hAnsi="Arial"/>
          <w:sz w:val="20"/>
          <w:szCs w:val="20"/>
          <w:color w:val="auto"/>
        </w:rPr>
        <w:t>If you have previously received a stock-based incentive award, log on to www.benefits.ml.com at the secure website maintained by the third-party stock administrator. Follow the online instructions and complete all the steps required to accept the award.</w:t>
      </w:r>
    </w:p>
    <w:p>
      <w:pPr>
        <w:spacing w:after="0" w:line="159" w:lineRule="exact"/>
        <w:rPr>
          <w:sz w:val="20"/>
          <w:szCs w:val="20"/>
          <w:color w:val="auto"/>
        </w:rPr>
      </w:pPr>
    </w:p>
    <w:p>
      <w:pPr>
        <w:jc w:val="center"/>
        <w:ind w:right="359"/>
        <w:spacing w:after="0"/>
        <w:rPr>
          <w:sz w:val="20"/>
          <w:szCs w:val="20"/>
          <w:color w:val="auto"/>
        </w:rPr>
      </w:pPr>
      <w:r>
        <w:rPr>
          <w:rFonts w:ascii="Arial" w:cs="Arial" w:eastAsia="Arial" w:hAnsi="Arial"/>
          <w:sz w:val="29"/>
          <w:szCs w:val="29"/>
          <w:b w:val="1"/>
          <w:bCs w:val="1"/>
          <w:color w:val="00693C"/>
        </w:rPr>
        <w:t>Stock Options</w:t>
      </w:r>
    </w:p>
    <w:p>
      <w:pPr>
        <w:spacing w:after="0" w:line="233" w:lineRule="exact"/>
        <w:rPr>
          <w:sz w:val="20"/>
          <w:szCs w:val="20"/>
          <w:color w:val="auto"/>
        </w:rPr>
      </w:pPr>
    </w:p>
    <w:p>
      <w:pPr>
        <w:ind w:left="321" w:right="400" w:hanging="321"/>
        <w:spacing w:after="0" w:line="237" w:lineRule="auto"/>
        <w:tabs>
          <w:tab w:leader="none" w:pos="32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Stock Option Grant</w:t>
      </w:r>
      <w:r>
        <w:rPr>
          <w:rFonts w:ascii="Arial" w:cs="Arial" w:eastAsia="Arial" w:hAnsi="Arial"/>
          <w:sz w:val="20"/>
          <w:szCs w:val="20"/>
          <w:color w:val="auto"/>
        </w:rPr>
        <w:t>. The Company hereby grants to Employee a stock option award (the “</w:t>
      </w:r>
      <w:r>
        <w:rPr>
          <w:rFonts w:ascii="Arial" w:cs="Arial" w:eastAsia="Arial" w:hAnsi="Arial"/>
          <w:sz w:val="20"/>
          <w:szCs w:val="20"/>
          <w:b w:val="1"/>
          <w:bCs w:val="1"/>
          <w:i w:val="1"/>
          <w:iCs w:val="1"/>
          <w:color w:val="auto"/>
        </w:rPr>
        <w:t>Stock Option Award</w:t>
      </w:r>
      <w:r>
        <w:rPr>
          <w:rFonts w:ascii="Arial" w:cs="Arial" w:eastAsia="Arial" w:hAnsi="Arial"/>
          <w:sz w:val="20"/>
          <w:szCs w:val="20"/>
          <w:color w:val="auto"/>
        </w:rPr>
        <w:t>”) for [●] shares (“</w:t>
      </w:r>
      <w:r>
        <w:rPr>
          <w:rFonts w:ascii="Arial" w:cs="Arial" w:eastAsia="Arial" w:hAnsi="Arial"/>
          <w:sz w:val="20"/>
          <w:szCs w:val="20"/>
          <w:b w:val="1"/>
          <w:bCs w:val="1"/>
          <w:i w:val="1"/>
          <w:iCs w:val="1"/>
          <w:color w:val="auto"/>
        </w:rPr>
        <w:t>Stock Options</w:t>
      </w:r>
      <w:r>
        <w:rPr>
          <w:rFonts w:ascii="Arial" w:cs="Arial" w:eastAsia="Arial" w:hAnsi="Arial"/>
          <w:sz w:val="20"/>
          <w:szCs w:val="20"/>
          <w:color w:val="auto"/>
        </w:rPr>
        <w:t>”) of Common Stock provided in the Notice. This Stock Option Award grants Employee the right to purchase shares of Common Stock at the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 is the Fair Market Value of a share of Common Stock on the Grant Date.</w:t>
      </w:r>
    </w:p>
    <w:p>
      <w:pPr>
        <w:spacing w:after="0" w:line="171" w:lineRule="exact"/>
        <w:rPr>
          <w:rFonts w:ascii="Arial" w:cs="Arial" w:eastAsia="Arial" w:hAnsi="Arial"/>
          <w:sz w:val="20"/>
          <w:szCs w:val="20"/>
          <w:color w:val="auto"/>
        </w:rPr>
      </w:pPr>
    </w:p>
    <w:p>
      <w:pPr>
        <w:ind w:left="321" w:right="560" w:hanging="321"/>
        <w:spacing w:after="0" w:line="281" w:lineRule="auto"/>
        <w:tabs>
          <w:tab w:leader="none" w:pos="32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Notwithstanding any other provisions of this Agreement, the maximum term of the Stock Option Award is the 10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anniversary of the Grant Date.</w:t>
      </w:r>
    </w:p>
    <w:p>
      <w:pPr>
        <w:spacing w:after="0" w:line="1" w:lineRule="exact"/>
        <w:rPr>
          <w:rFonts w:ascii="Arial" w:cs="Arial" w:eastAsia="Arial" w:hAnsi="Arial"/>
          <w:sz w:val="20"/>
          <w:szCs w:val="20"/>
          <w:color w:val="auto"/>
        </w:rPr>
      </w:pPr>
    </w:p>
    <w:p>
      <w:pPr>
        <w:ind w:left="321" w:right="360" w:hanging="321"/>
        <w:spacing w:after="0" w:line="257" w:lineRule="auto"/>
        <w:tabs>
          <w:tab w:leader="none" w:pos="321"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Provided Employee remains employed by WM continuously through the applicable exercise dates, the Stock Option Award will become vested and exercisable as follows: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5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1"/>
          </w:cols>
          <w:pgMar w:left="679" w:top="323" w:right="339" w:bottom="1440" w:gutter="0" w:footer="0" w:header="0"/>
        </w:sectPr>
      </w:pPr>
    </w:p>
    <w:bookmarkStart w:id="19" w:name="page20"/>
    <w:bookmarkEnd w:id="19"/>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153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7153275"/>
                    </a:xfrm>
                    <a:prstGeom prst="rect">
                      <a:avLst/>
                    </a:prstGeom>
                    <a:noFill/>
                  </pic:spPr>
                </pic:pic>
              </a:graphicData>
            </a:graphic>
          </wp:anchor>
        </w:drawing>
      </w:r>
    </w:p>
    <w:tbl>
      <w:tblPr>
        <w:tblLayout w:type="fixed"/>
        <w:tblInd w:w="1071" w:type="dxa"/>
        <w:tblCellMar>
          <w:top w:w="0" w:type="dxa"/>
          <w:left w:w="0" w:type="dxa"/>
          <w:bottom w:w="0" w:type="dxa"/>
          <w:right w:w="0" w:type="dxa"/>
        </w:tblCellMar>
      </w:tblPr>
      <w:tr>
        <w:trPr>
          <w:trHeight w:val="208"/>
        </w:trPr>
        <w:tc>
          <w:tcPr>
            <w:tcW w:w="5160" w:type="dxa"/>
            <w:vAlign w:val="bottom"/>
            <w:tcBorders>
              <w:top w:val="single" w:sz="8" w:color="auto"/>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b w:val="1"/>
                <w:bCs w:val="1"/>
                <w:i w:val="1"/>
                <w:iCs w:val="1"/>
                <w:color w:val="auto"/>
              </w:rPr>
              <w:t>Exercise Date</w:t>
            </w:r>
          </w:p>
        </w:tc>
        <w:tc>
          <w:tcPr>
            <w:tcW w:w="3260" w:type="dxa"/>
            <w:vAlign w:val="bottom"/>
            <w:tcBorders>
              <w:top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b w:val="1"/>
                <w:bCs w:val="1"/>
                <w:i w:val="1"/>
                <w:iCs w:val="1"/>
                <w:color w:val="auto"/>
              </w:rPr>
              <w:t>Cumulative Percentage of Stock</w:t>
            </w:r>
          </w:p>
        </w:tc>
      </w:tr>
      <w:tr>
        <w:trPr>
          <w:trHeight w:val="238"/>
        </w:trPr>
        <w:tc>
          <w:tcPr>
            <w:tcW w:w="5160" w:type="dxa"/>
            <w:vAlign w:val="bottom"/>
            <w:tcBorders>
              <w:left w:val="single" w:sz="8" w:color="auto"/>
              <w:bottom w:val="single" w:sz="8" w:color="auto"/>
              <w:right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i w:val="1"/>
                <w:iCs w:val="1"/>
                <w:color w:val="auto"/>
              </w:rPr>
              <w:t>Option Award Exercisable</w:t>
            </w:r>
          </w:p>
        </w:tc>
      </w:tr>
      <w:tr>
        <w:trPr>
          <w:trHeight w:val="209"/>
        </w:trPr>
        <w:tc>
          <w:tcPr>
            <w:tcW w:w="51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Prior to the first anniversary of the Grant Date</w:t>
            </w:r>
          </w:p>
        </w:tc>
        <w:tc>
          <w:tcPr>
            <w:tcW w:w="3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0%</w:t>
            </w:r>
          </w:p>
        </w:tc>
      </w:tr>
      <w:tr>
        <w:trPr>
          <w:trHeight w:val="210"/>
        </w:trPr>
        <w:tc>
          <w:tcPr>
            <w:tcW w:w="51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first anniversary of the Grant Date</w:t>
            </w:r>
          </w:p>
        </w:tc>
        <w:tc>
          <w:tcPr>
            <w:tcW w:w="3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34%</w:t>
            </w:r>
          </w:p>
        </w:tc>
      </w:tr>
      <w:tr>
        <w:trPr>
          <w:trHeight w:val="209"/>
        </w:trPr>
        <w:tc>
          <w:tcPr>
            <w:tcW w:w="51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second anniversary of the Grant Date</w:t>
            </w:r>
          </w:p>
        </w:tc>
        <w:tc>
          <w:tcPr>
            <w:tcW w:w="3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67%</w:t>
            </w:r>
          </w:p>
        </w:tc>
      </w:tr>
      <w:tr>
        <w:trPr>
          <w:trHeight w:val="210"/>
        </w:trPr>
        <w:tc>
          <w:tcPr>
            <w:tcW w:w="516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On or after the third anniversary of the Grant Date</w:t>
            </w:r>
          </w:p>
        </w:tc>
        <w:tc>
          <w:tcPr>
            <w:tcW w:w="3260" w:type="dxa"/>
            <w:vAlign w:val="bottom"/>
            <w:tcBorders>
              <w:bottom w:val="single" w:sz="8" w:color="auto"/>
              <w:right w:val="single" w:sz="8" w:color="auto"/>
            </w:tcBorders>
          </w:tcPr>
          <w:p>
            <w:pPr>
              <w:ind w:left="80"/>
              <w:spacing w:after="0" w:line="209" w:lineRule="exact"/>
              <w:rPr>
                <w:sz w:val="20"/>
                <w:szCs w:val="20"/>
                <w:color w:val="auto"/>
              </w:rPr>
            </w:pPr>
            <w:r>
              <w:rPr>
                <w:rFonts w:ascii="Arial" w:cs="Arial" w:eastAsia="Arial" w:hAnsi="Arial"/>
                <w:sz w:val="20"/>
                <w:szCs w:val="20"/>
                <w:color w:val="auto"/>
              </w:rPr>
              <w:t>100%</w:t>
            </w:r>
          </w:p>
        </w:tc>
      </w:tr>
    </w:tbl>
    <w:p>
      <w:pPr>
        <w:spacing w:after="0" w:line="194" w:lineRule="exact"/>
        <w:rPr>
          <w:sz w:val="20"/>
          <w:szCs w:val="20"/>
          <w:color w:val="auto"/>
        </w:rPr>
      </w:pPr>
    </w:p>
    <w:p>
      <w:pPr>
        <w:jc w:val="both"/>
        <w:ind w:left="321" w:right="60" w:hanging="321"/>
        <w:spacing w:after="0" w:line="241" w:lineRule="auto"/>
        <w:tabs>
          <w:tab w:leader="none" w:pos="321"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r>
        <w:rPr>
          <w:rFonts w:ascii="Arial" w:cs="Arial" w:eastAsia="Arial" w:hAnsi="Arial"/>
          <w:sz w:val="20"/>
          <w:szCs w:val="20"/>
          <w:color w:val="auto"/>
        </w:rPr>
        <w:t>.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171" w:lineRule="exact"/>
        <w:rPr>
          <w:rFonts w:ascii="Arial" w:cs="Arial" w:eastAsia="Arial" w:hAnsi="Arial"/>
          <w:sz w:val="20"/>
          <w:szCs w:val="20"/>
          <w:color w:val="auto"/>
        </w:rPr>
      </w:pPr>
    </w:p>
    <w:p>
      <w:pPr>
        <w:ind w:left="321" w:right="40" w:hanging="321"/>
        <w:spacing w:after="0" w:line="229" w:lineRule="auto"/>
        <w:tabs>
          <w:tab w:leader="none" w:pos="321"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Payment of Grant Price</w:t>
      </w:r>
      <w:r>
        <w:rPr>
          <w:rFonts w:ascii="Arial" w:cs="Arial" w:eastAsia="Arial" w:hAnsi="Arial"/>
          <w:sz w:val="20"/>
          <w:szCs w:val="20"/>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(c) to the extent Employee is an executive officer at the time of exercise, by withholding shares of Common Stock that otherwise would be acquired pursuant to the Stock Option Award; or (d) any combination of the foregoing.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prior to the 10th anniversary of the Grant Date. Payment by cashless exercise shall not be considered to have occurred until the broker has issued confirmation of the transaction. For these purposes,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xml:space="preserve"> means a day on which the New York Stock Exchange is open for trading for its regular trading sessions.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Important Award Details</w:t>
      </w:r>
    </w:p>
    <w:p>
      <w:pPr>
        <w:spacing w:after="0" w:line="233" w:lineRule="exact"/>
        <w:rPr>
          <w:sz w:val="20"/>
          <w:szCs w:val="20"/>
          <w:color w:val="auto"/>
        </w:rPr>
      </w:pPr>
    </w:p>
    <w:p>
      <w:pPr>
        <w:ind w:left="1"/>
        <w:spacing w:after="0" w:line="257" w:lineRule="auto"/>
        <w:rPr>
          <w:sz w:val="20"/>
          <w:szCs w:val="20"/>
          <w:color w:val="auto"/>
        </w:rPr>
      </w:pPr>
      <w:r>
        <w:rPr>
          <w:rFonts w:ascii="Arial" w:cs="Arial" w:eastAsia="Arial" w:hAnsi="Arial"/>
          <w:sz w:val="20"/>
          <w:szCs w:val="20"/>
          <w:color w:val="auto"/>
        </w:rPr>
        <w:t>Your Awards under this Agreement are subject to important terms and conditions set forth below. Please read them carefully and seek advice from your own legal and tax advisors before executing this Agreement.</w:t>
      </w:r>
    </w:p>
    <w:p>
      <w:pPr>
        <w:spacing w:after="0" w:line="155" w:lineRule="exact"/>
        <w:rPr>
          <w:sz w:val="20"/>
          <w:szCs w:val="20"/>
          <w:color w:val="auto"/>
        </w:rPr>
      </w:pPr>
    </w:p>
    <w:p>
      <w:pPr>
        <w:ind w:left="321" w:right="40" w:hanging="321"/>
        <w:spacing w:after="0" w:line="237" w:lineRule="auto"/>
        <w:tabs>
          <w:tab w:leader="none" w:pos="32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Upon Employee’s death or disability (as determined by the Committee and within the meaning of Section 409A of the Internal Revenue Code of 1986, as amended, and the Treasury Regulations issued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and specifically Section 409A(a)(2)(C)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Employee (or in the case of Employee’s death, Employee’s beneficiary) shall, subject to paragraph 2.e below, be entitled to:</w:t>
      </w:r>
    </w:p>
    <w:p>
      <w:pPr>
        <w:spacing w:after="0" w:line="171" w:lineRule="exact"/>
        <w:rPr>
          <w:rFonts w:ascii="Arial" w:cs="Arial" w:eastAsia="Arial" w:hAnsi="Arial"/>
          <w:sz w:val="20"/>
          <w:szCs w:val="20"/>
          <w:color w:val="auto"/>
        </w:rPr>
      </w:pPr>
    </w:p>
    <w:p>
      <w:pPr>
        <w:ind w:left="641" w:right="160" w:hanging="317"/>
        <w:spacing w:after="0" w:line="230" w:lineRule="auto"/>
        <w:tabs>
          <w:tab w:leader="none" w:pos="641" w:val="left"/>
        </w:tabs>
        <w:numPr>
          <w:ilvl w:val="1"/>
          <w:numId w:val="28"/>
        </w:numPr>
        <w:rPr>
          <w:rFonts w:ascii="Arial" w:cs="Arial" w:eastAsia="Arial" w:hAnsi="Arial"/>
          <w:sz w:val="20"/>
          <w:szCs w:val="20"/>
          <w:color w:val="auto"/>
        </w:rPr>
      </w:pPr>
      <w:r>
        <w:rPr>
          <w:rFonts w:ascii="Arial" w:cs="Arial" w:eastAsia="Arial" w:hAnsi="Arial"/>
          <w:sz w:val="20"/>
          <w:szCs w:val="20"/>
          <w:color w:val="auto"/>
        </w:rPr>
        <w:t xml:space="preserve">exercise all Stock Options outstanding under the Stock Option Award (whether previously exercisable) for one year following such event. Provided however, if Employee was eligible for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(as defined below) at the time of his death or Disability, the Stock Option Award will remain exercisable for three years following the date of such event.</w:t>
      </w:r>
    </w:p>
    <w:p>
      <w:pPr>
        <w:ind w:left="321" w:hanging="321"/>
        <w:spacing w:after="0"/>
        <w:tabs>
          <w:tab w:leader="none" w:pos="32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Treatment of Stock Option Award upon Involuntary Termination; Resignation; Retirement</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ind w:left="721" w:right="40" w:hanging="316"/>
        <w:spacing w:after="0" w:line="243" w:lineRule="auto"/>
        <w:tabs>
          <w:tab w:leader="none" w:pos="721" w:val="left"/>
        </w:tabs>
        <w:numPr>
          <w:ilvl w:val="2"/>
          <w:numId w:val="28"/>
        </w:numPr>
        <w:rPr>
          <w:rFonts w:ascii="Arial" w:cs="Arial" w:eastAsia="Arial" w:hAnsi="Arial"/>
          <w:sz w:val="19"/>
          <w:szCs w:val="19"/>
          <w:color w:val="auto"/>
        </w:rPr>
      </w:pPr>
      <w:r>
        <w:rPr>
          <w:rFonts w:ascii="Arial" w:cs="Arial" w:eastAsia="Arial" w:hAnsi="Arial"/>
          <w:sz w:val="19"/>
          <w:szCs w:val="19"/>
          <w:u w:val="single" w:color="auto"/>
          <w:color w:val="auto"/>
        </w:rPr>
        <w:t>Involuntary Termination of Employment Without Cause or Resignation by Employee</w:t>
      </w:r>
      <w:r>
        <w:rPr>
          <w:rFonts w:ascii="Arial" w:cs="Arial" w:eastAsia="Arial" w:hAnsi="Arial"/>
          <w:sz w:val="19"/>
          <w:szCs w:val="19"/>
          <w:color w:val="auto"/>
        </w:rPr>
        <w:t>. Upon an involuntary Termination of Employment without Cause by WM or a Termination of Employment due to a voluntary resignation by Employee that is accepted by WM that is not a Retirement, for a period of 90 days following such Termination of Employment, Employee shall be entitled to exercise all the Stock Options then outstanding and exercisable under the Stock Option Award. Any Stock Options that are not outstanding and exercisable at the time of the applicable termination shall be forfeited without the payment of any consideration by WM, and any Stock Options that were eligible to be exercised pursuant to this paragraph 3.a but were not exercised during the 90-day exercise period shall also be forfeited without the payment of any consideration by WM.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0" w:name="page21"/>
    <w:bookmarkEnd w:id="20"/>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4364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r>
    </w:p>
    <w:p>
      <w:pPr>
        <w:ind w:left="721" w:right="100" w:hanging="316"/>
        <w:spacing w:after="0" w:line="241" w:lineRule="auto"/>
        <w:tabs>
          <w:tab w:leader="none" w:pos="721" w:val="left"/>
        </w:tabs>
        <w:numPr>
          <w:ilvl w:val="2"/>
          <w:numId w:val="29"/>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Employee’s Retirement, the Stock Option Award shall continue to become exercisable under the applicable exercise schedule for three years following Employee’s Retirement and once exercisable shall remain exercisable for the three-year period following Employee’s Retirement</w:t>
      </w:r>
    </w:p>
    <w:p>
      <w:pPr>
        <w:spacing w:after="0" w:line="171" w:lineRule="exact"/>
        <w:rPr>
          <w:rFonts w:ascii="Arial" w:cs="Arial" w:eastAsia="Arial" w:hAnsi="Arial"/>
          <w:sz w:val="20"/>
          <w:szCs w:val="20"/>
          <w:color w:val="auto"/>
        </w:rPr>
      </w:pPr>
    </w:p>
    <w:p>
      <w:pPr>
        <w:ind w:left="721" w:hanging="316"/>
        <w:spacing w:after="0"/>
        <w:tabs>
          <w:tab w:leader="none" w:pos="721" w:val="left"/>
        </w:tabs>
        <w:numPr>
          <w:ilvl w:val="2"/>
          <w:numId w:val="29"/>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1301" w:right="80" w:hanging="329"/>
        <w:spacing w:after="0" w:line="233" w:lineRule="auto"/>
        <w:tabs>
          <w:tab w:leader="none" w:pos="1301" w:val="left"/>
        </w:tabs>
        <w:numPr>
          <w:ilvl w:val="3"/>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Retirement </w:t>
      </w:r>
      <w:r>
        <w:rPr>
          <w:rFonts w:ascii="Arial" w:cs="Arial" w:eastAsia="Arial" w:hAnsi="Arial"/>
          <w:sz w:val="20"/>
          <w:szCs w:val="20"/>
          <w:color w:val="auto"/>
        </w:rPr>
        <w:t>means Termination of Employment due to the voluntary resignation of employment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Employee, after Employee (1) has reached age 55 or greater; (2) has a sum of age plus years of Service (as defined in paragraph ii. below) with WM equal to 65 or greater; and (3) has completed at least 5 consecutive full years of Service with WM during the 5-year period immediately preceding the resignation; </w:t>
      </w:r>
      <w:r>
        <w:rPr>
          <w:rFonts w:ascii="Arial" w:cs="Arial" w:eastAsia="Arial" w:hAnsi="Arial"/>
          <w:sz w:val="20"/>
          <w:szCs w:val="20"/>
          <w:u w:val="single" w:color="auto"/>
          <w:color w:val="auto"/>
        </w:rPr>
        <w:t>provided</w:t>
      </w:r>
      <w:r>
        <w:rPr>
          <w:rFonts w:ascii="Arial" w:cs="Arial" w:eastAsia="Arial" w:hAnsi="Arial"/>
          <w:sz w:val="20"/>
          <w:szCs w:val="20"/>
          <w:color w:val="auto"/>
        </w:rPr>
        <w:t>, that Employee is not receiving severance benefits pursuant to the severance pay plans of WM in connection with such Termination of Employment.</w:t>
      </w:r>
    </w:p>
    <w:p>
      <w:pPr>
        <w:spacing w:after="0" w:line="172" w:lineRule="exact"/>
        <w:rPr>
          <w:rFonts w:ascii="Arial" w:cs="Arial" w:eastAsia="Arial" w:hAnsi="Arial"/>
          <w:sz w:val="20"/>
          <w:szCs w:val="20"/>
          <w:color w:val="auto"/>
        </w:rPr>
      </w:pPr>
    </w:p>
    <w:p>
      <w:pPr>
        <w:ind w:left="1301" w:right="40" w:hanging="329"/>
        <w:spacing w:after="0" w:line="232" w:lineRule="auto"/>
        <w:tabs>
          <w:tab w:leader="none" w:pos="1301" w:val="left"/>
        </w:tabs>
        <w:numPr>
          <w:ilvl w:val="3"/>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Service </w:t>
      </w:r>
      <w:r>
        <w:rPr>
          <w:rFonts w:ascii="Arial" w:cs="Arial" w:eastAsia="Arial" w:hAnsi="Arial"/>
          <w:sz w:val="20"/>
          <w:szCs w:val="20"/>
          <w:color w:val="auto"/>
        </w:rPr>
        <w:t>is measured from Employee’s original date of hire by WM, except as provided below. In the case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a break of employment 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71" w:lineRule="exact"/>
        <w:rPr>
          <w:rFonts w:ascii="Arial" w:cs="Arial" w:eastAsia="Arial" w:hAnsi="Arial"/>
          <w:sz w:val="20"/>
          <w:szCs w:val="20"/>
          <w:color w:val="auto"/>
        </w:rPr>
      </w:pPr>
    </w:p>
    <w:p>
      <w:pPr>
        <w:ind w:left="1301" w:right="100" w:hanging="329"/>
        <w:spacing w:after="0" w:line="246" w:lineRule="auto"/>
        <w:tabs>
          <w:tab w:leader="none" w:pos="1301" w:val="left"/>
        </w:tabs>
        <w:numPr>
          <w:ilvl w:val="3"/>
          <w:numId w:val="2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Termination of Employment </w:t>
      </w:r>
      <w:r>
        <w:rPr>
          <w:rFonts w:ascii="Arial" w:cs="Arial" w:eastAsia="Arial" w:hAnsi="Arial"/>
          <w:sz w:val="19"/>
          <w:szCs w:val="19"/>
          <w:color w:val="auto"/>
        </w:rPr>
        <w:t>means the termination of Employee’s employment or other service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relationship with WM as determined by the Committee.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168" w:lineRule="exact"/>
        <w:rPr>
          <w:rFonts w:ascii="Arial" w:cs="Arial" w:eastAsia="Arial" w:hAnsi="Arial"/>
          <w:sz w:val="19"/>
          <w:szCs w:val="19"/>
          <w:color w:val="auto"/>
        </w:rPr>
      </w:pPr>
    </w:p>
    <w:p>
      <w:pPr>
        <w:ind w:left="1301" w:right="20" w:hanging="329"/>
        <w:spacing w:after="0" w:line="230" w:lineRule="auto"/>
        <w:tabs>
          <w:tab w:leader="none" w:pos="1301" w:val="left"/>
        </w:tabs>
        <w:numPr>
          <w:ilvl w:val="3"/>
          <w:numId w:val="29"/>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Cause </w:t>
      </w:r>
      <w:r>
        <w:rPr>
          <w:rFonts w:ascii="Arial" w:cs="Arial" w:eastAsia="Arial" w:hAnsi="Arial"/>
          <w:sz w:val="20"/>
          <w:szCs w:val="20"/>
          <w:color w:val="auto"/>
        </w:rPr>
        <w:t>means any of the following: (1) willful or deliberate and continual refusal to materially perform</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Employee’s duties reasonably 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to, any felony; (4) Employee willfully or intentionally caused material injury to WM, its property, or its assets; (5) Employee disclosed to unauthorized person(s) proprietary or confidential information of WM that causes a material injury to WM; or (6) any material violation or a repeated and willful violation of WM’s policies or procedures, including but not limited to, WM’s Code of Business Conduct and Ethics (or any successor policy) then in effect.</w:t>
      </w:r>
    </w:p>
    <w:p>
      <w:pPr>
        <w:spacing w:after="0" w:line="172" w:lineRule="exact"/>
        <w:rPr>
          <w:rFonts w:ascii="Arial" w:cs="Arial" w:eastAsia="Arial" w:hAnsi="Arial"/>
          <w:sz w:val="20"/>
          <w:szCs w:val="20"/>
          <w:color w:val="auto"/>
        </w:rPr>
      </w:pPr>
    </w:p>
    <w:p>
      <w:pPr>
        <w:ind w:left="721" w:hanging="316"/>
        <w:spacing w:after="0" w:line="234" w:lineRule="auto"/>
        <w:tabs>
          <w:tab w:leader="none" w:pos="721" w:val="left"/>
        </w:tabs>
        <w:numPr>
          <w:ilvl w:val="2"/>
          <w:numId w:val="29"/>
        </w:numPr>
        <w:rPr>
          <w:rFonts w:ascii="Arial" w:cs="Arial" w:eastAsia="Arial" w:hAnsi="Arial"/>
          <w:sz w:val="20"/>
          <w:szCs w:val="20"/>
          <w:color w:val="auto"/>
        </w:rPr>
      </w:pPr>
      <w:r>
        <w:rPr>
          <w:rFonts w:ascii="Arial" w:cs="Arial" w:eastAsia="Arial" w:hAnsi="Arial"/>
          <w:sz w:val="20"/>
          <w:szCs w:val="20"/>
          <w:color w:val="auto"/>
        </w:rPr>
        <w:t>In order to receive any of the vesting or exercisability benefits upon termination described in paragraphs 1 and 2 (except resignation), Employee (or, if applicable, Employee’s estate) must (x) execute and not revoke a general release of claims in favor of WM and its affiliates in a form that is acceptable to WM and which has become effective and irrevocable prior to the payment date set forth above (or such earlier deadline set by WM) and (y) continue to abide by all ongoing obligations to WM under any restrictive covenant agreement.</w:t>
      </w:r>
    </w:p>
    <w:p>
      <w:pPr>
        <w:spacing w:after="0" w:line="174" w:lineRule="exact"/>
        <w:rPr>
          <w:rFonts w:ascii="Arial" w:cs="Arial" w:eastAsia="Arial" w:hAnsi="Arial"/>
          <w:sz w:val="20"/>
          <w:szCs w:val="20"/>
          <w:color w:val="auto"/>
        </w:rPr>
      </w:pPr>
    </w:p>
    <w:p>
      <w:pPr>
        <w:ind w:left="321" w:hanging="321"/>
        <w:spacing w:after="0"/>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for Other Reasons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41" w:right="340" w:hanging="317"/>
        <w:spacing w:after="0" w:line="241" w:lineRule="auto"/>
        <w:tabs>
          <w:tab w:leader="none" w:pos="641"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Stock Option Award in the Event of Involuntary Termination with Cause</w:t>
      </w:r>
      <w:r>
        <w:rPr>
          <w:rFonts w:ascii="Arial" w:cs="Arial" w:eastAsia="Arial" w:hAnsi="Arial"/>
          <w:sz w:val="20"/>
          <w:szCs w:val="20"/>
          <w:color w:val="auto"/>
        </w:rPr>
        <w:t>. Upon Termination of Employment by WM with Cause, Employee shall forfeit all Stock Options under the Stock Option Award, whether exercisable, without the payment of any consideration by WM.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1" w:name="page22"/>
    <w:bookmarkEnd w:id="2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7436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Recoupment Provisions</w:t>
      </w:r>
    </w:p>
    <w:p>
      <w:pPr>
        <w:spacing w:after="0" w:line="202" w:lineRule="exact"/>
        <w:rPr>
          <w:rFonts w:ascii="Arial" w:cs="Arial" w:eastAsia="Arial" w:hAnsi="Arial"/>
          <w:sz w:val="20"/>
          <w:szCs w:val="20"/>
          <w:color w:val="auto"/>
        </w:rPr>
      </w:pPr>
    </w:p>
    <w:p>
      <w:pPr>
        <w:ind w:left="721" w:hanging="316"/>
        <w:spacing w:after="0"/>
        <w:tabs>
          <w:tab w:leader="none" w:pos="721"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Clawback Policy</w:t>
      </w:r>
    </w:p>
    <w:p>
      <w:pPr>
        <w:spacing w:after="0" w:line="202" w:lineRule="exact"/>
        <w:rPr>
          <w:rFonts w:ascii="Arial" w:cs="Arial" w:eastAsia="Arial" w:hAnsi="Arial"/>
          <w:sz w:val="20"/>
          <w:szCs w:val="20"/>
          <w:color w:val="auto"/>
        </w:rPr>
      </w:pPr>
    </w:p>
    <w:p>
      <w:pPr>
        <w:ind w:left="1301" w:hanging="329"/>
        <w:spacing w:after="0"/>
        <w:tabs>
          <w:tab w:leader="none" w:pos="1301" w:val="left"/>
        </w:tabs>
        <w:numPr>
          <w:ilvl w:val="2"/>
          <w:numId w:val="31"/>
        </w:numPr>
        <w:rPr>
          <w:rFonts w:ascii="Arial" w:cs="Arial" w:eastAsia="Arial" w:hAnsi="Arial"/>
          <w:sz w:val="19"/>
          <w:szCs w:val="19"/>
          <w:color w:val="auto"/>
        </w:rPr>
      </w:pPr>
      <w:r>
        <w:rPr>
          <w:rFonts w:ascii="Arial" w:cs="Arial" w:eastAsia="Arial" w:hAnsi="Arial"/>
          <w:sz w:val="19"/>
          <w:szCs w:val="19"/>
          <w:color w:val="auto"/>
        </w:rPr>
        <w:t>Notwithstanding any provisions in the Plan or this Agreement to the contrary, any portion of the payments and benefits provided under this Agreement or the sale of any shares of Common Stock issued hereunder shall be subject to the Waste Management, Inc. Clawback Policy, adopted by the Committee of the Board on August 21, 2023, (as may be amended from time to time, the “</w:t>
      </w:r>
      <w:r>
        <w:rPr>
          <w:rFonts w:ascii="Arial" w:cs="Arial" w:eastAsia="Arial" w:hAnsi="Arial"/>
          <w:sz w:val="19"/>
          <w:szCs w:val="19"/>
          <w:b w:val="1"/>
          <w:bCs w:val="1"/>
          <w:i w:val="1"/>
          <w:iCs w:val="1"/>
          <w:color w:val="auto"/>
        </w:rPr>
        <w:t>Clawback Policy</w:t>
      </w:r>
      <w:r>
        <w:rPr>
          <w:rFonts w:ascii="Arial" w:cs="Arial" w:eastAsia="Arial" w:hAnsi="Arial"/>
          <w:sz w:val="19"/>
          <w:szCs w:val="19"/>
          <w:color w:val="auto"/>
        </w:rPr>
        <w:t>”) and any other clawback or recovery policy adopted by the Committee or the Board from time to time, including, without limitation, any such policy adopted in accordance with the requirements of the Dodd-Frank Wall Street Reform and Consumer Protection Act of 2010 or any rule or regulation of the SEC or New York Stock Exchange. Additionally, notwithstanding the terms of any of the organizational documents of WM, any corporate policy, or any contract between Employee and WM, Employee hereby acknowledges and agrees that Employee will not be entitled to (i) indemnification for any liability (including any amounts owed by Employee in a judgment or settlement in connection with any action taken by the Committee or the Board to enforce the Clawback Policy) (such action, a “</w:t>
      </w:r>
      <w:r>
        <w:rPr>
          <w:rFonts w:ascii="Arial" w:cs="Arial" w:eastAsia="Arial" w:hAnsi="Arial"/>
          <w:sz w:val="19"/>
          <w:szCs w:val="19"/>
          <w:b w:val="1"/>
          <w:bCs w:val="1"/>
          <w:i w:val="1"/>
          <w:iCs w:val="1"/>
          <w:color w:val="auto"/>
        </w:rPr>
        <w:t>Clawback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or loss (including judgments, fines, taxes, penalties or amounts paid in settlement by or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behalf of Employee incurred by Employee in connection with or as a result of any Clawback Proceeding) or (ii) indemnification or advancement of any expenses (including attorneys’ fees) from WM incurred by Employee in connection any Clawback Proceeding; provided, however, if Employee is successful on the merits in the defense of any claim asserted against Employee in a Clawback Proceeding, Employee shall be indemnified for the expenses (including attorneys' fees) Employee reasonably incurred to defend such claim. Employee knowingly, voluntarily and intentionally waives, and agrees not to asset any claims regarding, any and all rights to indemnification, advancement of expenses and other rights from WM to which Employee is now or may become entitled under any indemnity agreement or other contract between Employee and WM, the organizational documents of WM and the General Corporation Law of the State of Delaware, in each case to the extent such waiver and agreement is necessary to comply with applicable law or give effect to the preceding provisions of this paragraph.</w:t>
      </w:r>
    </w:p>
    <w:p>
      <w:pPr>
        <w:spacing w:after="0" w:line="374" w:lineRule="exact"/>
        <w:rPr>
          <w:rFonts w:ascii="Arial" w:cs="Arial" w:eastAsia="Arial" w:hAnsi="Arial"/>
          <w:sz w:val="19"/>
          <w:szCs w:val="19"/>
          <w:color w:val="auto"/>
        </w:rPr>
      </w:pPr>
    </w:p>
    <w:p>
      <w:pPr>
        <w:ind w:left="721" w:hanging="316"/>
        <w:spacing w:after="0"/>
        <w:tabs>
          <w:tab w:leader="none" w:pos="721" w:val="left"/>
        </w:tabs>
        <w:numPr>
          <w:ilvl w:val="1"/>
          <w:numId w:val="31"/>
        </w:numPr>
        <w:rPr>
          <w:rFonts w:ascii="Arial" w:cs="Arial" w:eastAsia="Arial" w:hAnsi="Arial"/>
          <w:sz w:val="20"/>
          <w:szCs w:val="20"/>
          <w:color w:val="auto"/>
        </w:rPr>
      </w:pPr>
      <w:r>
        <w:rPr>
          <w:rFonts w:ascii="Arial" w:cs="Arial" w:eastAsia="Arial" w:hAnsi="Arial"/>
          <w:sz w:val="20"/>
          <w:szCs w:val="20"/>
          <w:u w:val="single" w:color="auto"/>
          <w:color w:val="auto"/>
        </w:rPr>
        <w:t>Repayment of Award in the Event of Misconduct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1301" w:right="180" w:hanging="329"/>
        <w:spacing w:after="0" w:line="229" w:lineRule="auto"/>
        <w:tabs>
          <w:tab w:leader="none" w:pos="1301" w:val="left"/>
        </w:tabs>
        <w:numPr>
          <w:ilvl w:val="2"/>
          <w:numId w:val="31"/>
        </w:numPr>
        <w:rPr>
          <w:rFonts w:ascii="Arial" w:cs="Arial" w:eastAsia="Arial" w:hAnsi="Arial"/>
          <w:sz w:val="20"/>
          <w:szCs w:val="20"/>
          <w:color w:val="auto"/>
        </w:rPr>
      </w:pPr>
      <w:r>
        <w:rPr>
          <w:rFonts w:ascii="Arial" w:cs="Arial" w:eastAsia="Arial" w:hAnsi="Arial"/>
          <w:sz w:val="20"/>
          <w:szCs w:val="20"/>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Arial" w:cs="Arial" w:eastAsia="Arial" w:hAnsi="Arial"/>
          <w:sz w:val="20"/>
          <w:szCs w:val="20"/>
          <w:b w:val="1"/>
          <w:bCs w:val="1"/>
          <w:i w:val="1"/>
          <w:iCs w:val="1"/>
          <w:color w:val="auto"/>
        </w:rPr>
        <w:t xml:space="preserve">Misconduct </w:t>
      </w:r>
      <w:r>
        <w:rPr>
          <w:rFonts w:ascii="Arial" w:cs="Arial" w:eastAsia="Arial" w:hAnsi="Arial"/>
          <w:sz w:val="20"/>
          <w:szCs w:val="20"/>
          <w:color w:val="auto"/>
        </w:rPr>
        <w:t>means any act or failure to act by any employee of WM that (i) caused or was intended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cause a violation of WM’s policies or the WM code of conduct, generally accepted accounting principles or any applicable laws in effect at the time of the act or failure to act in question and that (ii)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Arial" w:cs="Arial" w:eastAsia="Arial" w:hAnsi="Arial"/>
          <w:sz w:val="20"/>
          <w:szCs w:val="20"/>
          <w:b w:val="1"/>
          <w:bCs w:val="1"/>
          <w:i w:val="1"/>
          <w:iCs w:val="1"/>
          <w:color w:val="auto"/>
        </w:rPr>
        <w:t>Independent Third Party</w:t>
      </w:r>
      <w:r>
        <w:rPr>
          <w:rFonts w:ascii="Arial" w:cs="Arial" w:eastAsia="Arial" w:hAnsi="Arial"/>
          <w:sz w:val="20"/>
          <w:szCs w:val="20"/>
          <w:color w:val="auto"/>
        </w:rPr>
        <w:t>) appointed by the Committee.</w:t>
      </w:r>
    </w:p>
    <w:p>
      <w:pPr>
        <w:spacing w:after="0" w:line="178" w:lineRule="exact"/>
        <w:rPr>
          <w:rFonts w:ascii="Arial" w:cs="Arial" w:eastAsia="Arial" w:hAnsi="Arial"/>
          <w:sz w:val="20"/>
          <w:szCs w:val="20"/>
          <w:color w:val="auto"/>
        </w:rPr>
      </w:pPr>
    </w:p>
    <w:p>
      <w:pPr>
        <w:ind w:left="1301" w:right="140" w:hanging="329"/>
        <w:spacing w:after="0" w:line="237" w:lineRule="auto"/>
        <w:tabs>
          <w:tab w:leader="none" w:pos="1301" w:val="left"/>
        </w:tabs>
        <w:numPr>
          <w:ilvl w:val="2"/>
          <w:numId w:val="31"/>
        </w:numPr>
        <w:rPr>
          <w:rFonts w:ascii="Arial" w:cs="Arial" w:eastAsia="Arial" w:hAnsi="Arial"/>
          <w:sz w:val="20"/>
          <w:szCs w:val="20"/>
          <w:color w:val="auto"/>
        </w:rPr>
      </w:pPr>
      <w:r>
        <w:rPr>
          <w:rFonts w:ascii="Arial" w:cs="Arial" w:eastAsia="Arial" w:hAnsi="Arial"/>
          <w:sz w:val="20"/>
          <w:szCs w:val="20"/>
          <w:color w:val="auto"/>
        </w:rPr>
        <w:t>Following a determination of Misconduct by Employee, Employee may dispute such determination pursuant to binding arbitration as set forth below under “General Terms” provided, however, that if Employee is determined to have benefited from, but not engaged in, Misconduct, Employee will have no right to dispute such determination and such determination shall be conclusive and binding.</w:t>
      </w:r>
    </w:p>
    <w:p>
      <w:pPr>
        <w:spacing w:after="0" w:line="171" w:lineRule="exact"/>
        <w:rPr>
          <w:rFonts w:ascii="Arial" w:cs="Arial" w:eastAsia="Arial" w:hAnsi="Arial"/>
          <w:sz w:val="20"/>
          <w:szCs w:val="20"/>
          <w:color w:val="auto"/>
        </w:rPr>
      </w:pPr>
    </w:p>
    <w:p>
      <w:pPr>
        <w:ind w:left="1301" w:right="460" w:hanging="329"/>
        <w:spacing w:after="0" w:line="257" w:lineRule="auto"/>
        <w:tabs>
          <w:tab w:leader="none" w:pos="1301" w:val="left"/>
        </w:tabs>
        <w:numPr>
          <w:ilvl w:val="2"/>
          <w:numId w:val="31"/>
        </w:numPr>
        <w:rPr>
          <w:rFonts w:ascii="Arial" w:cs="Arial" w:eastAsia="Arial" w:hAnsi="Arial"/>
          <w:sz w:val="20"/>
          <w:szCs w:val="20"/>
          <w:color w:val="auto"/>
        </w:rPr>
      </w:pPr>
      <w:r>
        <w:rPr>
          <w:rFonts w:ascii="Arial" w:cs="Arial" w:eastAsia="Arial" w:hAnsi="Arial"/>
          <w:sz w:val="20"/>
          <w:szCs w:val="20"/>
          <w:color w:val="auto"/>
        </w:rPr>
        <w:t>WM must initiate recovery pursuant to this paragraph by the earliest of (i) one year after discovery of alleged Misconduct, or (ii) the second anniversary of Employee’s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2" w:name="page23"/>
    <w:bookmarkEnd w:id="22"/>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513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7875" cy="7513955"/>
                    </a:xfrm>
                    <a:prstGeom prst="rect">
                      <a:avLst/>
                    </a:prstGeom>
                    <a:noFill/>
                  </pic:spPr>
                </pic:pic>
              </a:graphicData>
            </a:graphic>
          </wp:anchor>
        </w:drawing>
      </w:r>
    </w:p>
    <w:p>
      <w:pPr>
        <w:ind w:left="1301" w:right="420" w:hanging="329"/>
        <w:spacing w:after="0" w:line="284" w:lineRule="auto"/>
        <w:tabs>
          <w:tab w:leader="none" w:pos="1301" w:val="left"/>
        </w:tabs>
        <w:numPr>
          <w:ilvl w:val="2"/>
          <w:numId w:val="32"/>
        </w:numPr>
        <w:rPr>
          <w:rFonts w:ascii="Arial" w:cs="Arial" w:eastAsia="Arial" w:hAnsi="Arial"/>
          <w:sz w:val="19"/>
          <w:szCs w:val="19"/>
          <w:color w:val="auto"/>
        </w:rPr>
      </w:pPr>
      <w:r>
        <w:rPr>
          <w:rFonts w:ascii="Arial" w:cs="Arial" w:eastAsia="Arial" w:hAnsi="Arial"/>
          <w:sz w:val="19"/>
          <w:szCs w:val="19"/>
          <w:color w:val="auto"/>
        </w:rPr>
        <w:t>The provisions of this paragraph, without any implication as to any other provision of this Agreement, shall survive the expiration or termination of this Agreement and Employee’s employment.</w:t>
      </w:r>
    </w:p>
    <w:p>
      <w:pPr>
        <w:spacing w:after="0" w:line="130" w:lineRule="exact"/>
        <w:rPr>
          <w:rFonts w:ascii="Arial" w:cs="Arial" w:eastAsia="Arial" w:hAnsi="Arial"/>
          <w:sz w:val="19"/>
          <w:szCs w:val="19"/>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Acceleration upon Corporate Change</w:t>
      </w:r>
      <w:r>
        <w:rPr>
          <w:rFonts w:ascii="Arial" w:cs="Arial" w:eastAsia="Arial" w:hAnsi="Arial"/>
          <w:sz w:val="20"/>
          <w:szCs w:val="20"/>
          <w:color w:val="auto"/>
        </w:rPr>
        <w:t>. Overriding any other inconsistent terms of this Agreement:</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721" w:hanging="316"/>
        <w:spacing w:after="0"/>
        <w:tabs>
          <w:tab w:leader="none" w:pos="721"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Stock Option Award</w:t>
      </w:r>
      <w:r>
        <w:rPr>
          <w:rFonts w:ascii="Arial" w:cs="Arial" w:eastAsia="Arial" w:hAnsi="Arial"/>
          <w:sz w:val="19"/>
          <w:szCs w:val="19"/>
          <w:color w:val="auto"/>
        </w:rPr>
        <w:t>. In the event of Employee’s involuntary Termination of Employment without Cause or Termination of Employment due to a resignation by Employee for Good Reason that, in either case, occurs on or before the second anniversary of a Corporate Change, the Stock Option Award shall become exercisable immediately (whether previously exercisable) and shall remain exercisable for the three-year period following such Termination of Employment. For this purpose,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has the same meaning as within the Waste Management Holding, Inc. Executive Severance Plan (“</w:t>
      </w:r>
      <w:r>
        <w:rPr>
          <w:rFonts w:ascii="Arial" w:cs="Arial" w:eastAsia="Arial" w:hAnsi="Arial"/>
          <w:sz w:val="19"/>
          <w:szCs w:val="19"/>
          <w:b w:val="1"/>
          <w:bCs w:val="1"/>
          <w:i w:val="1"/>
          <w:iCs w:val="1"/>
          <w:color w:val="auto"/>
        </w:rPr>
        <w:t>Executive Severance Plan</w:t>
      </w:r>
      <w:r>
        <w:rPr>
          <w:rFonts w:ascii="Arial" w:cs="Arial" w:eastAsia="Arial" w:hAnsi="Arial"/>
          <w:sz w:val="19"/>
          <w:szCs w:val="19"/>
          <w:color w:val="auto"/>
        </w:rPr>
        <w:t xml:space="preserve">”). In the event Employee is not a participant in the Executive Severance Plan, then Good Reason means the initial existence of one or more of the following conditions, arising without the consent of the Employee: (1) a material diminution in Employee’s base compensation; (2) a material diminution in Employee’s authority, duties, or responsibilities; (3) the relocation of the geographic location of the Employee’s principal place of employment by more than 50 miles from the location Employee’s immediately prior principal place of employment;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that</w:t>
      </w:r>
      <w:r>
        <w:rPr>
          <w:rFonts w:ascii="Arial" w:cs="Arial" w:eastAsia="Arial" w:hAnsi="Arial"/>
          <w:sz w:val="19"/>
          <w:szCs w:val="19"/>
          <w:color w:val="auto"/>
        </w:rPr>
        <w:t>, Employee cannot terminate Employee’s employment for “Good Reason” unless Employee has provided written notice to the Company of the existence of the condition providing grounds for termination for Good Reason within ninety (90) days of the initial existence of the condition, the written notice must provide for a date of termination not less than thirty (3) nor more than sixty (60) days after the date such notice is given, and the condition specified in the notice must remain uncorrected through the date of termination set forth in the notice.</w:t>
      </w:r>
    </w:p>
    <w:p>
      <w:pPr>
        <w:spacing w:after="0" w:line="176" w:lineRule="exact"/>
        <w:rPr>
          <w:rFonts w:ascii="Arial" w:cs="Arial" w:eastAsia="Arial" w:hAnsi="Arial"/>
          <w:sz w:val="19"/>
          <w:szCs w:val="19"/>
          <w:color w:val="auto"/>
        </w:rPr>
      </w:pPr>
    </w:p>
    <w:p>
      <w:pPr>
        <w:ind w:left="721" w:hanging="316"/>
        <w:spacing w:after="0"/>
        <w:tabs>
          <w:tab w:leader="none" w:pos="721" w:val="left"/>
        </w:tabs>
        <w:numPr>
          <w:ilvl w:val="1"/>
          <w:numId w:val="33"/>
        </w:numPr>
        <w:rPr>
          <w:rFonts w:ascii="Arial" w:cs="Arial" w:eastAsia="Arial" w:hAnsi="Arial"/>
          <w:sz w:val="20"/>
          <w:szCs w:val="20"/>
          <w:color w:val="auto"/>
        </w:rPr>
      </w:pPr>
      <w:r>
        <w:rPr>
          <w:rFonts w:ascii="Arial" w:cs="Arial" w:eastAsia="Arial" w:hAnsi="Arial"/>
          <w:sz w:val="20"/>
          <w:szCs w:val="20"/>
          <w:color w:val="auto"/>
        </w:rPr>
        <w:t>The following terms shall have the meanings set forth below for purposes of this Agreement:</w:t>
      </w:r>
    </w:p>
    <w:p>
      <w:pPr>
        <w:spacing w:after="0" w:line="202" w:lineRule="exact"/>
        <w:rPr>
          <w:rFonts w:ascii="Arial" w:cs="Arial" w:eastAsia="Arial" w:hAnsi="Arial"/>
          <w:sz w:val="20"/>
          <w:szCs w:val="20"/>
          <w:color w:val="auto"/>
        </w:rPr>
      </w:pPr>
    </w:p>
    <w:p>
      <w:pPr>
        <w:ind w:left="721" w:right="100" w:hanging="316"/>
        <w:spacing w:after="0" w:line="241" w:lineRule="auto"/>
        <w:tabs>
          <w:tab w:leader="none" w:pos="721" w:val="left"/>
        </w:tabs>
        <w:numPr>
          <w:ilvl w:val="1"/>
          <w:numId w:val="33"/>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Window Period </w:t>
      </w:r>
      <w:r>
        <w:rPr>
          <w:rFonts w:ascii="Arial" w:cs="Arial" w:eastAsia="Arial" w:hAnsi="Arial"/>
          <w:sz w:val="20"/>
          <w:szCs w:val="20"/>
          <w:color w:val="auto"/>
        </w:rPr>
        <w:t>means the period beginning on the date occurring six (6) months immediately prior to the date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on which a Corporate Change first occurs and ending on the second anniversary of the date on which a Corporate Change occurs.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93C"/>
        </w:rPr>
        <w:t>General Terms</w:t>
      </w:r>
    </w:p>
    <w:p>
      <w:pPr>
        <w:spacing w:after="0" w:line="233" w:lineRule="exact"/>
        <w:rPr>
          <w:sz w:val="20"/>
          <w:szCs w:val="20"/>
          <w:color w:val="auto"/>
        </w:rPr>
      </w:pPr>
    </w:p>
    <w:p>
      <w:pPr>
        <w:ind w:left="321" w:hanging="321"/>
        <w:spacing w:after="0"/>
        <w:tabs>
          <w:tab w:leader="none" w:pos="32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41" w:right="60" w:hanging="317"/>
        <w:spacing w:after="0" w:line="252" w:lineRule="auto"/>
        <w:tabs>
          <w:tab w:leader="none" w:pos="641" w:val="left"/>
        </w:tabs>
        <w:numPr>
          <w:ilvl w:val="1"/>
          <w:numId w:val="34"/>
        </w:numPr>
        <w:rPr>
          <w:rFonts w:ascii="Arial" w:cs="Arial" w:eastAsia="Arial" w:hAnsi="Arial"/>
          <w:sz w:val="19"/>
          <w:szCs w:val="19"/>
          <w:color w:val="auto"/>
        </w:rPr>
      </w:pPr>
      <w:r>
        <w:rPr>
          <w:rFonts w:ascii="Arial" w:cs="Arial" w:eastAsia="Arial" w:hAnsi="Arial"/>
          <w:sz w:val="19"/>
          <w:szCs w:val="19"/>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162" w:lineRule="exact"/>
        <w:rPr>
          <w:rFonts w:ascii="Arial" w:cs="Arial" w:eastAsia="Arial" w:hAnsi="Arial"/>
          <w:sz w:val="19"/>
          <w:szCs w:val="19"/>
          <w:color w:val="auto"/>
        </w:rPr>
      </w:pPr>
    </w:p>
    <w:p>
      <w:pPr>
        <w:ind w:left="641" w:right="180" w:hanging="317"/>
        <w:spacing w:after="0" w:line="243" w:lineRule="auto"/>
        <w:tabs>
          <w:tab w:leader="none" w:pos="641" w:val="left"/>
        </w:tabs>
        <w:numPr>
          <w:ilvl w:val="1"/>
          <w:numId w:val="34"/>
        </w:numPr>
        <w:rPr>
          <w:rFonts w:ascii="Arial" w:cs="Arial" w:eastAsia="Arial" w:hAnsi="Arial"/>
          <w:sz w:val="19"/>
          <w:szCs w:val="19"/>
          <w:color w:val="auto"/>
        </w:rPr>
      </w:pPr>
      <w:r>
        <w:rPr>
          <w:rFonts w:ascii="Arial" w:cs="Arial" w:eastAsia="Arial" w:hAnsi="Arial"/>
          <w:sz w:val="19"/>
          <w:szCs w:val="19"/>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169" w:lineRule="exact"/>
        <w:rPr>
          <w:rFonts w:ascii="Arial" w:cs="Arial" w:eastAsia="Arial" w:hAnsi="Arial"/>
          <w:sz w:val="19"/>
          <w:szCs w:val="19"/>
          <w:color w:val="auto"/>
        </w:rPr>
      </w:pPr>
    </w:p>
    <w:p>
      <w:pPr>
        <w:ind w:left="321" w:hanging="321"/>
        <w:spacing w:after="0"/>
        <w:tabs>
          <w:tab w:leader="none" w:pos="32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No fractional shares of Common Stock will be issued under the Plan or this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3" w:name="page24"/>
    <w:bookmarkEnd w:id="2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436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r>
    </w:p>
    <w:p>
      <w:pPr>
        <w:ind w:left="321" w:right="40" w:hanging="321"/>
        <w:spacing w:after="0" w:line="230" w:lineRule="auto"/>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Withholding Tax</w:t>
      </w:r>
      <w:r>
        <w:rPr>
          <w:rFonts w:ascii="Arial" w:cs="Arial" w:eastAsia="Arial" w:hAnsi="Arial"/>
          <w:sz w:val="20"/>
          <w:szCs w:val="20"/>
          <w:color w:val="auto"/>
        </w:rPr>
        <w:t>. Employee agrees that Employee is responsible for federal, state, and local tax consequences associated with the Awards under this Agreement. Upon the occurrence of a taxable event with respect to any Award under this Agreement, Employee shall deliver to WM at such time, (i) such amount of money or shares of Common Stock earned or owned by Employee or (ii) if employee is an executive officer at the time of such tax event and so elects (or, otherwise, with WM’s approval), shares deliverable to Employee at such time pursuant to the applicable Award, in each case,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176" w:lineRule="exact"/>
        <w:rPr>
          <w:rFonts w:ascii="Arial" w:cs="Arial" w:eastAsia="Arial" w:hAnsi="Arial"/>
          <w:sz w:val="20"/>
          <w:szCs w:val="20"/>
          <w:color w:val="auto"/>
        </w:rPr>
      </w:pPr>
    </w:p>
    <w:p>
      <w:pPr>
        <w:ind w:left="321" w:hanging="321"/>
        <w:spacing w:after="0" w:line="230" w:lineRule="auto"/>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xml:space="preserve"> WM is not required to deliver any shares of Common Stock under this Agreement, if, in the opinion of counsel for the Company, such issuance would violate the Securities Act of 1933, any other applicable federal or state securities laws or regulations, or the requirements of any stock exchange or market system upon which the Common Stock may then be listed.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176" w:lineRule="exact"/>
        <w:rPr>
          <w:rFonts w:ascii="Arial" w:cs="Arial" w:eastAsia="Arial" w:hAnsi="Arial"/>
          <w:sz w:val="20"/>
          <w:szCs w:val="20"/>
          <w:color w:val="auto"/>
        </w:rPr>
      </w:pPr>
    </w:p>
    <w:p>
      <w:pPr>
        <w:ind w:left="321" w:right="20"/>
        <w:spacing w:after="0" w:line="233" w:lineRule="auto"/>
        <w:rPr>
          <w:rFonts w:ascii="Arial" w:cs="Arial" w:eastAsia="Arial" w:hAnsi="Arial"/>
          <w:sz w:val="20"/>
          <w:szCs w:val="20"/>
          <w:color w:val="auto"/>
        </w:rPr>
      </w:pPr>
      <w:r>
        <w:rPr>
          <w:rFonts w:ascii="Arial" w:cs="Arial" w:eastAsia="Arial" w:hAnsi="Arial"/>
          <w:sz w:val="20"/>
          <w:szCs w:val="20"/>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 (c) establishment of Employee’s compliance with any necessary representations or terms and conditions of the Plan or this Agreement, or (d) compliance with any federal, state, or local tax withholding obligations.</w:t>
      </w:r>
    </w:p>
    <w:p>
      <w:pPr>
        <w:spacing w:after="0" w:line="172" w:lineRule="exact"/>
        <w:rPr>
          <w:rFonts w:ascii="Arial" w:cs="Arial" w:eastAsia="Arial" w:hAnsi="Arial"/>
          <w:sz w:val="20"/>
          <w:szCs w:val="20"/>
          <w:color w:val="auto"/>
        </w:rPr>
      </w:pPr>
    </w:p>
    <w:p>
      <w:pPr>
        <w:ind w:left="321" w:right="220" w:hanging="321"/>
        <w:spacing w:after="0" w:line="237" w:lineRule="auto"/>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Employee to Have no Rights as a Stockholder.</w:t>
      </w:r>
      <w:r>
        <w:rPr>
          <w:rFonts w:ascii="Arial" w:cs="Arial" w:eastAsia="Arial" w:hAnsi="Arial"/>
          <w:sz w:val="20"/>
          <w:szCs w:val="20"/>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w:t>
      </w:r>
    </w:p>
    <w:p>
      <w:pPr>
        <w:spacing w:after="0" w:line="171" w:lineRule="exact"/>
        <w:rPr>
          <w:rFonts w:ascii="Arial" w:cs="Arial" w:eastAsia="Arial" w:hAnsi="Arial"/>
          <w:sz w:val="20"/>
          <w:szCs w:val="20"/>
          <w:color w:val="auto"/>
        </w:rPr>
      </w:pPr>
    </w:p>
    <w:p>
      <w:pPr>
        <w:jc w:val="both"/>
        <w:ind w:left="321" w:hanging="321"/>
        <w:spacing w:after="0" w:line="231" w:lineRule="auto"/>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5.a. under “Important Award Details.”</w:t>
      </w:r>
    </w:p>
    <w:p>
      <w:pPr>
        <w:spacing w:after="0" w:line="173" w:lineRule="exact"/>
        <w:rPr>
          <w:rFonts w:ascii="Arial" w:cs="Arial" w:eastAsia="Arial" w:hAnsi="Arial"/>
          <w:sz w:val="20"/>
          <w:szCs w:val="20"/>
          <w:color w:val="auto"/>
        </w:rPr>
      </w:pPr>
    </w:p>
    <w:p>
      <w:pPr>
        <w:ind w:left="321" w:hanging="321"/>
        <w:spacing w:after="0"/>
        <w:tabs>
          <w:tab w:leader="none" w:pos="321"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2" w:lineRule="exact"/>
        <w:rPr>
          <w:rFonts w:ascii="Arial" w:cs="Arial" w:eastAsia="Arial" w:hAnsi="Arial"/>
          <w:sz w:val="20"/>
          <w:szCs w:val="20"/>
          <w:color w:val="auto"/>
        </w:rPr>
      </w:pPr>
    </w:p>
    <w:p>
      <w:pPr>
        <w:ind w:left="641" w:hanging="317"/>
        <w:spacing w:after="0"/>
        <w:tabs>
          <w:tab w:leader="none" w:pos="641" w:val="left"/>
        </w:tabs>
        <w:numPr>
          <w:ilvl w:val="1"/>
          <w:numId w:val="35"/>
        </w:numPr>
        <w:rPr>
          <w:rFonts w:ascii="Arial" w:cs="Arial" w:eastAsia="Arial" w:hAnsi="Arial"/>
          <w:sz w:val="20"/>
          <w:szCs w:val="20"/>
          <w:color w:val="auto"/>
        </w:rPr>
      </w:pPr>
      <w:r>
        <w:rPr>
          <w:rFonts w:ascii="Arial" w:cs="Arial" w:eastAsia="Arial" w:hAnsi="Arial"/>
          <w:sz w:val="20"/>
          <w:szCs w:val="20"/>
          <w:color w:val="auto"/>
        </w:rPr>
        <w:t>give Employee any right to be awarded any further Awards other than in the sole discretion of the Committee;</w:t>
      </w:r>
    </w:p>
    <w:p>
      <w:pPr>
        <w:spacing w:after="0" w:line="202" w:lineRule="exact"/>
        <w:rPr>
          <w:rFonts w:ascii="Arial" w:cs="Arial" w:eastAsia="Arial" w:hAnsi="Arial"/>
          <w:sz w:val="20"/>
          <w:szCs w:val="20"/>
          <w:color w:val="auto"/>
        </w:rPr>
      </w:pPr>
    </w:p>
    <w:p>
      <w:pPr>
        <w:jc w:val="both"/>
        <w:ind w:left="641" w:hanging="317"/>
        <w:spacing w:after="0" w:line="241" w:lineRule="auto"/>
        <w:tabs>
          <w:tab w:leader="none" w:pos="641" w:val="left"/>
        </w:tabs>
        <w:numPr>
          <w:ilvl w:val="1"/>
          <w:numId w:val="35"/>
        </w:numPr>
        <w:rPr>
          <w:rFonts w:ascii="Arial" w:cs="Arial" w:eastAsia="Arial" w:hAnsi="Arial"/>
          <w:sz w:val="20"/>
          <w:szCs w:val="20"/>
          <w:color w:val="auto"/>
        </w:rPr>
      </w:pPr>
      <w:r>
        <w:rPr>
          <w:rFonts w:ascii="Arial" w:cs="Arial" w:eastAsia="Arial" w:hAnsi="Arial"/>
          <w:sz w:val="20"/>
          <w:szCs w:val="20"/>
          <w:color w:val="auto"/>
        </w:rPr>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171" w:lineRule="exact"/>
        <w:rPr>
          <w:rFonts w:ascii="Arial" w:cs="Arial" w:eastAsia="Arial" w:hAnsi="Arial"/>
          <w:sz w:val="20"/>
          <w:szCs w:val="20"/>
          <w:color w:val="auto"/>
        </w:rPr>
      </w:pPr>
    </w:p>
    <w:p>
      <w:pPr>
        <w:ind w:left="641" w:hanging="317"/>
        <w:spacing w:after="0"/>
        <w:tabs>
          <w:tab w:leader="none" w:pos="641" w:val="left"/>
        </w:tabs>
        <w:numPr>
          <w:ilvl w:val="1"/>
          <w:numId w:val="35"/>
        </w:numPr>
        <w:rPr>
          <w:rFonts w:ascii="Arial" w:cs="Arial" w:eastAsia="Arial" w:hAnsi="Arial"/>
          <w:sz w:val="20"/>
          <w:szCs w:val="20"/>
          <w:color w:val="auto"/>
        </w:rPr>
      </w:pPr>
      <w:r>
        <w:rPr>
          <w:rFonts w:ascii="Arial" w:cs="Arial" w:eastAsia="Arial" w:hAnsi="Arial"/>
          <w:sz w:val="20"/>
          <w:szCs w:val="20"/>
          <w:color w:val="auto"/>
        </w:rPr>
        <w:t>confer upon Employee the right to continue in the employment or service of WM.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4" w:name="page25"/>
    <w:bookmarkEnd w:id="24"/>
    <w:p>
      <w:pPr>
        <w:spacing w:after="0" w:line="2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847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r>
    </w:p>
    <w:p>
      <w:pPr>
        <w:ind w:left="321" w:right="440" w:hanging="321"/>
        <w:spacing w:after="0" w:line="257"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internal laws of the State of Texas, without reference to principles of conflict of laws.</w:t>
      </w:r>
    </w:p>
    <w:p>
      <w:pPr>
        <w:spacing w:after="0" w:line="155" w:lineRule="exact"/>
        <w:rPr>
          <w:rFonts w:ascii="Arial" w:cs="Arial" w:eastAsia="Arial" w:hAnsi="Arial"/>
          <w:sz w:val="20"/>
          <w:szCs w:val="20"/>
          <w:color w:val="auto"/>
        </w:rPr>
      </w:pPr>
    </w:p>
    <w:p>
      <w:pPr>
        <w:ind w:left="321" w:right="260" w:hanging="321"/>
        <w:spacing w:after="0" w:line="257"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Severability/Entire Agreement</w:t>
      </w:r>
      <w:r>
        <w:rPr>
          <w:rFonts w:ascii="Arial" w:cs="Arial" w:eastAsia="Arial" w:hAnsi="Arial"/>
          <w:sz w:val="20"/>
          <w:szCs w:val="20"/>
          <w:color w:val="auto"/>
        </w:rPr>
        <w:t>. The invalidity or unenforceability of any provision of this Agreement shall not affect the validity or enforceability of any other provision of this Agreement.</w:t>
      </w:r>
    </w:p>
    <w:p>
      <w:pPr>
        <w:spacing w:after="0" w:line="155" w:lineRule="exact"/>
        <w:rPr>
          <w:rFonts w:ascii="Arial" w:cs="Arial" w:eastAsia="Arial" w:hAnsi="Arial"/>
          <w:sz w:val="20"/>
          <w:szCs w:val="20"/>
          <w:color w:val="auto"/>
        </w:rPr>
      </w:pPr>
    </w:p>
    <w:p>
      <w:pPr>
        <w:ind w:left="641" w:right="60" w:hanging="317"/>
        <w:spacing w:after="0" w:line="242" w:lineRule="auto"/>
        <w:tabs>
          <w:tab w:leader="none" w:pos="641"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which also include the Clawback Policy.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 Without limiting the generality of the foregoing, as a condition to receipt of this Award, Employee agrees that the provisions relating to vesting and/or forfeiture of this Award upon a Termination of Employment set forth in this Agreement supersede and replace any provisions relating to vesting of the Award upon termination or other event set forth in any employment agreement, offer letter or similar document.</w:t>
      </w:r>
    </w:p>
    <w:p>
      <w:pPr>
        <w:spacing w:after="0" w:line="172" w:lineRule="exact"/>
        <w:rPr>
          <w:rFonts w:ascii="Arial" w:cs="Arial" w:eastAsia="Arial" w:hAnsi="Arial"/>
          <w:sz w:val="19"/>
          <w:szCs w:val="19"/>
          <w:color w:val="auto"/>
        </w:rPr>
      </w:pPr>
    </w:p>
    <w:p>
      <w:pPr>
        <w:jc w:val="both"/>
        <w:ind w:left="641" w:hanging="317"/>
        <w:spacing w:after="0" w:line="241" w:lineRule="auto"/>
        <w:tabs>
          <w:tab w:leader="none" w:pos="641" w:val="left"/>
        </w:tabs>
        <w:numPr>
          <w:ilvl w:val="1"/>
          <w:numId w:val="36"/>
        </w:numPr>
        <w:rPr>
          <w:rFonts w:ascii="Arial" w:cs="Arial" w:eastAsia="Arial" w:hAnsi="Arial"/>
          <w:sz w:val="20"/>
          <w:szCs w:val="20"/>
          <w:color w:val="auto"/>
        </w:rPr>
      </w:pPr>
      <w:r>
        <w:rPr>
          <w:rFonts w:ascii="Arial" w:cs="Arial" w:eastAsia="Arial" w:hAnsi="Arial"/>
          <w:sz w:val="20"/>
          <w:szCs w:val="20"/>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171" w:lineRule="exact"/>
        <w:rPr>
          <w:rFonts w:ascii="Arial" w:cs="Arial" w:eastAsia="Arial" w:hAnsi="Arial"/>
          <w:sz w:val="20"/>
          <w:szCs w:val="20"/>
          <w:color w:val="auto"/>
        </w:rPr>
      </w:pPr>
    </w:p>
    <w:p>
      <w:pPr>
        <w:jc w:val="both"/>
        <w:ind w:left="641" w:hanging="317"/>
        <w:spacing w:after="0" w:line="241" w:lineRule="auto"/>
        <w:tabs>
          <w:tab w:leader="none" w:pos="641" w:val="left"/>
        </w:tabs>
        <w:numPr>
          <w:ilvl w:val="1"/>
          <w:numId w:val="36"/>
        </w:numPr>
        <w:rPr>
          <w:rFonts w:ascii="Arial" w:cs="Arial" w:eastAsia="Arial" w:hAnsi="Arial"/>
          <w:sz w:val="20"/>
          <w:szCs w:val="20"/>
          <w:color w:val="auto"/>
        </w:rPr>
      </w:pPr>
      <w:r>
        <w:rPr>
          <w:rFonts w:ascii="Arial" w:cs="Arial" w:eastAsia="Arial" w:hAnsi="Arial"/>
          <w:sz w:val="20"/>
          <w:szCs w:val="20"/>
          <w:color w:val="auto"/>
        </w:rPr>
        <w:t>Except as provided in paragraph 13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171" w:lineRule="exact"/>
        <w:rPr>
          <w:rFonts w:ascii="Arial" w:cs="Arial" w:eastAsia="Arial" w:hAnsi="Arial"/>
          <w:sz w:val="20"/>
          <w:szCs w:val="20"/>
          <w:color w:val="auto"/>
        </w:rPr>
      </w:pPr>
    </w:p>
    <w:p>
      <w:pPr>
        <w:jc w:val="both"/>
        <w:ind w:left="321" w:right="380" w:hanging="321"/>
        <w:spacing w:after="0" w:line="241"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171" w:lineRule="exact"/>
        <w:rPr>
          <w:rFonts w:ascii="Arial" w:cs="Arial" w:eastAsia="Arial" w:hAnsi="Arial"/>
          <w:sz w:val="20"/>
          <w:szCs w:val="20"/>
          <w:color w:val="auto"/>
        </w:rPr>
      </w:pPr>
    </w:p>
    <w:p>
      <w:pPr>
        <w:ind w:left="321" w:right="120" w:hanging="321"/>
        <w:spacing w:after="0" w:line="234"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Covenant Requirement Essential Part of Award</w:t>
      </w:r>
      <w:r>
        <w:rPr>
          <w:rFonts w:ascii="Arial" w:cs="Arial" w:eastAsia="Arial" w:hAnsi="Arial"/>
          <w:sz w:val="20"/>
          <w:szCs w:val="20"/>
          <w:color w:val="auto"/>
        </w:rPr>
        <w:t>. An overriding condition (even if any other provision of the Plan and this Agreement are conflicting) for Employee to receive any benefit from or payment of any Award under this Agreement, is that Employee must also have entered, and abided by the terms of, an agreement containing restrictive covenants concerning limitations on Employee’s behavior following termination of employment that is satisfactory to WM.</w:t>
      </w:r>
    </w:p>
    <w:p>
      <w:pPr>
        <w:spacing w:after="0" w:line="174" w:lineRule="exact"/>
        <w:rPr>
          <w:rFonts w:ascii="Arial" w:cs="Arial" w:eastAsia="Arial" w:hAnsi="Arial"/>
          <w:sz w:val="20"/>
          <w:szCs w:val="20"/>
          <w:color w:val="auto"/>
        </w:rPr>
      </w:pPr>
    </w:p>
    <w:p>
      <w:pPr>
        <w:ind w:left="321" w:hanging="321"/>
        <w:spacing w:after="0"/>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If not defined in this Agreement, capitalized terms have the meanings set forth in the Plan.</w:t>
      </w:r>
    </w:p>
    <w:p>
      <w:pPr>
        <w:spacing w:after="0" w:line="202" w:lineRule="exact"/>
        <w:rPr>
          <w:rFonts w:ascii="Arial" w:cs="Arial" w:eastAsia="Arial" w:hAnsi="Arial"/>
          <w:sz w:val="20"/>
          <w:szCs w:val="20"/>
          <w:color w:val="auto"/>
        </w:rPr>
      </w:pPr>
    </w:p>
    <w:p>
      <w:pPr>
        <w:ind w:left="321" w:hanging="321"/>
        <w:spacing w:after="0" w:line="228" w:lineRule="auto"/>
        <w:tabs>
          <w:tab w:leader="none" w:pos="3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Compliance with Section 409A</w:t>
      </w:r>
      <w:r>
        <w:rPr>
          <w:rFonts w:ascii="Arial" w:cs="Arial" w:eastAsia="Arial" w:hAnsi="Arial"/>
          <w:sz w:val="20"/>
          <w:szCs w:val="20"/>
          <w:color w:val="auto"/>
        </w:rPr>
        <w:t>. Both WM and Employee intend that this Agreement does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are not subject to Section 409A. For purposes of Section 409A,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 and is payable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5" w:name="page26"/>
    <w:bookmarkEnd w:id="2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75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r>
    </w:p>
    <w:p>
      <w:pPr>
        <w:ind w:left="321" w:right="40"/>
        <w:spacing w:after="0" w:line="234" w:lineRule="auto"/>
        <w:rPr>
          <w:sz w:val="20"/>
          <w:szCs w:val="20"/>
          <w:color w:val="auto"/>
        </w:rPr>
      </w:pPr>
      <w:r>
        <w:rPr>
          <w:rFonts w:ascii="Arial" w:cs="Arial" w:eastAsia="Arial" w:hAnsi="Arial"/>
          <w:sz w:val="20"/>
          <w:szCs w:val="20"/>
          <w:color w:val="auto"/>
        </w:rPr>
        <w:t>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175" w:lineRule="exact"/>
        <w:rPr>
          <w:sz w:val="20"/>
          <w:szCs w:val="20"/>
          <w:color w:val="auto"/>
        </w:rPr>
      </w:pPr>
    </w:p>
    <w:p>
      <w:pPr>
        <w:ind w:left="321" w:hanging="321"/>
        <w:spacing w:after="0" w:line="229" w:lineRule="auto"/>
        <w:tabs>
          <w:tab w:leader="none" w:pos="32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Use of Personal Data</w:t>
      </w:r>
      <w:r>
        <w:rPr>
          <w:rFonts w:ascii="Arial" w:cs="Arial" w:eastAsia="Arial" w:hAnsi="Arial"/>
          <w:sz w:val="20"/>
          <w:szCs w:val="20"/>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15 below); however, Employee understands that by withdrawing his or her consent to use Data, Employee may affect his or her ability to participate in the Plan.</w:t>
      </w:r>
    </w:p>
    <w:p>
      <w:pPr>
        <w:spacing w:after="0" w:line="171" w:lineRule="exact"/>
        <w:rPr>
          <w:rFonts w:ascii="Arial" w:cs="Arial" w:eastAsia="Arial" w:hAnsi="Arial"/>
          <w:sz w:val="20"/>
          <w:szCs w:val="20"/>
          <w:color w:val="auto"/>
        </w:rPr>
      </w:pPr>
    </w:p>
    <w:p>
      <w:pPr>
        <w:ind w:left="321" w:right="300" w:hanging="321"/>
        <w:spacing w:after="0" w:line="237" w:lineRule="auto"/>
        <w:tabs>
          <w:tab w:leader="none" w:pos="32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171" w:lineRule="exact"/>
        <w:rPr>
          <w:rFonts w:ascii="Arial" w:cs="Arial" w:eastAsia="Arial" w:hAnsi="Arial"/>
          <w:sz w:val="20"/>
          <w:szCs w:val="20"/>
          <w:color w:val="auto"/>
        </w:rPr>
      </w:pPr>
    </w:p>
    <w:p>
      <w:pPr>
        <w:ind w:left="321" w:right="160" w:hanging="321"/>
        <w:spacing w:after="0" w:line="248" w:lineRule="auto"/>
        <w:tabs>
          <w:tab w:leader="none" w:pos="321"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167" w:lineRule="exact"/>
        <w:rPr>
          <w:rFonts w:ascii="Arial" w:cs="Arial" w:eastAsia="Arial" w:hAnsi="Arial"/>
          <w:sz w:val="19"/>
          <w:szCs w:val="19"/>
          <w:color w:val="auto"/>
        </w:rPr>
      </w:pPr>
    </w:p>
    <w:p>
      <w:pPr>
        <w:ind w:left="321" w:right="20" w:hanging="321"/>
        <w:spacing w:after="0" w:line="229" w:lineRule="auto"/>
        <w:tabs>
          <w:tab w:leader="none" w:pos="32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Binding Arbitration</w:t>
      </w:r>
      <w:r>
        <w:rPr>
          <w:rFonts w:ascii="Arial" w:cs="Arial" w:eastAsia="Arial" w:hAnsi="Arial"/>
          <w:sz w:val="20"/>
          <w:szCs w:val="20"/>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5 under “Important Award Details”) or a matter directly relating to this Award under the Clawback Policy, the Company and Employee agree that such dispute shall be settled exclusively by final and binding arbitration, as governed by the Federal Arbitration Act (9 U.S.C. 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arbitration proceeding, including the rendering of an award, if any, shall be administered by JAMS pursuant to its Employment Arbitration Rules and Procedures, which may be found on the JAMS Website </w:t>
      </w:r>
      <w:r>
        <w:rPr>
          <w:rFonts w:ascii="Arial" w:cs="Arial" w:eastAsia="Arial" w:hAnsi="Arial"/>
          <w:sz w:val="20"/>
          <w:szCs w:val="20"/>
          <w:b w:val="1"/>
          <w:bCs w:val="1"/>
          <w:color w:val="auto"/>
        </w:rPr>
        <w:t>www.jamsadr.com</w:t>
      </w:r>
      <w:r>
        <w:rPr>
          <w:rFonts w:ascii="Arial" w:cs="Arial" w:eastAsia="Arial" w:hAnsi="Arial"/>
          <w:sz w:val="20"/>
          <w:szCs w:val="20"/>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178" w:lineRule="exact"/>
        <w:rPr>
          <w:rFonts w:ascii="Arial" w:cs="Arial" w:eastAsia="Arial" w:hAnsi="Arial"/>
          <w:sz w:val="20"/>
          <w:szCs w:val="20"/>
          <w:color w:val="auto"/>
        </w:rPr>
      </w:pPr>
    </w:p>
    <w:p>
      <w:pPr>
        <w:ind w:left="321" w:right="220" w:hanging="321"/>
        <w:spacing w:after="0" w:line="257" w:lineRule="auto"/>
        <w:tabs>
          <w:tab w:leader="none" w:pos="32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which together shall constitute one and the same original.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21"/>
          </w:cols>
          <w:pgMar w:left="679" w:top="1440" w:right="699" w:bottom="1440" w:gutter="0" w:footer="0" w:header="0"/>
        </w:sectPr>
      </w:pPr>
    </w:p>
    <w:bookmarkStart w:id="26" w:name="page27"/>
    <w:bookmarkEnd w:id="26"/>
    <w:p>
      <w:pPr>
        <w:jc w:val="center"/>
        <w:spacing w:after="0"/>
        <w:rPr>
          <w:sz w:val="20"/>
          <w:szCs w:val="20"/>
          <w:color w:val="auto"/>
        </w:rPr>
      </w:pPr>
      <w:r>
        <w:rPr>
          <w:rFonts w:ascii="Arial" w:cs="Arial" w:eastAsia="Arial" w:hAnsi="Arial"/>
          <w:sz w:val="29"/>
          <w:szCs w:val="29"/>
          <w:b w:val="1"/>
          <w:bCs w:val="1"/>
          <w:color w:val="00693C"/>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1495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7875" cy="1495425"/>
                    </a:xfrm>
                    <a:prstGeom prst="rect">
                      <a:avLst/>
                    </a:prstGeom>
                    <a:noFill/>
                  </pic:spPr>
                </pic:pic>
              </a:graphicData>
            </a:graphic>
          </wp:anchor>
        </w:drawing>
        <w:t>Execution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one of its officers thereunto</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and Employee has executed this Agreement, effective as of [●].</w:t>
      </w:r>
    </w:p>
    <w:p>
      <w:pPr>
        <w:spacing w:after="0" w:line="363" w:lineRule="exact"/>
        <w:rPr>
          <w:sz w:val="20"/>
          <w:szCs w:val="20"/>
          <w:color w:val="auto"/>
        </w:rPr>
      </w:pPr>
    </w:p>
    <w:p>
      <w:pPr>
        <w:spacing w:after="0"/>
        <w:tabs>
          <w:tab w:leader="none" w:pos="5240" w:val="left"/>
        </w:tabs>
        <w:rPr>
          <w:sz w:val="20"/>
          <w:szCs w:val="20"/>
          <w:color w:val="auto"/>
        </w:rPr>
      </w:pPr>
      <w:r>
        <w:rPr>
          <w:rFonts w:ascii="Arial" w:cs="Arial" w:eastAsia="Arial" w:hAnsi="Arial"/>
          <w:sz w:val="20"/>
          <w:szCs w:val="20"/>
          <w:b w:val="1"/>
          <w:bCs w:val="1"/>
          <w:color w:val="auto"/>
        </w:rPr>
        <w:t>WASTE MANAGEMENT, INC.</w:t>
      </w:r>
      <w:r>
        <w:rPr>
          <w:sz w:val="20"/>
          <w:szCs w:val="20"/>
          <w:color w:val="auto"/>
        </w:rPr>
        <w:tab/>
      </w:r>
      <w:r>
        <w:rPr>
          <w:rFonts w:ascii="Arial" w:cs="Arial" w:eastAsia="Arial" w:hAnsi="Arial"/>
          <w:sz w:val="21"/>
          <w:szCs w:val="21"/>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5080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20"/>
          </w:cols>
          <w:pgMar w:left="680" w:top="1239" w:right="6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 ANNUAL INCENTIVE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Executive Officer Annual Incentive Award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Executive Officer Annual Incentive Award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is granted on February 25, 2025 (the “</w:t>
      </w:r>
      <w:r>
        <w:rPr>
          <w:rFonts w:ascii="Times New Roman" w:cs="Times New Roman" w:eastAsia="Times New Roman" w:hAnsi="Times New Roman"/>
          <w:sz w:val="18"/>
          <w:szCs w:val="18"/>
          <w:b w:val="1"/>
          <w:bCs w:val="1"/>
          <w:i w:val="1"/>
          <w:iCs w:val="1"/>
          <w:color w:val="auto"/>
        </w:rPr>
        <w:t>Award Date</w:t>
      </w:r>
      <w:r>
        <w:rPr>
          <w:rFonts w:ascii="Times New Roman" w:cs="Times New Roman" w:eastAsia="Times New Roman" w:hAnsi="Times New Roman"/>
          <w:sz w:val="18"/>
          <w:szCs w:val="18"/>
          <w:color w:val="auto"/>
        </w:rPr>
        <w:t>”), by USA Waste-Management Resources, LLC, for itself and on behalf of Waste Management, Inc. (“WMI”) and its applicable subsidiaries and affiliated entities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 (“</w:t>
      </w:r>
      <w:r>
        <w:rPr>
          <w:rFonts w:ascii="Times New Roman" w:cs="Times New Roman" w:eastAsia="Times New Roman" w:hAnsi="Times New Roman"/>
          <w:sz w:val="18"/>
          <w:szCs w:val="18"/>
          <w:b w:val="1"/>
          <w:bCs w:val="1"/>
          <w:i w:val="1"/>
          <w:iCs w:val="1"/>
          <w:color w:val="auto"/>
        </w:rPr>
        <w:t>Awardee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you</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 on February 17, 2025, the Management Development and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WMI’s Board of Directors approved and adopted an annual cash-based incentive program for Executive Officers of WMI, as further described in the minutes of such Committee meeting (the “</w:t>
      </w:r>
      <w:r>
        <w:rPr>
          <w:rFonts w:ascii="Times New Roman" w:cs="Times New Roman" w:eastAsia="Times New Roman" w:hAnsi="Times New Roman"/>
          <w:sz w:val="18"/>
          <w:szCs w:val="18"/>
          <w:b w:val="1"/>
          <w:bCs w:val="1"/>
          <w:i w:val="1"/>
          <w:iCs w:val="1"/>
          <w:color w:val="auto"/>
        </w:rPr>
        <w:t>Program</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WHEREAS, pursuant to the terms and conditions of this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Program, you are receiving an opportunity to accept this Award.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mutual covenants set forth herein and for other valuable consideration hereinafter set forth, the Award is hereby granted on the following terms and conditions: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The Award is subject to all the terms and conditions of this Agreement and the Program. All capitalized terms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this Agreement shall have the meaning stated in the Program. If there is any inconsistency between the terms of this Agreement and the terms of the Program, the terms of the Program shall control unless this Agreement expressly states that an exception to the Program is being made. All decisions or interpretations of the Agreement and the Program by the Committee are binding, conclusive and final.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meanings stated below.</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AIP Target Percentage</w:t>
      </w:r>
      <w:r>
        <w:rPr>
          <w:rFonts w:ascii="Times New Roman" w:cs="Times New Roman" w:eastAsia="Times New Roman" w:hAnsi="Times New Roman"/>
          <w:sz w:val="18"/>
          <w:szCs w:val="18"/>
          <w:color w:val="auto"/>
        </w:rPr>
        <w:t>” means the percentage of your Base Salary, as approved by the Committee, used to calculate the actual payout of the Award. The actual payout under this Award can range from 0% to 200% of your AIP Target Percentage based on the Company’s achievement on the Performance Goals and any Individual Performance Modifier. Your AIP Target Percentage may change if your position changes during the Program Year but is otherwise set on the Award Date.</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means the base salary you received as an employee as of the last day of the Program Year on which you were eligible for the Program, (i) including any amounts deferred pursuant to an election under any 401(k) plan, pre-tax premium plan, deferred compensation plan, or flexible spending account sponsored by the Company, but (ii) excluding any incentive compensation, employee benefit, or other benefit paid or provided under any incentive, bonus or employee benefit plan sponsored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b w:val="1"/>
          <w:bCs w:val="1"/>
          <w:i w:val="1"/>
          <w:iCs w:val="1"/>
          <w:color w:val="auto"/>
        </w:rPr>
        <w:t>Individual Agreement</w:t>
      </w:r>
      <w:r>
        <w:rPr>
          <w:rFonts w:ascii="Times New Roman" w:cs="Times New Roman" w:eastAsia="Times New Roman" w:hAnsi="Times New Roman"/>
          <w:sz w:val="18"/>
          <w:szCs w:val="18"/>
          <w:color w:val="auto"/>
        </w:rPr>
        <w:t>” means any written employment, change in control or severance agreement signed by both parties, if any, between you and the Company.</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b w:val="1"/>
          <w:bCs w:val="1"/>
          <w:i w:val="1"/>
          <w:iCs w:val="1"/>
          <w:color w:val="auto"/>
        </w:rPr>
        <w:t>Individual Performance Modifier.</w:t>
      </w:r>
      <w:r>
        <w:rPr>
          <w:rFonts w:ascii="Times New Roman" w:cs="Times New Roman" w:eastAsia="Times New Roman" w:hAnsi="Times New Roman"/>
          <w:sz w:val="18"/>
          <w:szCs w:val="18"/>
          <w:color w:val="auto"/>
        </w:rPr>
        <w:t>” The Committee has retained discretion to increase or decrease an individual’s payout under the Program based on individual performance.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b w:val="1"/>
          <w:bCs w:val="1"/>
          <w:i w:val="1"/>
          <w:iCs w:val="1"/>
          <w:color w:val="auto"/>
        </w:rPr>
        <w:t>Payout Target</w:t>
      </w:r>
      <w:r>
        <w:rPr>
          <w:rFonts w:ascii="Times New Roman" w:cs="Times New Roman" w:eastAsia="Times New Roman" w:hAnsi="Times New Roman"/>
          <w:sz w:val="18"/>
          <w:szCs w:val="18"/>
          <w:color w:val="auto"/>
        </w:rPr>
        <w:t>” means the dollar value obtained by multiplying (i) your Base Salary and (ii) your AIP Target Percentage.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the performance criteria approved by the Committee.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b w:val="1"/>
          <w:bCs w:val="1"/>
          <w:i w:val="1"/>
          <w:iCs w:val="1"/>
          <w:color w:val="auto"/>
        </w:rPr>
        <w:t>Program Year</w:t>
      </w:r>
      <w:r>
        <w:rPr>
          <w:rFonts w:ascii="Times New Roman" w:cs="Times New Roman" w:eastAsia="Times New Roman" w:hAnsi="Times New Roman"/>
          <w:sz w:val="18"/>
          <w:szCs w:val="18"/>
          <w:color w:val="auto"/>
        </w:rPr>
        <w:t>” means January 1, 2025, through December 31,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Grant Date Award Value Components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Target Award Percentage</w:t>
      </w:r>
      <w:r>
        <w:rPr>
          <w:rFonts w:ascii="Times New Roman" w:cs="Times New Roman" w:eastAsia="Times New Roman" w:hAnsi="Times New Roman"/>
          <w:sz w:val="18"/>
          <w:szCs w:val="18"/>
          <w:color w:val="auto"/>
        </w:rPr>
        <w:t>. Your AIP Target Percentage for the Program Year is [●]%.</w:t>
      </w:r>
    </w:p>
    <w:p>
      <w:pPr>
        <w:spacing w:after="0" w:line="22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Maximum Performance Levels</w:t>
      </w:r>
      <w:r>
        <w:rPr>
          <w:rFonts w:ascii="Times New Roman" w:cs="Times New Roman" w:eastAsia="Times New Roman" w:hAnsi="Times New Roman"/>
          <w:sz w:val="18"/>
          <w:szCs w:val="18"/>
          <w:color w:val="auto"/>
        </w:rPr>
        <w:t>. The maximum value of the Award shall not exceed 200% of your Payout Target, subject to the application of any Individual Performance Modifier.</w:t>
      </w:r>
    </w:p>
    <w:p>
      <w:pPr>
        <w:spacing w:after="0" w:line="15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17"/>
          <w:szCs w:val="17"/>
          <w:b w:val="1"/>
          <w:bCs w:val="1"/>
          <w:color w:val="auto"/>
        </w:rPr>
        <w:t>4.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Award Calculation</w:t>
      </w:r>
      <w:r>
        <w:rPr>
          <w:rFonts w:ascii="Times New Roman" w:cs="Times New Roman" w:eastAsia="Times New Roman" w:hAnsi="Times New Roman"/>
          <w:sz w:val="17"/>
          <w:szCs w:val="17"/>
          <w:color w:val="auto"/>
        </w:rPr>
        <w:t>. Subject to the terms and conditions set forth in the Program and this Agreement, including, without limitation, Sections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3(b) and 6, the final amount of your Award shall be equal to the dollar amount obtained by multiplying your Payout Target (expressed as dollar amount) by the Company’s achievements on the Performance Goals This amount shall then be increased or decreased by application of the Individual Performance Modifier, if any. Any Award that is earned will be paid in a lump-sum cash payment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the year following the Program Year.</w:t>
      </w:r>
    </w:p>
    <w:p>
      <w:pPr>
        <w:spacing w:after="0" w:line="3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Effect of Termination of Employment</w:t>
      </w:r>
      <w:r>
        <w:rPr>
          <w:rFonts w:ascii="Times New Roman" w:cs="Times New Roman" w:eastAsia="Times New Roman" w:hAnsi="Times New Roman"/>
          <w:sz w:val="18"/>
          <w:szCs w:val="18"/>
          <w:color w:val="auto"/>
        </w:rPr>
        <w:t>. Notwithstanding any provisions to the contrary below in the remainder of this Section 5,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inconsistency between this Section 5 and any written Individual Agreement you may have, the terms of the Individual Agreement will control. In the event your employment is terminated at any time on or after the Award Date and prior to the last day of the Program Year, your Award will be treated as follows:</w:t>
      </w:r>
    </w:p>
    <w:p>
      <w:pPr>
        <w:spacing w:after="0" w:line="17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Death</w:t>
      </w:r>
      <w:r>
        <w:rPr>
          <w:rFonts w:ascii="Times New Roman" w:cs="Times New Roman" w:eastAsia="Times New Roman" w:hAnsi="Times New Roman"/>
          <w:sz w:val="18"/>
          <w:szCs w:val="18"/>
          <w:color w:val="auto"/>
        </w:rPr>
        <w:t>. If your termination of employment is a result of your death you will receive a pro-rata Award based solely on your Base Salary and AIP Target Percentage at the time of your death, prorated by the number of days worked during the Program Year prior to the date of death (the “</w:t>
      </w:r>
      <w:r>
        <w:rPr>
          <w:rFonts w:ascii="Times New Roman" w:cs="Times New Roman" w:eastAsia="Times New Roman" w:hAnsi="Times New Roman"/>
          <w:sz w:val="18"/>
          <w:szCs w:val="18"/>
          <w:b w:val="1"/>
          <w:bCs w:val="1"/>
          <w:i w:val="1"/>
          <w:iCs w:val="1"/>
          <w:color w:val="auto"/>
        </w:rPr>
        <w:t>Pro-Rata Award</w:t>
      </w:r>
      <w:r>
        <w:rPr>
          <w:rFonts w:ascii="Times New Roman" w:cs="Times New Roman" w:eastAsia="Times New Roman" w:hAnsi="Times New Roman"/>
          <w:sz w:val="18"/>
          <w:szCs w:val="18"/>
          <w:color w:val="auto"/>
        </w:rPr>
        <w:t>”). Subject to Section 4, your beneficiaries or your estate, as applicable, will be paid in cash as soon as practicable following your termination date, but in no event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year following the Program Year.</w:t>
      </w:r>
    </w:p>
    <w:p>
      <w:pPr>
        <w:spacing w:after="0" w:line="5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i w:val="1"/>
          <w:iCs w:val="1"/>
          <w:u w:val="single" w:color="auto"/>
          <w:color w:val="auto"/>
        </w:rPr>
        <w:t>Terminations other than Death</w:t>
      </w:r>
      <w:r>
        <w:rPr>
          <w:rFonts w:ascii="Times New Roman" w:cs="Times New Roman" w:eastAsia="Times New Roman" w:hAnsi="Times New Roman"/>
          <w:sz w:val="18"/>
          <w:szCs w:val="18"/>
          <w:color w:val="auto"/>
        </w:rPr>
        <w:t>. Unless your termination of employment is a result of your death, you must be employed by the Company on the last day of the Program Year to be eligible to receive payment of an Award. You have no vested interest in the Award prior to the last day of the Program Year. If your employment with the Company terminates for any reason other than your death, whether your termination is voluntary or involuntary, with or without cause, you will not be eligible to receive payment of any Award for the Program Year.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Right of the Committee</w:t>
      </w:r>
      <w:r>
        <w:rPr>
          <w:rFonts w:ascii="Times New Roman" w:cs="Times New Roman" w:eastAsia="Times New Roman" w:hAnsi="Times New Roman"/>
          <w:sz w:val="18"/>
          <w:szCs w:val="18"/>
          <w:color w:val="auto"/>
        </w:rPr>
        <w:t>. The Committee retains the right to interpret or amend the Program in its sole authority and discretion.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has stipulated that the Program is subject to the terms of the Committee’s AIP/LTIP Adjustments Policy approved May 12, 2014.</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Right of the Company to Terminate Services</w:t>
      </w:r>
      <w:r>
        <w:rPr>
          <w:rFonts w:ascii="Times New Roman" w:cs="Times New Roman" w:eastAsia="Times New Roman" w:hAnsi="Times New Roman"/>
          <w:sz w:val="18"/>
          <w:szCs w:val="18"/>
          <w:color w:val="auto"/>
        </w:rPr>
        <w:t>. Nothing in this Agreement confers upon you the right to continue in the employ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interfere in any way with the rights of the Company to terminate your employment at any time, with or without cause.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Awardee understands and agrees that the Award granted under this Agreement is granted under the authority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and the Award and this Agreement are in all ways governed by the terms and conditions of the Program and its administrative practices and interpretations. This award is explicitly subject to the Waste Management, Inc. Clawback Policy, adopted by the Committee on August 21, 2023 (as may be amended from time to time,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as well as the Committee’s clawback guidelines adopted on August 23, 2007. Regardless of the terms of any Individual Agreement or any organizational documents of the Company, you understand and agree that you will not be entitled to indemnification for any liability or loss, or advancement of expenses, incurred by you in connection with a claim under the Clawback Policy.</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Neither this Agreement nor this Award subject to this Agreement shall be subject in any manner to anticipation,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alienation, sale, exchange, transfer, assignment, pledge, encumbrance or garnishment by your creditors or your beneficiary, except transfer by will or by the laws of descent and distribution. All rights with respect to this Agreement shall be exercisable during your lifetime only by yourself or, if necessary, your guardian or legal representative.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bind and inure to the benefit of and be enforceable by Awardee, the Company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permitted successors or assigns (including personal representatives, heirs and legatees), except that Awardee may not assign any rights or obligations under this Agreement except to the extent, and in the manner, expressly permitted herein. The Company shall require any successor (whether direct or indirect, by purchase, merger, consolidation or otherwise) to all or substantially all the business and/or assets of the Company to assume expressly and agree to perform this Agreement in the same manner and to the same extent that the Company would be required to perform it if no such succession had taken place.</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Texas,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to principles of conflict of laws.</w:t>
      </w:r>
    </w:p>
    <w:p>
      <w:pPr>
        <w:spacing w:after="0" w:line="15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12.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Compliance with Section 409A</w:t>
      </w:r>
      <w:r>
        <w:rPr>
          <w:rFonts w:ascii="Times New Roman" w:cs="Times New Roman" w:eastAsia="Times New Roman" w:hAnsi="Times New Roman"/>
          <w:sz w:val="17"/>
          <w:szCs w:val="17"/>
          <w:color w:val="auto"/>
        </w:rPr>
        <w:t>. Both the Company and Awardee intend that this Agreement does not result in unfavorable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consequences to Awardee under Section 409A of the Internal Revenue Code of 1986, as amended, and the Treasury Regulations issued thereunder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Accordingly, Awardee consents to any amendment of this Agreement the Company may reasonably make consistent to achieve that intention and the Company may, disregarding any other provision in this Agreement to the contrary, unilaterally execute such amendment to this Agreement. The Company shall promptly provide, or make available to, Awardee a copy of any such amendment. The Company agrees to make any such amendments to preserve the intended benefits to Awardee to the maximum extent possible. This Section 21 does not create an obligation on the part of the Company to modify this Agreement and does not guarantee that the amounts or benefits owed under this Agreement will not be subject to interest and penalties under Section 409A. Each cash and/or stock payment and/or benefit provided under the Program and this Agreement and/or pursuant to the terms of the Company’s benefit plans, programs and policies shall be considered a separate payment for purposes of Section 409A. For purposes of Section 409A, to the extent that Awardee is a “specified employee” within the meaning of the Treasury Regulations issued pursuant to Section 409A as of Awardee’s separation from service and to the limited extent necessary to avoid the imputation of any tax, penalty or interest pursuant to Section 409A, notwithstanding anything to the contrary in this Agreement, no amount which is subject to Section 409A and is payable on account of Awardee’s separation from service shall be paid to Awardee before the date (the “</w:t>
      </w:r>
      <w:r>
        <w:rPr>
          <w:rFonts w:ascii="Times New Roman" w:cs="Times New Roman" w:eastAsia="Times New Roman" w:hAnsi="Times New Roman"/>
          <w:sz w:val="17"/>
          <w:szCs w:val="17"/>
          <w:b w:val="1"/>
          <w:bCs w:val="1"/>
          <w:i w:val="1"/>
          <w:iCs w:val="1"/>
          <w:color w:val="auto"/>
        </w:rPr>
        <w:t>Delayed Payment Date</w:t>
      </w:r>
      <w:r>
        <w:rPr>
          <w:rFonts w:ascii="Times New Roman" w:cs="Times New Roman" w:eastAsia="Times New Roman" w:hAnsi="Times New Roman"/>
          <w:sz w:val="17"/>
          <w:szCs w:val="17"/>
          <w:color w:val="auto"/>
        </w:rPr>
        <w:t>”) which is the first day of the seventh month after Awardee’s separation from service or, if earlier, the date of Awardee’s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given by one party under this Agreement to the other shall be in writing and may be delivered personally or by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postage prepaid, addressed to the Secretary of the Company, at its then corporate headquarters, and Awardee at Awardee’s address as shown on the Company’s records, or to such other address as Awardee, by notice to the Company, may designate in writing from time to time.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deliver any documents related to the Award under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by electronic means or request Awardee’s consent to participate in the administration of this Agreement or the Program by electronic means. Awardee hereby consents to receive such documents by electronic delivery and agrees to participate in the Program through an on-line or electronic system established and maintained by the Company or another third party designated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Binding Arbitration</w:t>
      </w:r>
      <w:r>
        <w:rPr>
          <w:rFonts w:ascii="Times New Roman" w:cs="Times New Roman" w:eastAsia="Times New Roman" w:hAnsi="Times New Roman"/>
          <w:sz w:val="18"/>
          <w:szCs w:val="18"/>
          <w:color w:val="auto"/>
        </w:rPr>
        <w:t>. Except as otherwise specifically provided herein, the Committee’s findings, calculations and determinations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made in the sole discretion of the Committee, and Awardee expressly agrees that such determinations shall be final and not subject to dispute. In the event, however, that Awardee has a right to dispute a matter hereunder or a matter directly relating to this Award under the Clawback Policy, the Company and Awardee agree that such dispute shall be settled exclusively by final and binding arbitration, as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arbitration proceeding, including the rendering of an award, if any, shall be administered by JAMS pursuant to its Employment Arbitration Rules and Procedures, which may be found on the JAMS Website </w:t>
      </w:r>
      <w:r>
        <w:rPr>
          <w:rFonts w:ascii="Times New Roman" w:cs="Times New Roman" w:eastAsia="Times New Roman" w:hAnsi="Times New Roman"/>
          <w:sz w:val="18"/>
          <w:szCs w:val="18"/>
          <w:b w:val="1"/>
          <w:bCs w:val="1"/>
          <w:color w:val="auto"/>
        </w:rPr>
        <w:t>www.jamsadr.com</w:t>
      </w:r>
      <w:r>
        <w:rPr>
          <w:rFonts w:ascii="Times New Roman" w:cs="Times New Roman" w:eastAsia="Times New Roman" w:hAnsi="Times New Roman"/>
          <w:sz w:val="18"/>
          <w:szCs w:val="18"/>
          <w:color w:val="auto"/>
        </w:rPr>
        <w:t>. All expenses associated with the arbitration shall be borne by the Company; provided however, that such arbitration expenses will not include attorney fees incurred by the respective parties. Judgment on any arbitration award may be entered in any court having jurisdiction.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and headings of Sections are included for convenience of reference only and are not to be considered in construction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USA Waste-Management Resources, LLC has caused this Agreement to be duly executed by one of its officers thereunto duly authorized and Awardee has executed this Agreement, effective as of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USA WASTE-MANGEMENT</w:t>
            </w:r>
          </w:p>
        </w:tc>
        <w:tc>
          <w:tcPr>
            <w:tcW w:w="7280" w:type="dxa"/>
            <w:vAlign w:val="bottom"/>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AWARDEE</w:t>
            </w:r>
          </w:p>
        </w:tc>
      </w:tr>
      <w:tr>
        <w:trPr>
          <w:trHeight w:val="238"/>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RESOURCES, LLC</w:t>
            </w:r>
          </w:p>
        </w:tc>
        <w:tc>
          <w:tcPr>
            <w:tcW w:w="7280" w:type="dxa"/>
            <w:vAlign w:val="bottom"/>
          </w:tcPr>
          <w:p>
            <w:pPr>
              <w:spacing w:after="0"/>
              <w:rPr>
                <w:sz w:val="20"/>
                <w:szCs w:val="20"/>
                <w:color w:val="auto"/>
              </w:rPr>
            </w:pPr>
          </w:p>
        </w:tc>
      </w:tr>
      <w:tr>
        <w:trPr>
          <w:trHeight w:val="41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280" w:type="dxa"/>
            <w:vAlign w:val="bottom"/>
          </w:tcPr>
          <w:p>
            <w:pPr>
              <w:spacing w:after="0"/>
              <w:rPr>
                <w:sz w:val="24"/>
                <w:szCs w:val="24"/>
                <w:color w:val="auto"/>
              </w:rPr>
            </w:pPr>
          </w:p>
        </w:tc>
      </w:tr>
      <w:tr>
        <w:trPr>
          <w:trHeight w:val="194"/>
        </w:trPr>
        <w:tc>
          <w:tcPr>
            <w:tcW w:w="39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Date:                                       </w:t>
            </w:r>
          </w:p>
        </w:tc>
        <w:tc>
          <w:tcPr>
            <w:tcW w:w="7280" w:type="dxa"/>
            <w:vAlign w:val="bottom"/>
          </w:tcPr>
          <w:p>
            <w:pPr>
              <w:spacing w:after="0"/>
              <w:rPr>
                <w:sz w:val="16"/>
                <w:szCs w:val="16"/>
                <w:color w:val="auto"/>
              </w:rPr>
            </w:pPr>
          </w:p>
        </w:tc>
      </w:tr>
      <w:tr>
        <w:trPr>
          <w:trHeight w:val="668"/>
        </w:trPr>
        <w:tc>
          <w:tcPr>
            <w:tcW w:w="400" w:type="dxa"/>
            <w:vAlign w:val="bottom"/>
            <w:tcBorders>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5</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2"/>
    </w:lvl>
    <w:lvl w:ilvl="1">
      <w:lvlJc w:val="left"/>
      <w:lvlText w:val="%2."/>
      <w:numFmt w:val="lowerRoman"/>
      <w:start w:val="1"/>
    </w:lvl>
  </w:abstractNum>
  <w:abstractNum w:abstractNumId="4">
    <w:nsid w:val="628C895D"/>
    <w:multiLevelType w:val="hybridMultilevel"/>
    <w:lvl w:ilvl="0">
      <w:lvlJc w:val="left"/>
      <w:lvlText w:val="%1."/>
      <w:numFmt w:val="lowerRoman"/>
      <w:start w:val="4"/>
    </w:lvl>
  </w:abstractNum>
  <w:abstractNum w:abstractNumId="5">
    <w:nsid w:val="333AB10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7">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8">
    <w:nsid w:val="2D1D5AE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9">
    <w:nsid w:val="6763845E"/>
    <w:multiLevelType w:val="hybridMultilevel"/>
    <w:lvl w:ilvl="0">
      <w:lvlJc w:val="left"/>
      <w:lvlText w:val="%1."/>
      <w:numFmt w:val="decimal"/>
      <w:start w:val="4"/>
    </w:lvl>
  </w:abstractNum>
  <w:abstractNum w:abstractNumId="10">
    <w:nsid w:val="75A2A8D4"/>
    <w:multiLevelType w:val="hybridMultilevel"/>
    <w:lvl w:ilvl="0">
      <w:lvlJc w:val="left"/>
      <w:lvlText w:val="%1."/>
      <w:numFmt w:val="decimal"/>
      <w:start w:val="1"/>
    </w:lvl>
    <w:lvl w:ilvl="1">
      <w:lvlJc w:val="left"/>
      <w:lvlText w:val="%2."/>
      <w:numFmt w:val="lowerLetter"/>
      <w:start w:val="1"/>
    </w:lvl>
  </w:abstractNum>
  <w:abstractNum w:abstractNumId="11">
    <w:nsid w:val="8EDBDAB"/>
    <w:multiLevelType w:val="hybridMultilevel"/>
    <w:lvl w:ilvl="0">
      <w:lvlJc w:val="left"/>
      <w:lvlText w:val="%1."/>
      <w:numFmt w:val="lowerLetter"/>
      <w:start w:val="3"/>
    </w:lvl>
    <w:lvl w:ilvl="1">
      <w:lvlJc w:val="left"/>
      <w:lvlText w:val="%2."/>
      <w:numFmt w:val="lowerRoman"/>
      <w:start w:val="1"/>
    </w:lvl>
  </w:abstractNum>
  <w:abstractNum w:abstractNumId="12">
    <w:nsid w:val="79838CB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3">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lowerLetter"/>
      <w:start w:val="1"/>
    </w:lvl>
  </w:abstractNum>
  <w:abstractNum w:abstractNumId="14">
    <w:nsid w:val="B03E0C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lowerLetter"/>
      <w:start w:val="24"/>
    </w:lvl>
  </w:abstractNum>
  <w:abstractNum w:abstractNumId="15">
    <w:nsid w:val="189A769B"/>
    <w:multiLevelType w:val="hybridMultilevel"/>
    <w:lvl w:ilvl="0">
      <w:lvlJc w:val="left"/>
      <w:lvlText w:val="%1."/>
      <w:numFmt w:val="lowerRoman"/>
      <w:start w:val="2"/>
    </w:lvl>
    <w:lvl w:ilvl="1">
      <w:lvlJc w:val="left"/>
      <w:lvlText w:val="%2."/>
      <w:numFmt w:val="decimal"/>
      <w:start w:val="1"/>
    </w:lvl>
  </w:abstractNum>
  <w:abstractNum w:abstractNumId="16">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decimal"/>
      <w:start w:val="2"/>
    </w:lvl>
  </w:abstractNum>
  <w:abstractNum w:abstractNumId="17">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lvl w:ilvl="4">
      <w:lvlJc w:val="left"/>
      <w:lvlText w:val="%5"/>
      <w:numFmt w:val="decimal"/>
      <w:start w:val="1"/>
    </w:lvl>
  </w:abstractNum>
  <w:abstractNum w:abstractNumId="18">
    <w:nsid w:val="2CA8861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decimal"/>
      <w:start w:val="1"/>
    </w:lvl>
  </w:abstractNum>
  <w:abstractNum w:abstractNumId="19">
    <w:nsid w:val="836C40E"/>
    <w:multiLevelType w:val="hybridMultilevel"/>
    <w:lvl w:ilvl="0">
      <w:lvlJc w:val="left"/>
      <w:lvlText w:val="%1."/>
      <w:numFmt w:val="lowerLetter"/>
      <w:start w:val="3"/>
    </w:lvl>
  </w:abstractNum>
  <w:abstractNum w:abstractNumId="20">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1">
    <w:nsid w:val="3A95F874"/>
    <w:multiLevelType w:val="hybridMultilevel"/>
    <w:lvl w:ilvl="0">
      <w:lvlJc w:val="left"/>
      <w:lvlText w:val="%1."/>
      <w:numFmt w:val="decimal"/>
      <w:start w:val="5"/>
    </w:lvl>
    <w:lvl w:ilvl="1">
      <w:lvlJc w:val="left"/>
      <w:lvlText w:val="%2."/>
      <w:numFmt w:val="lowerLetter"/>
      <w:start w:val="1"/>
    </w:lvl>
  </w:abstractNum>
  <w:abstractNum w:abstractNumId="22">
    <w:nsid w:val="8138641"/>
    <w:multiLevelType w:val="hybridMultilevel"/>
    <w:lvl w:ilvl="0">
      <w:lvlJc w:val="left"/>
      <w:lvlText w:val="%1"/>
      <w:numFmt w:val="decimal"/>
      <w:start w:val="1"/>
    </w:lvl>
    <w:lvl w:ilvl="1">
      <w:lvlJc w:val="left"/>
      <w:lvlText w:val="%2."/>
      <w:numFmt w:val="lowerLetter"/>
      <w:start w:val="3"/>
    </w:lvl>
  </w:abstractNum>
  <w:abstractNum w:abstractNumId="23">
    <w:nsid w:val="1E7FF521"/>
    <w:multiLevelType w:val="hybridMultilevel"/>
    <w:lvl w:ilvl="0">
      <w:lvlJc w:val="left"/>
      <w:lvlText w:val="%1."/>
      <w:numFmt w:val="decimal"/>
      <w:start w:val="10"/>
    </w:lvl>
    <w:lvl w:ilvl="1">
      <w:lvlJc w:val="left"/>
      <w:lvlText w:val="%2"/>
      <w:numFmt w:val="lowerLetter"/>
      <w:start w:val="1"/>
    </w:lvl>
  </w:abstractNum>
  <w:abstractNum w:abstractNumId="24">
    <w:nsid w:val="7C3DBD3D"/>
    <w:multiLevelType w:val="hybridMultilevel"/>
    <w:lvl w:ilvl="0">
      <w:lvlJc w:val="left"/>
      <w:lvlText w:val="%1."/>
      <w:numFmt w:val="decimal"/>
      <w:start w:val="16"/>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4"/>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8">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29">
    <w:nsid w:val="3006C83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0">
    <w:nsid w:val="614FD4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2">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3"/>
    </w:lvl>
    <w:lvl w:ilvl="1">
      <w:lvlJc w:val="left"/>
      <w:lvlText w:val="%2."/>
      <w:numFmt w:val="lowerLetter"/>
      <w:start w:val="1"/>
    </w:lvl>
  </w:abstractNum>
  <w:abstractNum w:abstractNumId="35">
    <w:nsid w:val="3804823E"/>
    <w:multiLevelType w:val="hybridMultilevel"/>
    <w:lvl w:ilvl="0">
      <w:lvlJc w:val="left"/>
      <w:lvlText w:val="%1."/>
      <w:numFmt w:val="decimal"/>
      <w:start w:val="8"/>
    </w:lvl>
    <w:lvl w:ilvl="1">
      <w:lvlJc w:val="left"/>
      <w:lvlText w:val="%2."/>
      <w:numFmt w:val="lowerLetter"/>
      <w:start w:val="1"/>
    </w:lvl>
  </w:abstractNum>
  <w:abstractNum w:abstractNumId="36">
    <w:nsid w:val="77465F0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2025-02-28T15:42:40Z</dcterms:created>
  <dcterms:modified xsi:type="dcterms:W3CDTF">2025-02-28T15:42:40Z</dcterms:modified>
</cp:coreProperties>
</file>