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1960" w:hanging="1229"/>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16" w:lineRule="exact"/>
        <w:rPr>
          <w:rFonts w:ascii="MS PGothic" w:cs="MS PGothic" w:eastAsia="MS PGothic" w:hAnsi="MS PGothic"/>
          <w:sz w:val="18"/>
          <w:szCs w:val="18"/>
          <w:color w:val="auto"/>
        </w:rPr>
      </w:pPr>
    </w:p>
    <w:p>
      <w:pPr>
        <w:ind w:left="1960" w:right="5120"/>
        <w:spacing w:after="0" w:line="489" w:lineRule="auto"/>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AND EXCHANGE ACT OF 1934 For the fiscal year ended December 31, 2004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960" w:hanging="1192"/>
        <w:spacing w:after="0"/>
        <w:tabs>
          <w:tab w:leader="none" w:pos="1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1"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AND EXCHANGE ACT OF 1934</w:t>
      </w:r>
    </w:p>
    <w:p>
      <w:pPr>
        <w:spacing w:after="0" w:line="213" w:lineRule="exact"/>
        <w:rPr>
          <w:sz w:val="20"/>
          <w:szCs w:val="20"/>
          <w:color w:val="auto"/>
        </w:rPr>
      </w:pPr>
    </w:p>
    <w:p>
      <w:pPr>
        <w:ind w:left="196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ectPr>
          <w:pgSz w:w="11900" w:h="16838" w:orient="portrait"/>
          <w:cols w:equalWidth="0" w:num="1">
            <w:col w:w="11420"/>
          </w:cols>
          <w:pgMar w:left="240" w:top="975" w:right="239" w:bottom="9" w:gutter="0" w:footer="0" w:header="0"/>
        </w:sectPr>
      </w:pPr>
    </w:p>
    <w:p>
      <w:pPr>
        <w:spacing w:after="0" w:line="256"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(State or other jurisdiction of</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incorporation or organization)</w:t>
      </w:r>
    </w:p>
    <w:p>
      <w:pPr>
        <w:spacing w:after="0" w:line="213"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63" w:lineRule="exact"/>
        <w:rPr>
          <w:sz w:val="20"/>
          <w:szCs w:val="20"/>
          <w:color w:val="auto"/>
        </w:rPr>
      </w:pPr>
    </w:p>
    <w:p>
      <w:pPr>
        <w:jc w:val="center"/>
        <w:ind w:left="3200"/>
        <w:spacing w:after="0"/>
        <w:rPr>
          <w:sz w:val="20"/>
          <w:szCs w:val="20"/>
          <w:color w:val="auto"/>
        </w:rPr>
      </w:pPr>
      <w:r>
        <w:rPr>
          <w:rFonts w:ascii="Arial" w:cs="Arial" w:eastAsia="Arial" w:hAnsi="Arial"/>
          <w:sz w:val="15"/>
          <w:szCs w:val="15"/>
          <w:b w:val="1"/>
          <w:bCs w:val="1"/>
          <w:color w:val="auto"/>
        </w:rPr>
        <w:t>Registrant’s telephone number, including area code: (713) 512-6200</w:t>
      </w:r>
    </w:p>
    <w:p>
      <w:pPr>
        <w:spacing w:after="0" w:line="260"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66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66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pacing w:after="0" w:line="279"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77002</w:t>
      </w:r>
    </w:p>
    <w:p>
      <w:pPr>
        <w:spacing w:after="0" w:line="21" w:lineRule="exact"/>
        <w:rPr>
          <w:sz w:val="20"/>
          <w:szCs w:val="20"/>
          <w:color w:val="auto"/>
        </w:rPr>
      </w:pPr>
    </w:p>
    <w:p>
      <w:pPr>
        <w:jc w:val="center"/>
        <w:ind w:right="1660"/>
        <w:spacing w:after="0"/>
        <w:rPr>
          <w:sz w:val="20"/>
          <w:szCs w:val="20"/>
          <w:color w:val="auto"/>
        </w:rPr>
      </w:pPr>
      <w:r>
        <w:rPr>
          <w:rFonts w:ascii="Arial" w:cs="Arial" w:eastAsia="Arial" w:hAnsi="Arial"/>
          <w:sz w:val="18"/>
          <w:szCs w:val="18"/>
          <w:i w:val="1"/>
          <w:iCs w:val="1"/>
          <w:color w:val="auto"/>
        </w:rPr>
        <w:t>(Zip code)</w:t>
      </w:r>
    </w:p>
    <w:p>
      <w:pPr>
        <w:spacing w:after="0" w:line="1028" w:lineRule="exact"/>
        <w:rPr>
          <w:sz w:val="20"/>
          <w:szCs w:val="20"/>
          <w:color w:val="auto"/>
        </w:rPr>
      </w:pPr>
    </w:p>
    <w:p>
      <w:pPr>
        <w:sectPr>
          <w:pgSz w:w="11900" w:h="16838" w:orient="portrait"/>
          <w:cols w:equalWidth="0" w:num="2">
            <w:col w:w="8240" w:space="260"/>
            <w:col w:w="2920"/>
          </w:cols>
          <w:pgMar w:left="240" w:top="975" w:right="239" w:bottom="9" w:gutter="0" w:footer="0" w:header="0"/>
          <w:type w:val="continuous"/>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360" w:type="dxa"/>
            <w:vAlign w:val="bottom"/>
          </w:tcPr>
          <w:p>
            <w:pPr>
              <w:spacing w:after="0"/>
              <w:rPr>
                <w:sz w:val="15"/>
                <w:szCs w:val="15"/>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exchange on which registered</w:t>
            </w:r>
          </w:p>
        </w:tc>
      </w:tr>
      <w:tr>
        <w:trPr>
          <w:trHeight w:val="95"/>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Borders>
              <w:bottom w:val="single" w:sz="8" w:color="808080"/>
            </w:tcBorders>
          </w:tcPr>
          <w:p>
            <w:pPr>
              <w:spacing w:after="0"/>
              <w:rPr>
                <w:sz w:val="8"/>
                <w:szCs w:val="8"/>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9"/>
              </w:rPr>
              <w:t>Common Stock, $.01 par value</w:t>
            </w:r>
          </w:p>
        </w:tc>
        <w:tc>
          <w:tcPr>
            <w:tcW w:w="3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 Convertible Subordinated Notes due 2005</w:t>
      </w:r>
    </w:p>
    <w:p>
      <w:pPr>
        <w:spacing w:after="0" w:line="258" w:lineRule="exact"/>
        <w:rPr>
          <w:sz w:val="20"/>
          <w:szCs w:val="20"/>
          <w:color w:val="auto"/>
        </w:rPr>
      </w:pPr>
    </w:p>
    <w:p>
      <w:pPr>
        <w:ind w:right="4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jc w:val="both"/>
        <w:ind w:right="280" w:firstLine="324"/>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6" w:lineRule="exact"/>
        <w:rPr>
          <w:sz w:val="20"/>
          <w:szCs w:val="20"/>
          <w:color w:val="auto"/>
        </w:rPr>
      </w:pPr>
    </w:p>
    <w:p>
      <w:pPr>
        <w:ind w:left="340"/>
        <w:spacing w:after="0" w:line="207" w:lineRule="exact"/>
        <w:tabs>
          <w:tab w:leader="none" w:pos="10020" w:val="left"/>
          <w:tab w:leader="none" w:pos="1092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Securities Exchange Act of 1934).</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2004, was approximately $17.7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18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February 11, 2005 was 568,473,943 (excluding treasury shares of 61,808,518).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43" w:lineRule="exact"/>
        <w:rPr>
          <w:sz w:val="20"/>
          <w:szCs w:val="20"/>
          <w:color w:val="auto"/>
        </w:rPr>
      </w:pPr>
    </w:p>
    <w:p>
      <w:pPr>
        <w:ind w:left="2960"/>
        <w:spacing w:after="0"/>
        <w:tabs>
          <w:tab w:leader="none" w:pos="8580" w:val="left"/>
        </w:tabs>
        <w:rPr>
          <w:sz w:val="20"/>
          <w:szCs w:val="20"/>
          <w:color w:val="auto"/>
        </w:rPr>
      </w:pPr>
      <w:r>
        <w:rPr>
          <w:rFonts w:ascii="Arial" w:cs="Arial" w:eastAsia="Arial" w:hAnsi="Arial"/>
          <w:sz w:val="14"/>
          <w:szCs w:val="14"/>
          <w:b w:val="1"/>
          <w:bCs w:val="1"/>
          <w:color w:val="auto"/>
        </w:rPr>
        <w:t>Document</w:t>
      </w:r>
      <w:r>
        <w:rPr>
          <w:sz w:val="20"/>
          <w:szCs w:val="20"/>
          <w:color w:val="auto"/>
        </w:rPr>
        <w:tab/>
      </w:r>
      <w:r>
        <w:rPr>
          <w:rFonts w:ascii="Arial" w:cs="Arial" w:eastAsia="Arial" w:hAnsi="Arial"/>
          <w:sz w:val="14"/>
          <w:szCs w:val="14"/>
          <w:b w:val="1"/>
          <w:bCs w:val="1"/>
          <w:color w:val="auto"/>
        </w:rPr>
        <w:t>Incorporated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5" w:right="239" w:bottom="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780" w:type="dxa"/>
            <w:vAlign w:val="bottom"/>
          </w:tcPr>
          <w:p>
            <w:pPr>
              <w:ind w:left="2420"/>
              <w:spacing w:after="0"/>
              <w:rPr>
                <w:sz w:val="20"/>
                <w:szCs w:val="20"/>
                <w:color w:val="auto"/>
              </w:rPr>
            </w:pPr>
            <w:r>
              <w:rPr>
                <w:rFonts w:ascii="Arial" w:cs="Arial" w:eastAsia="Arial" w:hAnsi="Arial"/>
                <w:sz w:val="18"/>
                <w:szCs w:val="18"/>
                <w:color w:val="auto"/>
              </w:rPr>
              <w:t>Proxy Statement for the</w:t>
            </w:r>
          </w:p>
        </w:tc>
        <w:tc>
          <w:tcPr>
            <w:tcW w:w="4660" w:type="dxa"/>
            <w:vAlign w:val="bottom"/>
            <w:gridSpan w:val="2"/>
          </w:tcPr>
          <w:p>
            <w:pPr>
              <w:ind w:left="2100"/>
              <w:spacing w:after="0"/>
              <w:rPr>
                <w:sz w:val="20"/>
                <w:szCs w:val="20"/>
                <w:color w:val="auto"/>
              </w:rPr>
            </w:pPr>
            <w:r>
              <w:rPr>
                <w:rFonts w:ascii="Arial" w:cs="Arial" w:eastAsia="Arial" w:hAnsi="Arial"/>
                <w:sz w:val="18"/>
                <w:szCs w:val="18"/>
                <w:color w:val="auto"/>
              </w:rPr>
              <w:t>Part III</w:t>
            </w:r>
          </w:p>
        </w:tc>
      </w:tr>
      <w:tr>
        <w:trPr>
          <w:trHeight w:val="222"/>
        </w:trPr>
        <w:tc>
          <w:tcPr>
            <w:tcW w:w="6780" w:type="dxa"/>
            <w:vAlign w:val="bottom"/>
          </w:tcPr>
          <w:p>
            <w:pPr>
              <w:ind w:left="1980"/>
              <w:spacing w:after="0"/>
              <w:rPr>
                <w:sz w:val="20"/>
                <w:szCs w:val="20"/>
                <w:color w:val="auto"/>
              </w:rPr>
            </w:pPr>
            <w:r>
              <w:rPr>
                <w:rFonts w:ascii="Arial" w:cs="Arial" w:eastAsia="Arial" w:hAnsi="Arial"/>
                <w:sz w:val="18"/>
                <w:szCs w:val="18"/>
                <w:color w:val="auto"/>
              </w:rPr>
              <w:t>2005 Annual Meeting of Stockholders</w:t>
            </w:r>
          </w:p>
        </w:tc>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6780" w:type="dxa"/>
            <w:vAlign w:val="bottom"/>
            <w:tcBorders>
              <w:bottom w:val="single" w:sz="8" w:color="808080"/>
            </w:tcBorders>
          </w:tcPr>
          <w:p>
            <w:pPr>
              <w:spacing w:after="0"/>
              <w:rPr>
                <w:sz w:val="18"/>
                <w:szCs w:val="18"/>
                <w:color w:val="auto"/>
              </w:rPr>
            </w:pPr>
          </w:p>
        </w:tc>
        <w:tc>
          <w:tcPr>
            <w:tcW w:w="46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102"/>
        </w:trPr>
        <w:tc>
          <w:tcPr>
            <w:tcW w:w="6780" w:type="dxa"/>
            <w:vAlign w:val="bottom"/>
            <w:tcBorders>
              <w:bottom w:val="single" w:sz="8" w:color="808080"/>
            </w:tcBorders>
          </w:tcPr>
          <w:p>
            <w:pPr>
              <w:spacing w:after="0"/>
              <w:rPr>
                <w:sz w:val="8"/>
                <w:szCs w:val="8"/>
                <w:color w:val="auto"/>
              </w:rPr>
            </w:pPr>
          </w:p>
        </w:tc>
        <w:tc>
          <w:tcPr>
            <w:tcW w:w="4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20"/>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60" w:type="dxa"/>
            <w:vAlign w:val="bottom"/>
            <w:gridSpan w:val="21"/>
          </w:tcPr>
          <w:p>
            <w:pPr>
              <w:ind w:left="1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96"/>
        </w:trPr>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1140" w:type="dxa"/>
            <w:vAlign w:val="bottom"/>
          </w:tcPr>
          <w:p>
            <w:pPr>
              <w:spacing w:after="0"/>
              <w:rPr>
                <w:sz w:val="24"/>
                <w:szCs w:val="24"/>
                <w:color w:val="auto"/>
              </w:rPr>
            </w:pPr>
          </w:p>
        </w:tc>
      </w:tr>
      <w:tr>
        <w:trPr>
          <w:trHeight w:val="95"/>
        </w:trPr>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r>
      <w:tr>
        <w:trPr>
          <w:trHeight w:val="102"/>
        </w:trPr>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6"/>
        </w:trPr>
        <w:tc>
          <w:tcPr>
            <w:tcW w:w="1200" w:type="dxa"/>
            <w:vAlign w:val="bottom"/>
            <w:tcBorders>
              <w:right w:val="single" w:sz="8" w:color="EEEEEE"/>
            </w:tcBorders>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6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560" w:type="dxa"/>
            <w:vAlign w:val="bottom"/>
            <w:tcBorders>
              <w:bottom w:val="single" w:sz="8" w:color="0000EE"/>
            </w:tcBorders>
            <w:shd w:val="clear" w:color="auto" w:fill="EEEEEE"/>
          </w:tcPr>
          <w:p>
            <w:pPr>
              <w:jc w:val="center"/>
              <w:spacing w:after="0" w:line="176" w:lineRule="exact"/>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3840" w:type="dxa"/>
            <w:vAlign w:val="bottom"/>
            <w:tcBorders>
              <w:bottom w:val="single" w:sz="8" w:color="EEEEEE"/>
            </w:tcBorders>
            <w:gridSpan w:val="13"/>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spacing w:after="0"/>
              <w:rPr>
                <w:sz w:val="17"/>
                <w:szCs w:val="17"/>
                <w:color w:val="auto"/>
              </w:rPr>
            </w:pPr>
          </w:p>
        </w:tc>
        <w:tc>
          <w:tcPr>
            <w:tcW w:w="1140" w:type="dxa"/>
            <w:vAlign w:val="bottom"/>
          </w:tcPr>
          <w:p>
            <w:pPr>
              <w:spacing w:after="0"/>
              <w:rPr>
                <w:sz w:val="17"/>
                <w:szCs w:val="17"/>
                <w:color w:val="auto"/>
              </w:rPr>
            </w:pPr>
          </w:p>
        </w:tc>
      </w:tr>
      <w:tr>
        <w:trPr>
          <w:trHeight w:val="176"/>
        </w:trPr>
        <w:tc>
          <w:tcPr>
            <w:tcW w:w="1200" w:type="dxa"/>
            <w:vAlign w:val="bottom"/>
          </w:tcPr>
          <w:p>
            <w:pPr>
              <w:spacing w:after="0"/>
              <w:rPr>
                <w:sz w:val="15"/>
                <w:szCs w:val="15"/>
                <w:color w:val="auto"/>
              </w:rPr>
            </w:pPr>
          </w:p>
        </w:tc>
        <w:tc>
          <w:tcPr>
            <w:tcW w:w="1300" w:type="dxa"/>
            <w:vAlign w:val="bottom"/>
            <w:gridSpan w:val="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40" w:type="dxa"/>
            <w:vAlign w:val="bottom"/>
            <w:gridSpan w:val="2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0" w:type="dxa"/>
            <w:vAlign w:val="bottom"/>
            <w:tcBorders>
              <w:right w:val="single" w:sz="8" w:color="EEEEEE"/>
            </w:tcBorders>
          </w:tcPr>
          <w:p>
            <w:pPr>
              <w:spacing w:after="0"/>
              <w:rPr>
                <w:sz w:val="17"/>
                <w:szCs w:val="17"/>
                <w:color w:val="auto"/>
              </w:rPr>
            </w:pPr>
          </w:p>
        </w:tc>
        <w:tc>
          <w:tcPr>
            <w:tcW w:w="5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2.</w:t>
              </w:r>
            </w:hyperlink>
          </w:p>
        </w:tc>
        <w:tc>
          <w:tcPr>
            <w:tcW w:w="800" w:type="dxa"/>
            <w:vAlign w:val="bottom"/>
            <w:tcBorders>
              <w:bottom w:val="single" w:sz="8" w:color="EEEEEE"/>
            </w:tcBorders>
            <w:gridSpan w:val="4"/>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720" w:type="dxa"/>
            <w:vAlign w:val="bottom"/>
            <w:tcBorders>
              <w:bottom w:val="single" w:sz="8" w:color="0000EE"/>
            </w:tcBorders>
            <w:gridSpan w:val="2"/>
            <w:shd w:val="clear" w:color="auto" w:fill="EEEEEE"/>
          </w:tcPr>
          <w:p>
            <w:pPr>
              <w:spacing w:after="0" w:line="17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5920" w:type="dxa"/>
            <w:vAlign w:val="bottom"/>
            <w:tcBorders>
              <w:bottom w:val="single" w:sz="8" w:color="EEEEEE"/>
            </w:tcBorders>
            <w:gridSpan w:val="24"/>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18</w:t>
            </w:r>
          </w:p>
        </w:tc>
        <w:tc>
          <w:tcPr>
            <w:tcW w:w="1140" w:type="dxa"/>
            <w:vAlign w:val="bottom"/>
          </w:tcPr>
          <w:p>
            <w:pPr>
              <w:spacing w:after="0"/>
              <w:rPr>
                <w:sz w:val="17"/>
                <w:szCs w:val="17"/>
                <w:color w:val="auto"/>
              </w:rPr>
            </w:pPr>
          </w:p>
        </w:tc>
      </w:tr>
      <w:tr>
        <w:trPr>
          <w:trHeight w:val="176"/>
        </w:trPr>
        <w:tc>
          <w:tcPr>
            <w:tcW w:w="1200" w:type="dxa"/>
            <w:vAlign w:val="bottom"/>
          </w:tcPr>
          <w:p>
            <w:pPr>
              <w:spacing w:after="0"/>
              <w:rPr>
                <w:sz w:val="15"/>
                <w:szCs w:val="15"/>
                <w:color w:val="auto"/>
              </w:rPr>
            </w:pPr>
          </w:p>
        </w:tc>
        <w:tc>
          <w:tcPr>
            <w:tcW w:w="1300" w:type="dxa"/>
            <w:vAlign w:val="bottom"/>
            <w:gridSpan w:val="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40" w:type="dxa"/>
            <w:vAlign w:val="bottom"/>
            <w:gridSpan w:val="26"/>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0" w:type="dxa"/>
            <w:vAlign w:val="bottom"/>
            <w:tcBorders>
              <w:right w:val="single" w:sz="8" w:color="EEEEEE"/>
            </w:tcBorders>
          </w:tcPr>
          <w:p>
            <w:pPr>
              <w:spacing w:after="0"/>
              <w:rPr>
                <w:sz w:val="17"/>
                <w:szCs w:val="17"/>
                <w:color w:val="auto"/>
              </w:rPr>
            </w:pPr>
          </w:p>
        </w:tc>
        <w:tc>
          <w:tcPr>
            <w:tcW w:w="5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4.</w:t>
              </w:r>
            </w:hyperlink>
          </w:p>
        </w:tc>
        <w:tc>
          <w:tcPr>
            <w:tcW w:w="800" w:type="dxa"/>
            <w:vAlign w:val="bottom"/>
            <w:tcBorders>
              <w:bottom w:val="single" w:sz="8" w:color="EEEEEE"/>
            </w:tcBorders>
            <w:gridSpan w:val="4"/>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3680" w:type="dxa"/>
            <w:vAlign w:val="bottom"/>
            <w:tcBorders>
              <w:bottom w:val="single" w:sz="8" w:color="0000EE"/>
            </w:tcBorders>
            <w:gridSpan w:val="20"/>
            <w:shd w:val="clear" w:color="auto" w:fill="EEEEEE"/>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Submission of Matters to a Vote of Security Holders</w:t>
              </w:r>
            </w:hyperlink>
          </w:p>
        </w:tc>
        <w:tc>
          <w:tcPr>
            <w:tcW w:w="2960" w:type="dxa"/>
            <w:vAlign w:val="bottom"/>
            <w:tcBorders>
              <w:bottom w:val="single" w:sz="8" w:color="EEEEEE"/>
            </w:tcBorders>
            <w:gridSpan w:val="6"/>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19</w:t>
            </w:r>
          </w:p>
        </w:tc>
        <w:tc>
          <w:tcPr>
            <w:tcW w:w="1140" w:type="dxa"/>
            <w:vAlign w:val="bottom"/>
          </w:tcPr>
          <w:p>
            <w:pPr>
              <w:spacing w:after="0"/>
              <w:rPr>
                <w:sz w:val="17"/>
                <w:szCs w:val="17"/>
                <w:color w:val="auto"/>
              </w:rPr>
            </w:pPr>
          </w:p>
        </w:tc>
      </w:tr>
      <w:tr>
        <w:trPr>
          <w:trHeight w:val="176"/>
        </w:trPr>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40" w:type="dxa"/>
            <w:vAlign w:val="bottom"/>
            <w:gridSpan w:val="15"/>
          </w:tcPr>
          <w:p>
            <w:pPr>
              <w:jc w:val="center"/>
              <w:ind w:right="3800"/>
              <w:spacing w:after="0" w:line="176" w:lineRule="exact"/>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1200" w:type="dxa"/>
            <w:vAlign w:val="bottom"/>
            <w:tcBorders>
              <w:right w:val="single" w:sz="8" w:color="EEEEEE"/>
            </w:tcBorders>
          </w:tcPr>
          <w:p>
            <w:pPr>
              <w:spacing w:after="0"/>
              <w:rPr>
                <w:sz w:val="15"/>
                <w:szCs w:val="15"/>
                <w:color w:val="auto"/>
              </w:rPr>
            </w:pPr>
          </w:p>
        </w:tc>
        <w:tc>
          <w:tcPr>
            <w:tcW w:w="5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5.</w:t>
              </w:r>
            </w:hyperlink>
          </w:p>
        </w:tc>
        <w:tc>
          <w:tcPr>
            <w:tcW w:w="800" w:type="dxa"/>
            <w:vAlign w:val="bottom"/>
            <w:tcBorders>
              <w:bottom w:val="single" w:sz="8" w:color="EEEEEE"/>
            </w:tcBorders>
            <w:gridSpan w:val="4"/>
            <w:shd w:val="clear" w:color="auto" w:fill="EEEEEE"/>
          </w:tcPr>
          <w:p>
            <w:pPr>
              <w:spacing w:after="0"/>
              <w:rPr>
                <w:sz w:val="15"/>
                <w:szCs w:val="15"/>
                <w:color w:val="auto"/>
              </w:rPr>
            </w:pPr>
          </w:p>
        </w:tc>
        <w:tc>
          <w:tcPr>
            <w:tcW w:w="680" w:type="dxa"/>
            <w:vAlign w:val="bottom"/>
            <w:tcBorders>
              <w:bottom w:val="single" w:sz="8" w:color="EEEEEE"/>
            </w:tcBorders>
            <w:shd w:val="clear" w:color="auto" w:fill="EEEEEE"/>
          </w:tcPr>
          <w:p>
            <w:pPr>
              <w:spacing w:after="0"/>
              <w:rPr>
                <w:sz w:val="15"/>
                <w:szCs w:val="15"/>
                <w:color w:val="auto"/>
              </w:rPr>
            </w:pPr>
          </w:p>
        </w:tc>
        <w:tc>
          <w:tcPr>
            <w:tcW w:w="40" w:type="dxa"/>
            <w:vAlign w:val="bottom"/>
            <w:tcBorders>
              <w:bottom w:val="single" w:sz="8" w:color="EEEEEE"/>
            </w:tcBorders>
            <w:shd w:val="clear" w:color="auto" w:fill="EEEEEE"/>
          </w:tcPr>
          <w:p>
            <w:pPr>
              <w:spacing w:after="0"/>
              <w:rPr>
                <w:sz w:val="15"/>
                <w:szCs w:val="15"/>
                <w:color w:val="auto"/>
              </w:rPr>
            </w:pPr>
          </w:p>
        </w:tc>
        <w:tc>
          <w:tcPr>
            <w:tcW w:w="5700" w:type="dxa"/>
            <w:vAlign w:val="bottom"/>
            <w:tcBorders>
              <w:bottom w:val="single" w:sz="8" w:color="0000EE"/>
            </w:tcBorders>
            <w:gridSpan w:val="23"/>
            <w:shd w:val="clear" w:color="auto" w:fill="EEEEEE"/>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Market for Registrant’s Common Equity, Related Stockholder Matters and Issuer</w:t>
              </w:r>
            </w:hyperlink>
          </w:p>
        </w:tc>
        <w:tc>
          <w:tcPr>
            <w:tcW w:w="940" w:type="dxa"/>
            <w:vAlign w:val="bottom"/>
            <w:tcBorders>
              <w:bottom w:val="single" w:sz="8" w:color="EEEEEE"/>
            </w:tcBorders>
            <w:gridSpan w:val="3"/>
            <w:shd w:val="clear" w:color="auto" w:fill="EEEEEE"/>
          </w:tcPr>
          <w:p>
            <w:pPr>
              <w:spacing w:after="0"/>
              <w:rPr>
                <w:sz w:val="15"/>
                <w:szCs w:val="15"/>
                <w:color w:val="auto"/>
              </w:rPr>
            </w:pPr>
          </w:p>
        </w:tc>
        <w:tc>
          <w:tcPr>
            <w:tcW w:w="420" w:type="dxa"/>
            <w:vAlign w:val="bottom"/>
            <w:tcBorders>
              <w:bottom w:val="single" w:sz="8" w:color="EEEEEE"/>
            </w:tcBorders>
            <w:shd w:val="clear" w:color="auto" w:fill="EEEEEE"/>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1200" w:type="dxa"/>
            <w:vAlign w:val="bottom"/>
            <w:tcBorders>
              <w:right w:val="single" w:sz="8" w:color="EEEEEE"/>
            </w:tcBorders>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7360" w:type="dxa"/>
            <w:vAlign w:val="bottom"/>
            <w:gridSpan w:val="28"/>
            <w:shd w:val="clear" w:color="auto" w:fill="EEEEEE"/>
          </w:tcPr>
          <w:p>
            <w:pPr>
              <w:ind w:left="68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Purchases of Equity Securities</w:t>
              </w:r>
            </w:hyperlink>
          </w:p>
        </w:tc>
        <w:tc>
          <w:tcPr>
            <w:tcW w:w="42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19</w:t>
            </w:r>
          </w:p>
        </w:tc>
        <w:tc>
          <w:tcPr>
            <w:tcW w:w="1140" w:type="dxa"/>
            <w:vAlign w:val="bottom"/>
          </w:tcPr>
          <w:p>
            <w:pPr>
              <w:spacing w:after="0"/>
              <w:rPr>
                <w:sz w:val="18"/>
                <w:szCs w:val="18"/>
                <w:color w:val="auto"/>
              </w:rPr>
            </w:pPr>
          </w:p>
        </w:tc>
      </w:tr>
      <w:tr>
        <w:trPr>
          <w:trHeight w:val="176"/>
        </w:trPr>
        <w:tc>
          <w:tcPr>
            <w:tcW w:w="1200" w:type="dxa"/>
            <w:vAlign w:val="bottom"/>
          </w:tcPr>
          <w:p>
            <w:pPr>
              <w:spacing w:after="0"/>
              <w:rPr>
                <w:sz w:val="15"/>
                <w:szCs w:val="15"/>
                <w:color w:val="auto"/>
              </w:rPr>
            </w:pPr>
          </w:p>
        </w:tc>
        <w:tc>
          <w:tcPr>
            <w:tcW w:w="1300" w:type="dxa"/>
            <w:vAlign w:val="bottom"/>
            <w:tcBorders>
              <w:top w:val="single" w:sz="8" w:color="EEEEEE"/>
            </w:tcBorders>
            <w:gridSpan w:val="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680" w:type="dxa"/>
            <w:vAlign w:val="bottom"/>
            <w:tcBorders>
              <w:top w:val="single" w:sz="8" w:color="EEEE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4540" w:type="dxa"/>
            <w:vAlign w:val="bottom"/>
            <w:tcBorders>
              <w:top w:val="single" w:sz="8" w:color="EEEEEE"/>
            </w:tcBorders>
            <w:gridSpan w:val="17"/>
          </w:tcPr>
          <w:p>
            <w:pPr>
              <w:spacing w:after="0"/>
              <w:rPr>
                <w:sz w:val="15"/>
                <w:szCs w:val="15"/>
                <w:color w:val="auto"/>
              </w:rPr>
            </w:pPr>
          </w:p>
        </w:tc>
        <w:tc>
          <w:tcPr>
            <w:tcW w:w="42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21</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0" w:type="dxa"/>
            <w:vAlign w:val="bottom"/>
            <w:tcBorders>
              <w:right w:val="single" w:sz="8" w:color="EEEEEE"/>
            </w:tcBorders>
          </w:tcPr>
          <w:p>
            <w:pPr>
              <w:spacing w:after="0"/>
              <w:rPr>
                <w:sz w:val="17"/>
                <w:szCs w:val="17"/>
                <w:color w:val="auto"/>
              </w:rPr>
            </w:pPr>
          </w:p>
        </w:tc>
        <w:tc>
          <w:tcPr>
            <w:tcW w:w="5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7.</w:t>
              </w:r>
            </w:hyperlink>
          </w:p>
        </w:tc>
        <w:tc>
          <w:tcPr>
            <w:tcW w:w="800" w:type="dxa"/>
            <w:vAlign w:val="bottom"/>
            <w:tcBorders>
              <w:bottom w:val="single" w:sz="8" w:color="EEEEEE"/>
            </w:tcBorders>
            <w:gridSpan w:val="4"/>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6300" w:type="dxa"/>
            <w:vAlign w:val="bottom"/>
            <w:tcBorders>
              <w:bottom w:val="single" w:sz="8" w:color="0000EE"/>
            </w:tcBorders>
            <w:gridSpan w:val="24"/>
            <w:shd w:val="clear" w:color="auto" w:fill="EEEEEE"/>
          </w:tcPr>
          <w:p>
            <w:pPr>
              <w:spacing w:after="0" w:line="17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40" w:type="dxa"/>
            <w:vAlign w:val="bottom"/>
            <w:tcBorders>
              <w:bottom w:val="single" w:sz="8" w:color="EEEEEE"/>
            </w:tcBorders>
            <w:gridSpan w:val="2"/>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23</w:t>
            </w:r>
          </w:p>
        </w:tc>
        <w:tc>
          <w:tcPr>
            <w:tcW w:w="1140" w:type="dxa"/>
            <w:vAlign w:val="bottom"/>
          </w:tcPr>
          <w:p>
            <w:pPr>
              <w:spacing w:after="0"/>
              <w:rPr>
                <w:sz w:val="17"/>
                <w:szCs w:val="17"/>
                <w:color w:val="auto"/>
              </w:rPr>
            </w:pPr>
          </w:p>
        </w:tc>
      </w:tr>
      <w:tr>
        <w:trPr>
          <w:trHeight w:val="176"/>
        </w:trPr>
        <w:tc>
          <w:tcPr>
            <w:tcW w:w="1200" w:type="dxa"/>
            <w:vAlign w:val="bottom"/>
          </w:tcPr>
          <w:p>
            <w:pPr>
              <w:spacing w:after="0"/>
              <w:rPr>
                <w:sz w:val="15"/>
                <w:szCs w:val="15"/>
                <w:color w:val="auto"/>
              </w:rPr>
            </w:pPr>
          </w:p>
        </w:tc>
        <w:tc>
          <w:tcPr>
            <w:tcW w:w="1300" w:type="dxa"/>
            <w:vAlign w:val="bottom"/>
            <w:gridSpan w:val="5"/>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7A.</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40" w:type="dxa"/>
            <w:vAlign w:val="bottom"/>
            <w:gridSpan w:val="2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 About Market Risk</w:t>
              </w:r>
            </w:hyperlink>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46</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1200" w:type="dxa"/>
            <w:vAlign w:val="bottom"/>
            <w:tcBorders>
              <w:right w:val="single" w:sz="8" w:color="EEEEEE"/>
            </w:tcBorders>
          </w:tcPr>
          <w:p>
            <w:pPr>
              <w:spacing w:after="0"/>
              <w:rPr>
                <w:sz w:val="15"/>
                <w:szCs w:val="15"/>
                <w:color w:val="auto"/>
              </w:rPr>
            </w:pPr>
          </w:p>
        </w:tc>
        <w:tc>
          <w:tcPr>
            <w:tcW w:w="500" w:type="dxa"/>
            <w:vAlign w:val="bottom"/>
            <w:shd w:val="clear" w:color="auto" w:fill="EEEEEE"/>
          </w:tcPr>
          <w:p>
            <w:pPr>
              <w:spacing w:after="0" w:line="17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Item 8.</w:t>
              </w:r>
            </w:hyperlink>
          </w:p>
        </w:tc>
        <w:tc>
          <w:tcPr>
            <w:tcW w:w="800" w:type="dxa"/>
            <w:vAlign w:val="bottom"/>
            <w:gridSpan w:val="4"/>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6640" w:type="dxa"/>
            <w:vAlign w:val="bottom"/>
            <w:gridSpan w:val="26"/>
            <w:shd w:val="clear" w:color="auto" w:fill="EEEEEE"/>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Supplementary Data</w:t>
              </w:r>
            </w:hyperlink>
          </w:p>
        </w:tc>
        <w:tc>
          <w:tcPr>
            <w:tcW w:w="4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48</w:t>
            </w:r>
          </w:p>
        </w:tc>
        <w:tc>
          <w:tcPr>
            <w:tcW w:w="1140" w:type="dxa"/>
            <w:vAlign w:val="bottom"/>
          </w:tcPr>
          <w:p>
            <w:pPr>
              <w:spacing w:after="0"/>
              <w:rPr>
                <w:sz w:val="15"/>
                <w:szCs w:val="15"/>
                <w:color w:val="auto"/>
              </w:rPr>
            </w:pPr>
          </w:p>
        </w:tc>
      </w:tr>
      <w:tr>
        <w:trPr>
          <w:trHeight w:val="21"/>
        </w:trPr>
        <w:tc>
          <w:tcPr>
            <w:tcW w:w="1200" w:type="dxa"/>
            <w:vAlign w:val="bottom"/>
            <w:tcBorders>
              <w:right w:val="single" w:sz="8" w:color="EEEEEE"/>
            </w:tcBorders>
          </w:tcPr>
          <w:p>
            <w:pPr>
              <w:spacing w:after="0" w:line="20" w:lineRule="exact"/>
              <w:rPr>
                <w:sz w:val="1"/>
                <w:szCs w:val="1"/>
                <w:color w:val="auto"/>
              </w:rPr>
            </w:pPr>
          </w:p>
        </w:tc>
        <w:tc>
          <w:tcPr>
            <w:tcW w:w="5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14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1200" w:type="dxa"/>
            <w:vAlign w:val="bottom"/>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Item 9.</w:t>
              </w:r>
            </w:hyperlink>
          </w:p>
        </w:tc>
        <w:tc>
          <w:tcPr>
            <w:tcW w:w="80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40" w:type="dxa"/>
            <w:vAlign w:val="bottom"/>
            <w:gridSpan w:val="26"/>
          </w:tcPr>
          <w:p>
            <w:pPr>
              <w:spacing w:after="0" w:line="17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Changes in and Disagreements with Accountants on Accounting and Financial Disclosure</w:t>
              </w:r>
            </w:hyperlink>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110</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0" w:type="dxa"/>
            <w:vAlign w:val="bottom"/>
            <w:tcBorders>
              <w:right w:val="single" w:sz="8" w:color="EEEEEE"/>
            </w:tcBorders>
          </w:tcPr>
          <w:p>
            <w:pPr>
              <w:spacing w:after="0"/>
              <w:rPr>
                <w:sz w:val="17"/>
                <w:szCs w:val="17"/>
                <w:color w:val="auto"/>
              </w:rPr>
            </w:pPr>
          </w:p>
        </w:tc>
        <w:tc>
          <w:tcPr>
            <w:tcW w:w="620" w:type="dxa"/>
            <w:vAlign w:val="bottom"/>
            <w:gridSpan w:val="4"/>
            <w:shd w:val="clear" w:color="auto" w:fill="EEEEEE"/>
          </w:tcPr>
          <w:p>
            <w:pPr>
              <w:spacing w:after="0" w:line="17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Item 9A.</w:t>
              </w:r>
            </w:hyperlink>
          </w:p>
        </w:tc>
        <w:tc>
          <w:tcPr>
            <w:tcW w:w="6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640" w:type="dxa"/>
            <w:vAlign w:val="bottom"/>
            <w:gridSpan w:val="26"/>
            <w:shd w:val="clear" w:color="auto" w:fill="EEEEEE"/>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4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110</w:t>
            </w:r>
          </w:p>
        </w:tc>
        <w:tc>
          <w:tcPr>
            <w:tcW w:w="1140" w:type="dxa"/>
            <w:vAlign w:val="bottom"/>
          </w:tcPr>
          <w:p>
            <w:pPr>
              <w:spacing w:after="0"/>
              <w:rPr>
                <w:sz w:val="17"/>
                <w:szCs w:val="17"/>
                <w:color w:val="auto"/>
              </w:rPr>
            </w:pPr>
          </w:p>
        </w:tc>
      </w:tr>
      <w:tr>
        <w:trPr>
          <w:trHeight w:val="176"/>
        </w:trPr>
        <w:tc>
          <w:tcPr>
            <w:tcW w:w="1200" w:type="dxa"/>
            <w:vAlign w:val="bottom"/>
          </w:tcPr>
          <w:p>
            <w:pPr>
              <w:spacing w:after="0"/>
              <w:rPr>
                <w:sz w:val="15"/>
                <w:szCs w:val="15"/>
                <w:color w:val="auto"/>
              </w:rPr>
            </w:pPr>
          </w:p>
        </w:tc>
        <w:tc>
          <w:tcPr>
            <w:tcW w:w="620" w:type="dxa"/>
            <w:vAlign w:val="bottom"/>
            <w:tcBorders>
              <w:top w:val="single" w:sz="8" w:color="0000EE"/>
            </w:tcBorders>
            <w:gridSpan w:val="4"/>
          </w:tcPr>
          <w:p>
            <w:pPr>
              <w:spacing w:after="0" w:line="17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Item 9B.</w:t>
              </w:r>
            </w:hyperlink>
          </w:p>
        </w:tc>
        <w:tc>
          <w:tcPr>
            <w:tcW w:w="680" w:type="dxa"/>
            <w:vAlign w:val="bottom"/>
            <w:tcBorders>
              <w:top w:val="single" w:sz="8" w:color="EEEEEE"/>
            </w:tcBorders>
          </w:tcPr>
          <w:p>
            <w:pPr>
              <w:spacing w:after="0"/>
              <w:rPr>
                <w:sz w:val="15"/>
                <w:szCs w:val="15"/>
                <w:color w:val="auto"/>
              </w:rPr>
            </w:pPr>
          </w:p>
        </w:tc>
        <w:tc>
          <w:tcPr>
            <w:tcW w:w="68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17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4920" w:type="dxa"/>
            <w:vAlign w:val="bottom"/>
            <w:tcBorders>
              <w:top w:val="single" w:sz="8" w:color="EEEEEE"/>
            </w:tcBorders>
            <w:gridSpan w:val="19"/>
          </w:tcPr>
          <w:p>
            <w:pPr>
              <w:spacing w:after="0"/>
              <w:rPr>
                <w:sz w:val="15"/>
                <w:szCs w:val="15"/>
                <w:color w:val="auto"/>
              </w:rPr>
            </w:pPr>
          </w:p>
        </w:tc>
        <w:tc>
          <w:tcPr>
            <w:tcW w:w="42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110</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1200" w:type="dxa"/>
            <w:vAlign w:val="bottom"/>
            <w:tcBorders>
              <w:right w:val="single" w:sz="8" w:color="EEEEEE"/>
            </w:tcBorders>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480" w:type="dxa"/>
            <w:vAlign w:val="bottom"/>
            <w:gridSpan w:val="16"/>
            <w:shd w:val="clear" w:color="auto" w:fill="EEEEEE"/>
          </w:tcPr>
          <w:p>
            <w:pPr>
              <w:jc w:val="center"/>
              <w:ind w:right="3780"/>
              <w:spacing w:after="0" w:line="17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PART III</w:t>
              </w:r>
            </w:hyperlink>
          </w:p>
        </w:tc>
        <w:tc>
          <w:tcPr>
            <w:tcW w:w="420" w:type="dxa"/>
            <w:vAlign w:val="bottom"/>
            <w:shd w:val="clear" w:color="auto" w:fill="EEEEEE"/>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200" w:type="dxa"/>
            <w:vAlign w:val="bottom"/>
            <w:tcBorders>
              <w:right w:val="single" w:sz="8" w:color="EEEEEE"/>
            </w:tcBorders>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14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1200" w:type="dxa"/>
            <w:vAlign w:val="bottom"/>
          </w:tcPr>
          <w:p>
            <w:pPr>
              <w:spacing w:after="0"/>
              <w:rPr>
                <w:sz w:val="15"/>
                <w:szCs w:val="15"/>
                <w:color w:val="auto"/>
              </w:rPr>
            </w:pPr>
          </w:p>
        </w:tc>
        <w:tc>
          <w:tcPr>
            <w:tcW w:w="1300" w:type="dxa"/>
            <w:vAlign w:val="bottom"/>
            <w:gridSpan w:val="5"/>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Item 10.</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40" w:type="dxa"/>
            <w:vAlign w:val="bottom"/>
            <w:gridSpan w:val="26"/>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Directors and Executive Officers of the Registrant</w:t>
              </w:r>
            </w:hyperlink>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110</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0" w:type="dxa"/>
            <w:vAlign w:val="bottom"/>
            <w:tcBorders>
              <w:right w:val="single" w:sz="8" w:color="EEEEEE"/>
            </w:tcBorders>
          </w:tcPr>
          <w:p>
            <w:pPr>
              <w:spacing w:after="0"/>
              <w:rPr>
                <w:sz w:val="17"/>
                <w:szCs w:val="17"/>
                <w:color w:val="auto"/>
              </w:rPr>
            </w:pPr>
          </w:p>
        </w:tc>
        <w:tc>
          <w:tcPr>
            <w:tcW w:w="580" w:type="dxa"/>
            <w:vAlign w:val="bottom"/>
            <w:tcBorders>
              <w:bottom w:val="single" w:sz="8" w:color="0000EE"/>
            </w:tcBorders>
            <w:gridSpan w:val="2"/>
            <w:shd w:val="clear" w:color="auto" w:fill="EEEEEE"/>
          </w:tcPr>
          <w:p>
            <w:pPr>
              <w:spacing w:after="0" w:line="17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Item 11.</w:t>
              </w:r>
            </w:hyperlink>
          </w:p>
        </w:tc>
        <w:tc>
          <w:tcPr>
            <w:tcW w:w="720" w:type="dxa"/>
            <w:vAlign w:val="bottom"/>
            <w:tcBorders>
              <w:bottom w:val="single" w:sz="8" w:color="EEEEEE"/>
            </w:tcBorders>
            <w:gridSpan w:val="3"/>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1760" w:type="dxa"/>
            <w:vAlign w:val="bottom"/>
            <w:tcBorders>
              <w:bottom w:val="single" w:sz="8" w:color="0000EE"/>
            </w:tcBorders>
            <w:gridSpan w:val="8"/>
            <w:shd w:val="clear" w:color="auto" w:fill="EEEEEE"/>
          </w:tcPr>
          <w:p>
            <w:pPr>
              <w:spacing w:after="0" w:line="17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Executive Compensation</w:t>
              </w:r>
            </w:hyperlink>
          </w:p>
        </w:tc>
        <w:tc>
          <w:tcPr>
            <w:tcW w:w="4880" w:type="dxa"/>
            <w:vAlign w:val="bottom"/>
            <w:tcBorders>
              <w:bottom w:val="single" w:sz="8" w:color="EEEEEE"/>
            </w:tcBorders>
            <w:gridSpan w:val="18"/>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110</w:t>
            </w:r>
          </w:p>
        </w:tc>
        <w:tc>
          <w:tcPr>
            <w:tcW w:w="1140" w:type="dxa"/>
            <w:vAlign w:val="bottom"/>
          </w:tcPr>
          <w:p>
            <w:pPr>
              <w:spacing w:after="0"/>
              <w:rPr>
                <w:sz w:val="17"/>
                <w:szCs w:val="17"/>
                <w:color w:val="auto"/>
              </w:rPr>
            </w:pPr>
          </w:p>
        </w:tc>
      </w:tr>
      <w:tr>
        <w:trPr>
          <w:trHeight w:val="176"/>
        </w:trPr>
        <w:tc>
          <w:tcPr>
            <w:tcW w:w="1200" w:type="dxa"/>
            <w:vAlign w:val="bottom"/>
          </w:tcPr>
          <w:p>
            <w:pPr>
              <w:spacing w:after="0"/>
              <w:rPr>
                <w:sz w:val="15"/>
                <w:szCs w:val="15"/>
                <w:color w:val="auto"/>
              </w:rPr>
            </w:pPr>
          </w:p>
        </w:tc>
        <w:tc>
          <w:tcPr>
            <w:tcW w:w="580" w:type="dxa"/>
            <w:vAlign w:val="bottom"/>
            <w:tcBorders>
              <w:bottom w:val="single" w:sz="8" w:color="0000EE"/>
            </w:tcBorders>
            <w:gridSpan w:val="2"/>
          </w:tcPr>
          <w:p>
            <w:pPr>
              <w:spacing w:after="0" w:line="17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Item 12.</w:t>
              </w:r>
            </w:hyperlink>
          </w:p>
        </w:tc>
        <w:tc>
          <w:tcPr>
            <w:tcW w:w="72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40" w:type="dxa"/>
            <w:vAlign w:val="bottom"/>
            <w:tcBorders>
              <w:bottom w:val="single" w:sz="8" w:color="0000EE"/>
            </w:tcBorders>
            <w:gridSpan w:val="22"/>
          </w:tcPr>
          <w:p>
            <w:pPr>
              <w:spacing w:after="0" w:line="17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Security Ownership of Certain Beneficial Owners and Management and Related</w:t>
              </w:r>
            </w:hyperlink>
          </w:p>
        </w:tc>
        <w:tc>
          <w:tcPr>
            <w:tcW w:w="1000" w:type="dxa"/>
            <w:vAlign w:val="bottom"/>
            <w:gridSpan w:val="4"/>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360" w:type="dxa"/>
            <w:vAlign w:val="bottom"/>
            <w:gridSpan w:val="28"/>
          </w:tcPr>
          <w:p>
            <w:pPr>
              <w:ind w:left="68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Stockholder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1140" w:type="dxa"/>
            <w:vAlign w:val="bottom"/>
          </w:tcPr>
          <w:p>
            <w:pPr>
              <w:spacing w:after="0"/>
              <w:rPr>
                <w:sz w:val="17"/>
                <w:szCs w:val="17"/>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00" w:type="dxa"/>
            <w:vAlign w:val="bottom"/>
            <w:tcBorders>
              <w:right w:val="single" w:sz="8" w:color="EEEEEE"/>
            </w:tcBorders>
          </w:tcPr>
          <w:p>
            <w:pPr>
              <w:spacing w:after="0"/>
              <w:rPr>
                <w:sz w:val="17"/>
                <w:szCs w:val="17"/>
                <w:color w:val="auto"/>
              </w:rPr>
            </w:pPr>
          </w:p>
        </w:tc>
        <w:tc>
          <w:tcPr>
            <w:tcW w:w="580" w:type="dxa"/>
            <w:vAlign w:val="bottom"/>
            <w:gridSpan w:val="2"/>
            <w:shd w:val="clear" w:color="auto" w:fill="EEEEEE"/>
          </w:tcPr>
          <w:p>
            <w:pPr>
              <w:spacing w:after="0" w:line="17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Item 13.</w:t>
              </w:r>
            </w:hyperlink>
          </w:p>
        </w:tc>
        <w:tc>
          <w:tcPr>
            <w:tcW w:w="720" w:type="dxa"/>
            <w:vAlign w:val="bottom"/>
            <w:gridSpan w:val="3"/>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640" w:type="dxa"/>
            <w:vAlign w:val="bottom"/>
            <w:gridSpan w:val="26"/>
            <w:shd w:val="clear" w:color="auto" w:fill="EEEEEE"/>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Certain Relationships and Related Transactions</w:t>
              </w:r>
            </w:hyperlink>
          </w:p>
        </w:tc>
        <w:tc>
          <w:tcPr>
            <w:tcW w:w="4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111</w:t>
            </w:r>
          </w:p>
        </w:tc>
        <w:tc>
          <w:tcPr>
            <w:tcW w:w="1140" w:type="dxa"/>
            <w:vAlign w:val="bottom"/>
          </w:tcPr>
          <w:p>
            <w:pPr>
              <w:spacing w:after="0"/>
              <w:rPr>
                <w:sz w:val="17"/>
                <w:szCs w:val="17"/>
                <w:color w:val="auto"/>
              </w:rPr>
            </w:pPr>
          </w:p>
        </w:tc>
      </w:tr>
      <w:tr>
        <w:trPr>
          <w:trHeight w:val="176"/>
        </w:trPr>
        <w:tc>
          <w:tcPr>
            <w:tcW w:w="1200" w:type="dxa"/>
            <w:vAlign w:val="bottom"/>
          </w:tcPr>
          <w:p>
            <w:pPr>
              <w:spacing w:after="0"/>
              <w:rPr>
                <w:sz w:val="15"/>
                <w:szCs w:val="15"/>
                <w:color w:val="auto"/>
              </w:rPr>
            </w:pPr>
          </w:p>
        </w:tc>
        <w:tc>
          <w:tcPr>
            <w:tcW w:w="580" w:type="dxa"/>
            <w:vAlign w:val="bottom"/>
            <w:tcBorders>
              <w:top w:val="single" w:sz="8" w:color="0000EE"/>
            </w:tcBorders>
            <w:gridSpan w:val="2"/>
          </w:tcPr>
          <w:p>
            <w:pPr>
              <w:spacing w:after="0" w:line="17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Item 14.</w:t>
              </w:r>
            </w:hyperlink>
          </w:p>
        </w:tc>
        <w:tc>
          <w:tcPr>
            <w:tcW w:w="720" w:type="dxa"/>
            <w:vAlign w:val="bottom"/>
            <w:tcBorders>
              <w:top w:val="single" w:sz="8" w:color="EEEEEE"/>
            </w:tcBorders>
            <w:gridSpan w:val="3"/>
          </w:tcPr>
          <w:p>
            <w:pPr>
              <w:spacing w:after="0"/>
              <w:rPr>
                <w:sz w:val="15"/>
                <w:szCs w:val="15"/>
                <w:color w:val="auto"/>
              </w:rPr>
            </w:pPr>
          </w:p>
        </w:tc>
        <w:tc>
          <w:tcPr>
            <w:tcW w:w="68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32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Principal Accounting Fees and Services</w:t>
              </w:r>
            </w:hyperlink>
          </w:p>
        </w:tc>
        <w:tc>
          <w:tcPr>
            <w:tcW w:w="3320" w:type="dxa"/>
            <w:vAlign w:val="bottom"/>
            <w:tcBorders>
              <w:top w:val="single" w:sz="8" w:color="EEEEEE"/>
            </w:tcBorders>
            <w:gridSpan w:val="8"/>
          </w:tcPr>
          <w:p>
            <w:pPr>
              <w:spacing w:after="0"/>
              <w:rPr>
                <w:sz w:val="15"/>
                <w:szCs w:val="15"/>
                <w:color w:val="auto"/>
              </w:rPr>
            </w:pPr>
          </w:p>
        </w:tc>
        <w:tc>
          <w:tcPr>
            <w:tcW w:w="42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111</w:t>
            </w:r>
          </w:p>
        </w:tc>
        <w:tc>
          <w:tcPr>
            <w:tcW w:w="1140" w:type="dxa"/>
            <w:vAlign w:val="bottom"/>
          </w:tcPr>
          <w:p>
            <w:pPr>
              <w:spacing w:after="0"/>
              <w:rPr>
                <w:sz w:val="15"/>
                <w:szCs w:val="15"/>
                <w:color w:val="auto"/>
              </w:rPr>
            </w:pPr>
          </w:p>
        </w:tc>
      </w:tr>
      <w:tr>
        <w:trPr>
          <w:trHeight w:val="21"/>
        </w:trPr>
        <w:tc>
          <w:tcPr>
            <w:tcW w:w="1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1200" w:type="dxa"/>
            <w:vAlign w:val="bottom"/>
            <w:tcBorders>
              <w:right w:val="single" w:sz="8" w:color="EEEEEE"/>
            </w:tcBorders>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480" w:type="dxa"/>
            <w:vAlign w:val="bottom"/>
            <w:gridSpan w:val="16"/>
            <w:shd w:val="clear" w:color="auto" w:fill="EEEEEE"/>
          </w:tcPr>
          <w:p>
            <w:pPr>
              <w:jc w:val="center"/>
              <w:ind w:right="3780"/>
              <w:spacing w:after="0" w:line="176" w:lineRule="exact"/>
              <w:rPr>
                <w:rFonts w:ascii="Arial" w:cs="Arial" w:eastAsia="Arial" w:hAnsi="Arial"/>
                <w:sz w:val="18"/>
                <w:szCs w:val="18"/>
                <w:b w:val="1"/>
                <w:bCs w:val="1"/>
                <w:color w:val="0000EE"/>
                <w:w w:val="98"/>
              </w:rPr>
            </w:pPr>
            <w:hyperlink w:anchor="page120">
              <w:r>
                <w:rPr>
                  <w:rFonts w:ascii="Arial" w:cs="Arial" w:eastAsia="Arial" w:hAnsi="Arial"/>
                  <w:sz w:val="18"/>
                  <w:szCs w:val="18"/>
                  <w:b w:val="1"/>
                  <w:bCs w:val="1"/>
                  <w:color w:val="0000EE"/>
                  <w:w w:val="98"/>
                </w:rPr>
                <w:t>PART IV</w:t>
              </w:r>
            </w:hyperlink>
          </w:p>
        </w:tc>
        <w:tc>
          <w:tcPr>
            <w:tcW w:w="420" w:type="dxa"/>
            <w:vAlign w:val="bottom"/>
            <w:shd w:val="clear" w:color="auto" w:fill="EEEEEE"/>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200" w:type="dxa"/>
            <w:vAlign w:val="bottom"/>
            <w:tcBorders>
              <w:right w:val="single" w:sz="8" w:color="EEEEEE"/>
            </w:tcBorders>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14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1200" w:type="dxa"/>
            <w:vAlign w:val="bottom"/>
          </w:tcPr>
          <w:p>
            <w:pPr>
              <w:spacing w:after="0"/>
              <w:rPr>
                <w:sz w:val="15"/>
                <w:szCs w:val="15"/>
                <w:color w:val="auto"/>
              </w:rPr>
            </w:pPr>
          </w:p>
        </w:tc>
        <w:tc>
          <w:tcPr>
            <w:tcW w:w="1300" w:type="dxa"/>
            <w:vAlign w:val="bottom"/>
            <w:gridSpan w:val="5"/>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Item 15.</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40" w:type="dxa"/>
            <w:vAlign w:val="bottom"/>
            <w:gridSpan w:val="26"/>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Exhibits, Financial Statement Schedules</w:t>
              </w:r>
            </w:hyperlink>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112</w:t>
            </w:r>
          </w:p>
        </w:tc>
        <w:tc>
          <w:tcPr>
            <w:tcW w:w="1140" w:type="dxa"/>
            <w:vAlign w:val="bottom"/>
          </w:tcPr>
          <w:p>
            <w:pPr>
              <w:spacing w:after="0"/>
              <w:rPr>
                <w:sz w:val="15"/>
                <w:szCs w:val="15"/>
                <w:color w:val="auto"/>
              </w:rPr>
            </w:pPr>
          </w:p>
        </w:tc>
      </w:tr>
      <w:tr>
        <w:trPr>
          <w:trHeight w:val="247"/>
        </w:trPr>
        <w:tc>
          <w:tcPr>
            <w:tcW w:w="1200" w:type="dxa"/>
            <w:vAlign w:val="bottom"/>
            <w:tcBorders>
              <w:bottom w:val="single" w:sz="8" w:color="808080"/>
            </w:tcBorders>
          </w:tcPr>
          <w:p>
            <w:pPr>
              <w:spacing w:after="0"/>
              <w:rPr>
                <w:sz w:val="21"/>
                <w:szCs w:val="21"/>
                <w:color w:val="auto"/>
              </w:rPr>
            </w:pPr>
          </w:p>
        </w:tc>
        <w:tc>
          <w:tcPr>
            <w:tcW w:w="50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2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56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28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34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56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14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 xml:space="preserve">The financial statements in this report represent the consolidation of Waste Management, Inc., a Delaware corporation, its majority-owned subsidiaries and entities required to be consolidated pursuant to the Financial Accounting Standards Board’s (“FASB”) Interpretation No. 46, </w:t>
      </w:r>
      <w:r>
        <w:rPr>
          <w:rFonts w:ascii="Arial" w:cs="Arial" w:eastAsia="Arial" w:hAnsi="Arial"/>
          <w:sz w:val="18"/>
          <w:szCs w:val="18"/>
          <w:i w:val="1"/>
          <w:iCs w:val="1"/>
          <w:color w:val="auto"/>
        </w:rPr>
        <w:t>Consolidation of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Entities </w:t>
      </w:r>
      <w:r>
        <w:rPr>
          <w:rFonts w:ascii="Arial" w:cs="Arial" w:eastAsia="Arial" w:hAnsi="Arial"/>
          <w:sz w:val="18"/>
          <w:szCs w:val="18"/>
          <w:color w:val="auto"/>
        </w:rPr>
        <w:t>(“FIN 46”). Waste Management, Inc. is a holding company that conducts all of its operations through its subsidiaries. The terms “the Company,” “we,”</w:t>
      </w:r>
      <w:r>
        <w:rPr>
          <w:rFonts w:ascii="Arial" w:cs="Arial" w:eastAsia="Arial" w:hAnsi="Arial"/>
          <w:sz w:val="18"/>
          <w:szCs w:val="18"/>
          <w:i w:val="1"/>
          <w:iCs w:val="1"/>
          <w:color w:val="auto"/>
        </w:rPr>
        <w:t xml:space="preserve"> </w:t>
      </w:r>
      <w:r>
        <w:rPr>
          <w:rFonts w:ascii="Arial" w:cs="Arial" w:eastAsia="Arial" w:hAnsi="Arial"/>
          <w:sz w:val="18"/>
          <w:szCs w:val="18"/>
          <w:color w:val="auto"/>
        </w:rPr>
        <w:t>“us” or “our” refer to Waste Management, Inc. and its consolidated subsidiaries. When we use the term “WMI,” we are referring only to the parent holding company.</w:t>
      </w:r>
    </w:p>
    <w:p>
      <w:pPr>
        <w:spacing w:after="0" w:line="224"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 During 2004, none of our customers accounted for more than 1% of our operating revenue. We employed approximately 51,000 people as of December 31, 2004.</w:t>
      </w:r>
    </w:p>
    <w:p>
      <w:pPr>
        <w:spacing w:after="0" w:line="19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parent company was incorporated in Oklahoma in 1987 under the name “USA Waste Services, Inc.” and was reincorporated as a Delaware company in 1995. In a 1998 merger, Waste Management, Inc., an Oakbrook, Illinois based waste services company, became a 100% owned subsidiary and changed its name to Waste Management Holdings, Inc. At the same time, our parent company changed its name to Waste Management, Inc. 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8" w:lineRule="exact"/>
        <w:rPr>
          <w:sz w:val="20"/>
          <w:szCs w:val="20"/>
          <w:color w:val="auto"/>
        </w:rPr>
      </w:pPr>
    </w:p>
    <w:p>
      <w:pPr>
        <w:ind w:right="300" w:firstLine="324"/>
        <w:spacing w:after="0" w:line="323" w:lineRule="auto"/>
        <w:rPr>
          <w:sz w:val="20"/>
          <w:szCs w:val="20"/>
          <w:color w:val="auto"/>
        </w:rPr>
      </w:pPr>
      <w:r>
        <w:rPr>
          <w:rFonts w:ascii="Arial" w:cs="Arial" w:eastAsia="Arial" w:hAnsi="Arial"/>
          <w:sz w:val="15"/>
          <w:szCs w:val="15"/>
          <w:color w:val="auto"/>
        </w:rPr>
        <w:t>Under varying economic conditions, we must achieve operational excellence in order to be successful for our stockholders. Due to challenging economic conditions in recent years, our principal operational focus was on reducing our cost structure. Now that we have seen economic conditions improve, we are focusing our operations on a combination of growth, productivity improvements and continued cost cutting. Our plan for growth will be grounded in margin expansion from better pricing while continuing to cut costs, and we will apply a disciplined approach to growing our returns from new capital investments.</w:t>
      </w:r>
    </w:p>
    <w:p>
      <w:pPr>
        <w:spacing w:after="0" w:line="17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will pursue operational excellence by focusing on what we are doing well, particularly by focusing on the areas of safety, maintenance and productivity. We are committed to finding the best practices throughout our organization and standardizing those practices and processes throughout the Company. We recently announced a landfill pricing study at 30 of our landfills, where we will gather and analyze information to assist us in understanding the reactions to our price increases in various markets in the United States and Canada. Additionally, we are continuing to put in place information systems that will provide our people with the necessary resources to make better decisions. To determine which practices work, and which do not, we rely heavily on our people in the field. We are also giving local management more latitude to apply our best practices in their specific circumstances. Finally, we believe that we can achieve operational excellence by continuing to focus on our core business and related services. Our goal is to be best in class, and we have initiated several programs and efforts to ensure that we provide the highest level of service to our customers.</w:t>
      </w:r>
    </w:p>
    <w:p>
      <w:pPr>
        <w:spacing w:after="0" w:line="199"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We are sustained by our strategic assets. We have a large North American presence, including 286 landfills that we own or operate, which we intend to use to distinguish our Company from our competition. We plan to continue to do that through such programs as our National Accounts. Our national presence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 w:name="page6"/>
    <w:bookmarkEnd w:id="5"/>
    <w:p>
      <w:pPr>
        <w:spacing w:after="0" w:line="306" w:lineRule="auto"/>
        <w:rPr>
          <w:sz w:val="20"/>
          <w:szCs w:val="20"/>
          <w:color w:val="auto"/>
        </w:rPr>
      </w:pPr>
      <w:r>
        <w:rPr>
          <w:rFonts w:ascii="Arial" w:cs="Arial" w:eastAsia="Arial" w:hAnsi="Arial"/>
          <w:sz w:val="16"/>
          <w:szCs w:val="16"/>
          <w:color w:val="auto"/>
        </w:rPr>
        <w:t>our experience allow us to provide large, multi-location commercial and industrial customers with a single point of contact for nation-wide services at competitive pricing. Additionally, we intend to grow our In-Plant Services model, where we use our skills and resources to manage customers’ waste needs by having our employees work on-site to reduce waste, increase recycling and lower overall costs of disposal, and to provide innovative waste service solutions.</w:t>
      </w:r>
    </w:p>
    <w:p>
      <w:pPr>
        <w:spacing w:after="0" w:line="18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also intend to continue to use the cash that we generate to reinvest in our business through capital expenditures, using a disciplined process to make investments in those locations and lines of business that offer superior margins and return on capital. We will continue our tuck-in acquisition program, primarily seeking collection operations that overlay our existing route structure and are strategically located near our existing disposal sites. Permitted landfills, transfer stations or waste-to-energy facilities are also attractive acquisition candidates. At the same time, we are reviewing our under performing operations and assessing them for opportunities to improve their performance. We expect that there may be no easy solutions for certain of these under-performing operations, and we may elect to seek exit strategies, which may include exiting lines of businesses, not renewing or bidding on certain contracts, or offering certain assets for sale to others.</w:t>
      </w:r>
    </w:p>
    <w:p>
      <w:pPr>
        <w:spacing w:after="0" w:line="22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We have developed goals for our Company for 2005 and beyond that are designed to help us achieve operational excellence. These goals were developed around the concept of providing service to, fostering relationships with, or otherwise benefiting five key stakeholders:</w:t>
      </w:r>
    </w:p>
    <w:p>
      <w:pPr>
        <w:spacing w:after="0" w:line="186"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employees,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communities in which we work,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shareholders.</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By focusing on these key stakeholders, we believe we can achieve our goal of operational excellence. We have developed the following goals, objectives and initiatives around our stakeholders:</w:t>
      </w:r>
    </w:p>
    <w:p>
      <w:pPr>
        <w:spacing w:after="0" w:line="186" w:lineRule="exact"/>
        <w:rPr>
          <w:sz w:val="20"/>
          <w:szCs w:val="20"/>
          <w:color w:val="auto"/>
        </w:rPr>
      </w:pPr>
    </w:p>
    <w:p>
      <w:pPr>
        <w:ind w:left="460" w:right="40" w:hanging="101"/>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To be the waste solutions provider of choice for customers </w:t>
      </w:r>
      <w:r>
        <w:rPr>
          <w:rFonts w:ascii="Arial" w:cs="Arial" w:eastAsia="Arial" w:hAnsi="Arial"/>
          <w:sz w:val="18"/>
          <w:szCs w:val="18"/>
          <w:color w:val="auto"/>
        </w:rPr>
        <w:t>— We believe that we can differentiate ourselves from the competition by having superior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providing extraordinary customer service. Through our ServiceMachine, a program that we use to track and measure our customer service performance, we continue to focus on retaining strong business relationships and securing new business by continuing to improve the service we give our customers.</w:t>
      </w:r>
    </w:p>
    <w:p>
      <w:pPr>
        <w:spacing w:after="0" w:line="224"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To be a best place to work for employees </w:t>
      </w:r>
      <w:r>
        <w:rPr>
          <w:rFonts w:ascii="Arial" w:cs="Arial" w:eastAsia="Arial" w:hAnsi="Arial"/>
          <w:sz w:val="18"/>
          <w:szCs w:val="18"/>
          <w:color w:val="auto"/>
        </w:rPr>
        <w:t>— We recently established our Team 200, a group of our top employees that will work closely with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develop plans and strategies and address critical issues. We are also implementing integrated training strategies, including those focused on ethics, diversity and inclusion as well as safety. Finally, a main emphasis in 2005 is career development, and the implementation of strategies to recruit, hire and retain valued employees.</w:t>
      </w:r>
    </w:p>
    <w:p>
      <w:pPr>
        <w:spacing w:after="0" w:line="224" w:lineRule="exact"/>
        <w:rPr>
          <w:rFonts w:ascii="Arial" w:cs="Arial" w:eastAsia="Arial" w:hAnsi="Arial"/>
          <w:sz w:val="18"/>
          <w:szCs w:val="18"/>
          <w:color w:val="auto"/>
        </w:rPr>
      </w:pPr>
    </w:p>
    <w:p>
      <w:pPr>
        <w:ind w:left="460" w:hanging="101"/>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To be a leader in promoting environmental stewardship </w:t>
      </w:r>
      <w:r>
        <w:rPr>
          <w:rFonts w:ascii="Arial" w:cs="Arial" w:eastAsia="Arial" w:hAnsi="Arial"/>
          <w:sz w:val="16"/>
          <w:szCs w:val="16"/>
          <w:color w:val="auto"/>
        </w:rPr>
        <w:t>— We pride ourselves on our commitment to the environment. However, we believe there is always</w:t>
      </w:r>
      <w:r>
        <w:rPr>
          <w:rFonts w:ascii="Arial" w:cs="Arial" w:eastAsia="Arial" w:hAnsi="Arial"/>
          <w:sz w:val="16"/>
          <w:szCs w:val="16"/>
          <w:i w:val="1"/>
          <w:iCs w:val="1"/>
          <w:color w:val="auto"/>
        </w:rPr>
        <w:t xml:space="preserve"> </w:t>
      </w:r>
      <w:r>
        <w:rPr>
          <w:rFonts w:ascii="Arial" w:cs="Arial" w:eastAsia="Arial" w:hAnsi="Arial"/>
          <w:sz w:val="16"/>
          <w:szCs w:val="16"/>
          <w:color w:val="auto"/>
        </w:rPr>
        <w:t>room for improvement. In addition to our continued focus on conducting our operations in accordance with the highest standards, we intend to continue development of technologies for resource conservation and recovery, such as our bioreactor and landfill gas beneficial use.</w:t>
      </w:r>
    </w:p>
    <w:p>
      <w:pPr>
        <w:spacing w:after="0" w:line="187" w:lineRule="exact"/>
        <w:rPr>
          <w:rFonts w:ascii="Arial" w:cs="Arial" w:eastAsia="Arial" w:hAnsi="Arial"/>
          <w:sz w:val="16"/>
          <w:szCs w:val="16"/>
          <w:color w:val="auto"/>
        </w:rPr>
      </w:pPr>
    </w:p>
    <w:p>
      <w:pPr>
        <w:ind w:left="460" w:right="40" w:hanging="101"/>
        <w:spacing w:after="0" w:line="370"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To be a trusted and valued community partner </w:t>
      </w:r>
      <w:r>
        <w:rPr>
          <w:rFonts w:ascii="Arial" w:cs="Arial" w:eastAsia="Arial" w:hAnsi="Arial"/>
          <w:sz w:val="15"/>
          <w:szCs w:val="15"/>
          <w:color w:val="auto"/>
        </w:rPr>
        <w:t>— We embrace the opportunity to be a good corporate citizen and a partner with the communities in which</w:t>
      </w:r>
      <w:r>
        <w:rPr>
          <w:rFonts w:ascii="Arial" w:cs="Arial" w:eastAsia="Arial" w:hAnsi="Arial"/>
          <w:sz w:val="15"/>
          <w:szCs w:val="15"/>
          <w:i w:val="1"/>
          <w:iCs w:val="1"/>
          <w:color w:val="auto"/>
        </w:rPr>
        <w:t xml:space="preserve"> </w:t>
      </w:r>
      <w:r>
        <w:rPr>
          <w:rFonts w:ascii="Arial" w:cs="Arial" w:eastAsia="Arial" w:hAnsi="Arial"/>
          <w:sz w:val="15"/>
          <w:szCs w:val="15"/>
          <w:color w:val="auto"/>
        </w:rPr>
        <w:t>we operate. One of our focuses for the year 2005 is to increase our educational programs and to continue to participate in community events and initiatives.</w:t>
      </w:r>
    </w:p>
    <w:p>
      <w:pPr>
        <w:spacing w:after="0" w:line="143" w:lineRule="exact"/>
        <w:rPr>
          <w:rFonts w:ascii="Arial" w:cs="Arial" w:eastAsia="Arial" w:hAnsi="Arial"/>
          <w:sz w:val="15"/>
          <w:szCs w:val="15"/>
          <w:color w:val="auto"/>
        </w:rPr>
      </w:pPr>
    </w:p>
    <w:p>
      <w:pPr>
        <w:ind w:left="460" w:right="20" w:hanging="101"/>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To maximize shareholder value </w:t>
      </w:r>
      <w:r>
        <w:rPr>
          <w:rFonts w:ascii="Arial" w:cs="Arial" w:eastAsia="Arial" w:hAnsi="Arial"/>
          <w:sz w:val="18"/>
          <w:szCs w:val="18"/>
          <w:color w:val="auto"/>
        </w:rPr>
        <w:t>— We have also established programs to provide cash returns to our stockholders. In 2004,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that it had approved a new capital allocation program that provides for up to $1.2 billion for stock repurchases and dividend payments each year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ind w:left="460"/>
        <w:spacing w:after="0" w:line="294" w:lineRule="auto"/>
        <w:rPr>
          <w:sz w:val="20"/>
          <w:szCs w:val="20"/>
          <w:color w:val="auto"/>
        </w:rPr>
      </w:pPr>
      <w:r>
        <w:rPr>
          <w:rFonts w:ascii="Arial" w:cs="Arial" w:eastAsia="Arial" w:hAnsi="Arial"/>
          <w:sz w:val="16"/>
          <w:szCs w:val="16"/>
          <w:color w:val="auto"/>
        </w:rPr>
        <w:t>2005 through 2007. Additionally, the Board of Directors announced that it expects dividends to be $0.20 per share per quarter beginning in 2005. All future dividend declarations are at the discretion of the Board of Directors, and future repurchases of common stock are to be made at the discretion of management. Future dividend declarations and share repurchases depend on various factors, including our net earnings, financial condition, cash required for future prospects and other relevant factors. On January 28, 2005, the Board declared our first quarterly dividend under the program of $0.20 per share, which will be paid on March 24, 2005 to stockholders of record as of March 1, 2005.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We manage and evaluate our operations through seven operating Groups, five of which are organized by geographic area and the other two of which are organized by function. The geographic Groups include our Eastern, Midwest, Southern, Western and Canadian Groups, and our two functional Groups are the Recycling and Wheelabrator Groups. These seven operating Groups represent our reportable segments.</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These reportable segments, when combined with certain other operations not managed through any of the seven Groups, comprise our North American Solid Waste, or “NASW,” operations. NASW, our core business, provides integrated waste management services consisting of collection, disposal (solid and hazardous waste landfills), transfer, waste-to-energy facilities and independent power production plants that are managed by Wheelabrator, recycling and other services to commercial, industrial, municipal and residential customers throughout the United States, Puerto Rico and Canada. The operations not managed through our seven Groups, which include third-party sub-contracted services managed by our national accounts organization, methane gas recovery, rentals and other miscellaneous services, are presented in this report as “Other NASW.”</w:t>
      </w:r>
    </w:p>
    <w:p>
      <w:pPr>
        <w:spacing w:after="0" w:line="201"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 xml:space="preserve">The table below shows the total revenues (in millions) contributed annually by each of our reportable segments in the three-year period ended December 31, 2004. As discussed in Note 2 to the consolidated financial statements, the 2003 and 2002 information has been presented in conformity with our current year presentation. More information about our results of operations by reportable segment is included in Note 20 to the consolidated financial statements and in the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included in this report.</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Eastern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2,601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Southern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2,560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NASW</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(2,404)</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1"/>
              </w:rPr>
              <w:t>(2,263)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(2,080)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Total NASW</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11,648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11,203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Non-NASW (Divested Operations)</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Net 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11,648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11,211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NASW</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services provided by our NASW segments include collection, landfill (solid and hazardous waste landfills), transfer, Wheelabrator (waste-to-energy facilities and independent power production plants),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 w:name="page8"/>
    <w:bookmarkEnd w:id="7"/>
    <w:p>
      <w:pPr>
        <w:ind w:right="460"/>
        <w:spacing w:after="0" w:line="268" w:lineRule="auto"/>
        <w:rPr>
          <w:sz w:val="20"/>
          <w:szCs w:val="20"/>
          <w:color w:val="auto"/>
        </w:rPr>
      </w:pPr>
      <w:r>
        <w:rPr>
          <w:rFonts w:ascii="Arial" w:cs="Arial" w:eastAsia="Arial" w:hAnsi="Arial"/>
          <w:sz w:val="18"/>
          <w:szCs w:val="18"/>
          <w:color w:val="auto"/>
        </w:rPr>
        <w:t>recycling, and other services, as described below. The following table shows revenues (in millions) contributed by these services for each of the three years indicated:</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8,318</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7,782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7,588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1,582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Intercompany</w:t>
            </w:r>
          </w:p>
        </w:tc>
        <w:tc>
          <w:tcPr>
            <w:tcW w:w="3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(2,263)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(2,080)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NASW</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11,648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11,203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i w:val="1"/>
          <w:iCs w:val="1"/>
          <w:color w:val="auto"/>
        </w:rPr>
        <w:t xml:space="preserve">Collection. </w:t>
      </w:r>
      <w:r>
        <w:rPr>
          <w:rFonts w:ascii="Arial" w:cs="Arial" w:eastAsia="Arial" w:hAnsi="Arial"/>
          <w:sz w:val="16"/>
          <w:szCs w:val="16"/>
          <w:color w:val="auto"/>
        </w:rPr>
        <w:t>Our commitment to customers begins with a vast waste collection network. Collection involves picking up and transporting waste from where it</w:t>
      </w:r>
      <w:r>
        <w:rPr>
          <w:rFonts w:ascii="Arial" w:cs="Arial" w:eastAsia="Arial" w:hAnsi="Arial"/>
          <w:sz w:val="16"/>
          <w:szCs w:val="16"/>
          <w:i w:val="1"/>
          <w:iCs w:val="1"/>
          <w:color w:val="auto"/>
        </w:rPr>
        <w:t xml:space="preserve"> </w:t>
      </w:r>
      <w:r>
        <w:rPr>
          <w:rFonts w:ascii="Arial" w:cs="Arial" w:eastAsia="Arial" w:hAnsi="Arial"/>
          <w:sz w:val="16"/>
          <w:szCs w:val="16"/>
          <w:color w:val="auto"/>
        </w:rPr>
        <w:t>was generated to a transfer station or disposal site. We generally provide collection services under two types of arrangements:</w:t>
      </w:r>
    </w:p>
    <w:p>
      <w:pPr>
        <w:spacing w:after="0" w:line="139" w:lineRule="exact"/>
        <w:rPr>
          <w:sz w:val="20"/>
          <w:szCs w:val="20"/>
          <w:color w:val="auto"/>
        </w:rPr>
      </w:pPr>
    </w:p>
    <w:p>
      <w:pPr>
        <w:ind w:left="460" w:right="40" w:hanging="101"/>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typically we have a one to three-year service agreement. The fees under the agreements are influenced by factors such as collection frequency, type of collection equipment furnished by us, type and volume or weight of the waste collected, distance to the disposal facility, labor costs, cost of disposal and general market factors. As part of the service, we provide steel containers to most of our customers to store their solid waste between pick-up dates. Containers vary in size and type according to the needs of our customers or restrictions of their communities and are designed so that they can be lifted mechanically and either emptied into a truck’s compaction hopper or directly into a disposal site. By using these containers, we can service most of our commercial and industrial customers with trucks operated by only one employee.</w:t>
      </w:r>
    </w:p>
    <w:p>
      <w:pPr>
        <w:spacing w:after="0" w:line="201" w:lineRule="exact"/>
        <w:rPr>
          <w:rFonts w:ascii="Arial" w:cs="Arial" w:eastAsia="Arial" w:hAnsi="Arial"/>
          <w:sz w:val="16"/>
          <w:szCs w:val="16"/>
          <w:color w:val="auto"/>
        </w:rPr>
      </w:pPr>
    </w:p>
    <w:p>
      <w:pPr>
        <w:ind w:left="460" w:right="20" w:hanging="101"/>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most residential collection services, we have a contract with, or a franchise granted by, a municipality or regional authority that gives us the exclusive right to service all or a portion of the homes in an area. These contracts or franchises are typically for periods of one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and we have the largest network of landfills in North America. Solid waste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landfills are built and operated on land with geological and hydrological properties that limit the possibility of water pollution, and are operated under prescribed procedures. A landfill must be maintained to meet federal, state or provincial and local regulations. The operation and closure of a solid waste landfill includes excavation, construction of liners, continuous spreading and compacting of waste, covering of waste with earth or other inert material and constructing final capping of the landfill. These operations are carefully planned to maintain sanitary conditions, to maximize the use of the airspace and to prepare the site so it can ultimately be used for other purposes.</w:t>
      </w:r>
    </w:p>
    <w:p>
      <w:pPr>
        <w:spacing w:after="0" w:line="225" w:lineRule="exact"/>
        <w:rPr>
          <w:sz w:val="20"/>
          <w:szCs w:val="20"/>
          <w:color w:val="auto"/>
        </w:rPr>
      </w:pPr>
    </w:p>
    <w:p>
      <w:pPr>
        <w:ind w:right="320" w:firstLine="324"/>
        <w:spacing w:after="0" w:line="298" w:lineRule="auto"/>
        <w:rPr>
          <w:sz w:val="20"/>
          <w:szCs w:val="20"/>
          <w:color w:val="auto"/>
        </w:rPr>
      </w:pPr>
      <w:r>
        <w:rPr>
          <w:rFonts w:ascii="Arial" w:cs="Arial" w:eastAsia="Arial" w:hAnsi="Arial"/>
          <w:sz w:val="16"/>
          <w:szCs w:val="16"/>
          <w:color w:val="auto"/>
        </w:rPr>
        <w:t>All solid waste management companies must have access to a disposal facility, such as a solid waste landfill. We believe it is usually preferable for our collection operations to use disposal facilities that we own or operate, a practice we refer to as internalization, rather than using third 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194"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We also operate secure hazardous waste landfills in the United States. Under federal environmental laws, the federal government (or states with delegated authority) must permit all hazardous waste landfills. All of our hazardous waste landfills have obtained the required permits, although some can accept only certain types of hazardous waste. These landfills must also comply with specialized operating standards. Only hazardous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8" w:name="page9"/>
    <w:bookmarkEnd w:id="8"/>
    <w:p>
      <w:pPr>
        <w:ind w:right="160"/>
        <w:spacing w:after="0" w:line="294" w:lineRule="auto"/>
        <w:rPr>
          <w:sz w:val="20"/>
          <w:szCs w:val="20"/>
          <w:color w:val="auto"/>
        </w:rPr>
      </w:pPr>
      <w:r>
        <w:rPr>
          <w:rFonts w:ascii="Arial" w:cs="Arial" w:eastAsia="Arial" w:hAnsi="Arial"/>
          <w:sz w:val="16"/>
          <w:szCs w:val="16"/>
          <w:color w:val="auto"/>
        </w:rPr>
        <w:t>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wastes into inert materials that are no longer hazardous. Our hazardous waste landfills are sited, constructed and operated in a manner designed to provide long-term containment of waste. We also operate a hazardous waste facility at which we isolate treated hazardous wastes in liquid form by injection into deep wells that have been drilled in rock formations far below the base of fresh water to a point that is separated by other substantial geological confining layers.</w:t>
      </w:r>
    </w:p>
    <w:p>
      <w:pPr>
        <w:spacing w:after="0" w:line="19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owned or operated 281 solid waste and five hazardous waste landfills at December 31, 2004 compared with 284 solid waste landfills and five hazardous waste landfills at December 31, 2003. The landfills that we operate but do not own are generally operated under a lease agreement or an operating contract. The differences between the two arrangements usually relate to the owner of the landfill operating permit. Generally, with a lease agreement, the permit is in our name and we operate the landfill for its entire life, making payments to the lessor, who is generally a private landowner, based either on a percentage of revenue or a rate per ton of waste received. We are generally responsible for closure and post-closure requirements under our lease agreements. For operating contracts, the owner of the property, generally a municipality, usually owns the permit and we operate the landfill for a contracted term, which may be the life of the landfill. The property owner is generally responsible for closure and post-closure obligations under our operating contracts.</w:t>
      </w:r>
    </w:p>
    <w:p>
      <w:pPr>
        <w:spacing w:after="0" w:line="19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Based on remaining permitted capacity as of December 31, 2004 and projected annual disposal volumes, the weighted average remaining landfill life for all of our owned or operated landfills is approximately 27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currently seeking expansion permits at 73 of our landfills for which we consider expansions to be likely. Although no assurances can be made that all future expansions will be permitted or permitted as designed, the weighted average remaining landfill life for all owned or operated landfills is approximately 36 years when considering remaining permitted capacity, the expansion capacity we consider likely and projected annual disposal volume. At December 31, 2004 and 2003, the expected remaining capacity in cubic yards and tonnage of waste that can be accepted at our owned or operated landfills is shown below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December 31, 2004</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9"/>
              </w:rPr>
              <w:t>December 31, 2003</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95"/>
        </w:trPr>
        <w:tc>
          <w:tcPr>
            <w:tcW w:w="33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r>
        <w:trPr>
          <w:trHeight w:val="237"/>
        </w:trPr>
        <w:tc>
          <w:tcPr>
            <w:tcW w:w="3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Probable</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Probable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49"/>
        </w:trPr>
        <w:tc>
          <w:tcPr>
            <w:tcW w:w="33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Permitted</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Expansion</w:t>
            </w: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Permitted</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Expansion</w:t>
            </w:r>
          </w:p>
        </w:tc>
        <w:tc>
          <w:tcPr>
            <w:tcW w:w="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74"/>
        </w:trPr>
        <w:tc>
          <w:tcPr>
            <w:tcW w:w="3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Capacity</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r>
      <w:tr>
        <w:trPr>
          <w:trHeight w:val="95"/>
        </w:trPr>
        <w:tc>
          <w:tcPr>
            <w:tcW w:w="33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r>
        <w:trPr>
          <w:trHeight w:val="309"/>
        </w:trPr>
        <w:tc>
          <w:tcPr>
            <w:tcW w:w="3380" w:type="dxa"/>
            <w:vAlign w:val="bottom"/>
          </w:tcPr>
          <w:p>
            <w:pPr>
              <w:spacing w:after="0"/>
              <w:rPr>
                <w:sz w:val="20"/>
                <w:szCs w:val="20"/>
                <w:color w:val="auto"/>
              </w:rPr>
            </w:pPr>
            <w:r>
              <w:rPr>
                <w:rFonts w:ascii="Arial" w:cs="Arial" w:eastAsia="Arial" w:hAnsi="Arial"/>
                <w:sz w:val="18"/>
                <w:szCs w:val="18"/>
                <w:color w:val="auto"/>
              </w:rPr>
              <w:t>Remaining cubic yards</w:t>
            </w: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4,066</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1,352</w:t>
            </w:r>
          </w:p>
        </w:tc>
        <w:tc>
          <w:tcPr>
            <w:tcW w:w="12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5,418</w:t>
            </w:r>
          </w:p>
        </w:tc>
        <w:tc>
          <w:tcPr>
            <w:tcW w:w="15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3,928</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1,535</w:t>
            </w:r>
          </w:p>
        </w:tc>
        <w:tc>
          <w:tcPr>
            <w:tcW w:w="13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5,463</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Remaining tonnage</w:t>
            </w: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3,515</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1,192</w:t>
            </w:r>
          </w:p>
        </w:tc>
        <w:tc>
          <w:tcPr>
            <w:tcW w:w="12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4,707</w:t>
            </w:r>
          </w:p>
        </w:tc>
        <w:tc>
          <w:tcPr>
            <w:tcW w:w="15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3,368</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1,297</w:t>
            </w:r>
          </w:p>
        </w:tc>
        <w:tc>
          <w:tcPr>
            <w:tcW w:w="13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4,665</w:t>
            </w:r>
          </w:p>
        </w:tc>
      </w:tr>
      <w:tr>
        <w:trPr>
          <w:trHeight w:val="432"/>
        </w:trPr>
        <w:tc>
          <w:tcPr>
            <w:tcW w:w="3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33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5"/>
          <w:szCs w:val="15"/>
          <w:color w:val="auto"/>
        </w:rPr>
        <w:t>The following table reflects landfill capacity and airspace changes, as measured in tons of waste, for landfills owned or operated by us during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and 2003 (in millions):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December 31, 2004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December 31, 2003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Probable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Probable</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Permitted</w:t>
            </w:r>
          </w:p>
        </w:tc>
        <w:tc>
          <w:tcPr>
            <w:tcW w:w="2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Expansion</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Permitted</w:t>
            </w:r>
          </w:p>
        </w:tc>
        <w:tc>
          <w:tcPr>
            <w:tcW w:w="2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Expansion</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Capacity</w:t>
            </w:r>
          </w:p>
        </w:tc>
        <w:tc>
          <w:tcPr>
            <w:tcW w:w="28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8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Capacity</w:t>
            </w:r>
          </w:p>
        </w:tc>
        <w:tc>
          <w:tcPr>
            <w:tcW w:w="260" w:type="dxa"/>
            <w:vAlign w:val="bottom"/>
          </w:tcPr>
          <w:p>
            <w:pPr>
              <w:spacing w:after="0"/>
              <w:rPr>
                <w:sz w:val="15"/>
                <w:szCs w:val="15"/>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Capacity</w:t>
            </w:r>
          </w:p>
        </w:tc>
        <w:tc>
          <w:tcPr>
            <w:tcW w:w="26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6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3,368</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1,297</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4,665</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2,857</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1,385</w:t>
            </w:r>
          </w:p>
        </w:tc>
        <w:tc>
          <w:tcPr>
            <w:tcW w:w="3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4,242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Acquisitions, divestitures, newly permitted</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tcPr>
          <w:p>
            <w:pPr>
              <w:ind w:left="120"/>
              <w:spacing w:after="0"/>
              <w:rPr>
                <w:sz w:val="20"/>
                <w:szCs w:val="20"/>
                <w:color w:val="auto"/>
              </w:rPr>
            </w:pPr>
            <w:r>
              <w:rPr>
                <w:rFonts w:ascii="Arial" w:cs="Arial" w:eastAsia="Arial" w:hAnsi="Arial"/>
                <w:sz w:val="18"/>
                <w:szCs w:val="18"/>
                <w:color w:val="auto"/>
              </w:rPr>
              <w:t>landfills and closures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Changes in expansions pursued</w:t>
            </w:r>
          </w:p>
        </w:tc>
        <w:tc>
          <w:tcPr>
            <w:tcW w:w="4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Expansion permits granted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8"/>
                <w:szCs w:val="18"/>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Airspace consumed</w:t>
            </w:r>
          </w:p>
        </w:tc>
        <w:tc>
          <w:tcPr>
            <w:tcW w:w="12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(122)</w:t>
            </w:r>
          </w:p>
        </w:tc>
        <w:tc>
          <w:tcPr>
            <w:tcW w:w="14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Changes in engineering estimates(a)</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end of year</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3,515</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1,192</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4,707</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3,368</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1,297</w:t>
            </w:r>
          </w:p>
        </w:tc>
        <w:tc>
          <w:tcPr>
            <w:tcW w:w="3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4,665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right="60" w:hanging="232"/>
        <w:spacing w:after="0" w:line="291"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engineering estimates result in either changes to the available remaining landfill capacity in terms of volume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historical data and improvements in landfill operational procedures.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 Additionally, future airspace utilization may be affected by changes in the types of waste materials received at our landfills.</w:t>
      </w:r>
    </w:p>
    <w:p>
      <w:pPr>
        <w:spacing w:after="0" w:line="201" w:lineRule="exact"/>
        <w:rPr>
          <w:sz w:val="20"/>
          <w:szCs w:val="20"/>
          <w:color w:val="auto"/>
        </w:rPr>
      </w:pPr>
    </w:p>
    <w:p>
      <w:pPr>
        <w:ind w:right="360" w:firstLine="270"/>
        <w:spacing w:after="0" w:line="268" w:lineRule="auto"/>
        <w:rPr>
          <w:sz w:val="20"/>
          <w:szCs w:val="20"/>
          <w:color w:val="auto"/>
        </w:rPr>
      </w:pPr>
      <w:r>
        <w:rPr>
          <w:rFonts w:ascii="Arial" w:cs="Arial" w:eastAsia="Arial" w:hAnsi="Arial"/>
          <w:sz w:val="18"/>
          <w:szCs w:val="18"/>
          <w:color w:val="auto"/>
        </w:rPr>
        <w:t>The number of landfills we own or operate segregated by their estimated operating lives (in years), based on remaining permitted and probable expansion capacity and projected annual disposal volume as of December 31, 2004, were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rPr>
              <w:t>0 to 5</w:t>
            </w:r>
          </w:p>
        </w:tc>
        <w:tc>
          <w:tcPr>
            <w:tcW w:w="340" w:type="dxa"/>
            <w:vAlign w:val="bottom"/>
          </w:tcPr>
          <w:p>
            <w:pPr>
              <w:spacing w:after="0"/>
              <w:rPr>
                <w:sz w:val="15"/>
                <w:szCs w:val="15"/>
                <w:color w:val="auto"/>
              </w:rPr>
            </w:pPr>
          </w:p>
        </w:tc>
        <w:tc>
          <w:tcPr>
            <w:tcW w:w="760" w:type="dxa"/>
            <w:vAlign w:val="bottom"/>
            <w:gridSpan w:val="3"/>
          </w:tcPr>
          <w:p>
            <w:pPr>
              <w:ind w:left="180"/>
              <w:spacing w:after="0"/>
              <w:rPr>
                <w:sz w:val="20"/>
                <w:szCs w:val="20"/>
                <w:color w:val="auto"/>
              </w:rPr>
            </w:pPr>
            <w:r>
              <w:rPr>
                <w:rFonts w:ascii="Arial" w:cs="Arial" w:eastAsia="Arial" w:hAnsi="Arial"/>
                <w:sz w:val="14"/>
                <w:szCs w:val="14"/>
                <w:b w:val="1"/>
                <w:bCs w:val="1"/>
                <w:color w:val="auto"/>
              </w:rPr>
              <w:t>6 to 10</w:t>
            </w:r>
          </w:p>
        </w:tc>
        <w:tc>
          <w:tcPr>
            <w:tcW w:w="340" w:type="dxa"/>
            <w:vAlign w:val="bottom"/>
          </w:tcPr>
          <w:p>
            <w:pPr>
              <w:spacing w:after="0"/>
              <w:rPr>
                <w:sz w:val="15"/>
                <w:szCs w:val="15"/>
                <w:color w:val="auto"/>
              </w:rPr>
            </w:pPr>
          </w:p>
        </w:tc>
        <w:tc>
          <w:tcPr>
            <w:tcW w:w="880" w:type="dxa"/>
            <w:vAlign w:val="bottom"/>
            <w:gridSpan w:val="3"/>
          </w:tcPr>
          <w:p>
            <w:pPr>
              <w:ind w:left="220"/>
              <w:spacing w:after="0"/>
              <w:rPr>
                <w:sz w:val="20"/>
                <w:szCs w:val="20"/>
                <w:color w:val="auto"/>
              </w:rPr>
            </w:pPr>
            <w:r>
              <w:rPr>
                <w:rFonts w:ascii="Arial" w:cs="Arial" w:eastAsia="Arial" w:hAnsi="Arial"/>
                <w:sz w:val="14"/>
                <w:szCs w:val="14"/>
                <w:b w:val="1"/>
                <w:bCs w:val="1"/>
                <w:color w:val="auto"/>
              </w:rPr>
              <w:t>11 to 20</w:t>
            </w:r>
          </w:p>
        </w:tc>
        <w:tc>
          <w:tcPr>
            <w:tcW w:w="340" w:type="dxa"/>
            <w:vAlign w:val="bottom"/>
          </w:tcPr>
          <w:p>
            <w:pPr>
              <w:spacing w:after="0"/>
              <w:rPr>
                <w:sz w:val="15"/>
                <w:szCs w:val="15"/>
                <w:color w:val="auto"/>
              </w:rPr>
            </w:pPr>
          </w:p>
        </w:tc>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21 to 40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Owned/operated through lease</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contracts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Total landfills</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volume of waste, as measured in tons, that we received in 2004 and 2003 at all of our landfills is shown below (tons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7"/>
              </w:rPr>
              <w:t>Tons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 of</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Tons</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Sites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Tons</w:t>
            </w:r>
          </w:p>
        </w:tc>
        <w:tc>
          <w:tcPr>
            <w:tcW w:w="26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Per Day</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Sites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Tons</w:t>
            </w:r>
          </w:p>
        </w:tc>
        <w:tc>
          <w:tcPr>
            <w:tcW w:w="280" w:type="dxa"/>
            <w:vAlign w:val="bottom"/>
          </w:tcPr>
          <w:p>
            <w:pPr>
              <w:spacing w:after="0"/>
              <w:rPr>
                <w:sz w:val="15"/>
                <w:szCs w:val="15"/>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Per Day</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Solid waste landfills</w:t>
            </w: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88"/>
              </w:rPr>
              <w:t>281(a),(b)</w:t>
            </w: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121,493</w:t>
            </w:r>
          </w:p>
        </w:tc>
        <w:tc>
          <w:tcPr>
            <w:tcW w:w="28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115,706</w:t>
            </w:r>
          </w:p>
        </w:tc>
        <w:tc>
          <w:tcPr>
            <w:tcW w:w="2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1,722</w:t>
            </w:r>
          </w:p>
        </w:tc>
        <w:tc>
          <w:tcPr>
            <w:tcW w:w="2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1,771</w:t>
            </w:r>
          </w:p>
        </w:tc>
        <w:tc>
          <w:tcPr>
            <w:tcW w:w="2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8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286</w:t>
            </w:r>
          </w:p>
        </w:tc>
        <w:tc>
          <w:tcPr>
            <w:tcW w:w="4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123,215</w:t>
            </w:r>
          </w:p>
        </w:tc>
        <w:tc>
          <w:tcPr>
            <w:tcW w:w="28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117,477</w:t>
            </w:r>
          </w:p>
        </w:tc>
        <w:tc>
          <w:tcPr>
            <w:tcW w:w="2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60" w:type="dxa"/>
            <w:vAlign w:val="bottom"/>
            <w:gridSpan w:val="3"/>
            <w:vMerge w:val="restart"/>
          </w:tcPr>
          <w:p>
            <w:pPr>
              <w:ind w:left="580"/>
              <w:spacing w:after="0"/>
              <w:rPr>
                <w:sz w:val="20"/>
                <w:szCs w:val="20"/>
                <w:color w:val="auto"/>
              </w:rPr>
            </w:pPr>
            <w:r>
              <w:rPr>
                <w:rFonts w:ascii="Arial" w:cs="Arial" w:eastAsia="Arial" w:hAnsi="Arial"/>
                <w:sz w:val="18"/>
                <w:szCs w:val="18"/>
                <w:color w:val="auto"/>
                <w:w w:val="96"/>
              </w:rPr>
              <w:t>Solid waste landfills closed during related year</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9"/>
                <w:szCs w:val="9"/>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9"/>
                <w:szCs w:val="9"/>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160" w:type="dxa"/>
            <w:vAlign w:val="bottom"/>
            <w:gridSpan w:val="3"/>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8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8"/>
              </w:rPr>
              <w:t>124,491(c)</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117,668(c)</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closed nine landfills in 2004 and added six permitted landfills principally through acquisitions and new contracts.</w:t>
      </w:r>
    </w:p>
    <w:p>
      <w:pPr>
        <w:spacing w:after="0" w:line="252"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landfill in Ontario, Canada that was held-for-sale at December 31, 2004 and divested in January 2005. Refer to Note 24 to the consolidated financial statements for information regarding the divestiture.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012" w:gutter="0" w:footer="0" w:header="0"/>
        </w:sectPr>
      </w:pPr>
    </w:p>
    <w:bookmarkStart w:id="10" w:name="page11"/>
    <w:bookmarkEnd w:id="10"/>
    <w:p>
      <w:pPr>
        <w:ind w:left="460" w:right="4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amounts include approximately 2.2 million tons at December 31, 2004 and 1.1 million tons at December 31, 2003 that were received at our landfills but were used for beneficial purposes and were generally redirected from the permitted airspace to other areas of the landfill. Waste types that are frequently identified for beneficial use include green waste for composting and clean dirt for on-site construction projects.</w:t>
      </w:r>
    </w:p>
    <w:p>
      <w:pPr>
        <w:spacing w:after="0" w:line="188"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When a landfill we own or operate (i) reaches its permitted waste capacity; (ii) is permanently capped and (iii) receives certification of closure from the applicable regulatory agency, management of the site, including any remediation activities, is generally transferred to our closed sites management group. At December 31, 2004, we managed 174 closed landfills.</w:t>
      </w:r>
    </w:p>
    <w:p>
      <w:pPr>
        <w:spacing w:after="0" w:line="2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At December 31, 2004, we owned or operated 381 transfer stations in North America. We deposit waste at these stations, as do other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waste haulers. At these stations, the solid waste is consolidated and compacted to reduce the volume and increase the density of the waste. The waste is then transported by transfer trucks or by rail to disposal sites.</w:t>
      </w:r>
    </w:p>
    <w:p>
      <w:pPr>
        <w:spacing w:after="0" w:line="221"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Access to transfer stations is often critical to third party haulers who do not operate their own disposal facilities in close proximity to their collection operations. Fees charged to third parties at transfer stations are usually based on the type and volume or weight of the waste transferred, the distance to the disposal site and general market factors.</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utilization of our transfer stations by our own collection operations improves internalization by allowing us to retain fees that we would otherwise pay to third parties for the disposal of the waste we collect. It allows us to manage costs associated with waste disposal because (i) transfer trucks, railcars or rail containers have larger capacities than collection trucks, allowing us to deliver more waste to the disposal facility in each trip; (ii) waste is compacted at transfer stations, which increases the efficiency of our collection personnel and equipment because they are able to focus on collection activities rather than making trips to disposal sites; and (iii) we can maintain the volume by managing the transfer of the waste to one of our disposal sites.</w:t>
      </w:r>
    </w:p>
    <w:p>
      <w:pPr>
        <w:spacing w:after="0" w:line="19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transfer stations that we operate but do not own are generally operated through lease agreements under which we lease property from third parties. There are some instances where transfer stations are operated under contract, generally for municipalities. In most cases we own the permits and will be responsible for all of the regulatory requirements in accordance with the lease and operating agreements terms.</w:t>
      </w:r>
    </w:p>
    <w:p>
      <w:pPr>
        <w:spacing w:after="0" w:line="188" w:lineRule="exact"/>
        <w:rPr>
          <w:sz w:val="20"/>
          <w:szCs w:val="20"/>
          <w:color w:val="auto"/>
        </w:rPr>
      </w:pPr>
    </w:p>
    <w:p>
      <w:pPr>
        <w:jc w:val="both"/>
        <w:ind w:right="180" w:firstLine="324"/>
        <w:spacing w:after="0" w:line="294" w:lineRule="auto"/>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Through Wheelabrator, we own or operate 17 waste-to-energy facilities that are located in 11 states in the Northeast, Florida, California and</w:t>
      </w:r>
      <w:r>
        <w:rPr>
          <w:rFonts w:ascii="Arial" w:cs="Arial" w:eastAsia="Arial" w:hAnsi="Arial"/>
          <w:sz w:val="16"/>
          <w:szCs w:val="16"/>
          <w:i w:val="1"/>
          <w:iCs w:val="1"/>
          <w:color w:val="auto"/>
        </w:rPr>
        <w:t xml:space="preserve"> </w:t>
      </w:r>
      <w:r>
        <w:rPr>
          <w:rFonts w:ascii="Arial" w:cs="Arial" w:eastAsia="Arial" w:hAnsi="Arial"/>
          <w:sz w:val="16"/>
          <w:szCs w:val="16"/>
          <w:color w:val="auto"/>
        </w:rPr>
        <w:t>Washington. Our waste-to-energy facilities are capable of processing up to 24,200 tons of solid waste each day. In 2004, our waste-to-energy facilities received approximately 7.8 million total tons, or approximately 21,300 tons per day, compared to approximately 7.7 million total tons, or approximately 21,200 tons per day, in 2003. The solid waste is burned at high temperatures in specially designed boilers at these facilities, producing heat that is converted into high-pressure steam. We use that steam to generate electricity for sale to electric utilities under long-term contracts.</w:t>
      </w:r>
    </w:p>
    <w:p>
      <w:pPr>
        <w:spacing w:after="0" w:line="19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Our Wheelabrator operations also include six independent power production plants that convert various waste and conventional fuels into electricity and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 In addition to electricity production, the plants also produce steam, which is sold to industrial and commercial users.</w:t>
      </w:r>
    </w:p>
    <w:p>
      <w:pPr>
        <w:spacing w:after="0" w:line="197"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Fees at our waste-to-energy facilities and independent power production plants are influenced by the market rates for electricity and steam, type and volume of waste received and other general market factors.</w:t>
      </w:r>
    </w:p>
    <w:p>
      <w:pPr>
        <w:spacing w:after="0" w:line="21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 xml:space="preserve">Recycling. </w:t>
      </w:r>
      <w:r>
        <w:rPr>
          <w:rFonts w:ascii="Arial" w:cs="Arial" w:eastAsia="Arial" w:hAnsi="Arial"/>
          <w:sz w:val="18"/>
          <w:szCs w:val="18"/>
          <w:color w:val="auto"/>
        </w:rPr>
        <w:t>Our Recycling Group is comprised of Recycle America Alliance, L.L.C. (“RAA”). RAA was formed in January 2003 to improve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and future growth of recycling programs and includes certain recycling assets transferred from our geographic operating Groups as well as assets acquired from the Peltz Group, who maintained approximately nine percent of the equity interest in RAA as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5" w:right="279" w:bottom="1440" w:gutter="0" w:footer="0" w:header="0"/>
        </w:sectPr>
      </w:pPr>
    </w:p>
    <w:bookmarkStart w:id="11" w:name="page12"/>
    <w:bookmarkEnd w:id="11"/>
    <w:p>
      <w:pPr>
        <w:ind w:right="260"/>
        <w:spacing w:after="0" w:line="268" w:lineRule="auto"/>
        <w:rPr>
          <w:sz w:val="20"/>
          <w:szCs w:val="20"/>
          <w:color w:val="auto"/>
        </w:rPr>
      </w:pPr>
      <w:r>
        <w:rPr>
          <w:rFonts w:ascii="Arial" w:cs="Arial" w:eastAsia="Arial" w:hAnsi="Arial"/>
          <w:sz w:val="18"/>
          <w:szCs w:val="18"/>
          <w:color w:val="auto"/>
        </w:rPr>
        <w:t>December 31, 2004. In addition to our Recycling Group, our five geographic operating Groups provide certain recycling services that are embedded within the Groups’ other operations and therefore were not transferred to RAA.</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Recycling involves the separation of reusable materials from the waste stream for processing and resale or other disposition. Our recycling operations include the following:</w:t>
      </w:r>
    </w:p>
    <w:p>
      <w:pPr>
        <w:spacing w:after="0" w:line="213" w:lineRule="exact"/>
        <w:rPr>
          <w:sz w:val="20"/>
          <w:szCs w:val="20"/>
          <w:color w:val="auto"/>
        </w:rPr>
      </w:pPr>
    </w:p>
    <w:p>
      <w:pPr>
        <w:ind w:left="360" w:right="40" w:firstLine="324"/>
        <w:spacing w:after="0" w:line="255" w:lineRule="auto"/>
        <w:rPr>
          <w:sz w:val="20"/>
          <w:szCs w:val="20"/>
          <w:color w:val="auto"/>
        </w:rPr>
      </w:pPr>
      <w:r>
        <w:rPr>
          <w:rFonts w:ascii="Arial" w:cs="Arial" w:eastAsia="Arial" w:hAnsi="Arial"/>
          <w:sz w:val="18"/>
          <w:szCs w:val="18"/>
          <w:i w:val="1"/>
          <w:iCs w:val="1"/>
          <w:color w:val="auto"/>
        </w:rPr>
        <w:t xml:space="preserve">Collection and materials processing </w:t>
      </w:r>
      <w:r>
        <w:rPr>
          <w:rFonts w:ascii="Arial" w:cs="Arial" w:eastAsia="Arial" w:hAnsi="Arial"/>
          <w:sz w:val="18"/>
          <w:szCs w:val="18"/>
          <w:color w:val="auto"/>
        </w:rPr>
        <w:t>— We collect recyclable materials from residential, commercial and industrial customers and direct these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to a material recovery facility (“MRF”) for processing. We operate 106 MRFs where paper, glass, metals, plastics and compost are recovered for resale. We also operate 13 secondary processing facilities where materials received from MRFs can be further processed into raw products used in the manufacturing of consumer goods. Specifically, material processing services include data destruction, shredding, automated color sorting, composting, and construction and demolition processing.</w:t>
      </w:r>
    </w:p>
    <w:p>
      <w:pPr>
        <w:spacing w:after="0" w:line="251" w:lineRule="exact"/>
        <w:rPr>
          <w:sz w:val="20"/>
          <w:szCs w:val="20"/>
          <w:color w:val="auto"/>
        </w:rPr>
      </w:pPr>
    </w:p>
    <w:p>
      <w:pPr>
        <w:ind w:left="360" w:right="80" w:firstLine="324"/>
        <w:spacing w:after="0" w:line="259" w:lineRule="auto"/>
        <w:rPr>
          <w:sz w:val="20"/>
          <w:szCs w:val="20"/>
          <w:color w:val="auto"/>
        </w:rPr>
      </w:pPr>
      <w:r>
        <w:rPr>
          <w:rFonts w:ascii="Arial" w:cs="Arial" w:eastAsia="Arial" w:hAnsi="Arial"/>
          <w:sz w:val="18"/>
          <w:szCs w:val="18"/>
          <w:i w:val="1"/>
          <w:iCs w:val="1"/>
          <w:color w:val="auto"/>
        </w:rPr>
        <w:t xml:space="preserve">Glass recycling </w:t>
      </w:r>
      <w:r>
        <w:rPr>
          <w:rFonts w:ascii="Arial" w:cs="Arial" w:eastAsia="Arial" w:hAnsi="Arial"/>
          <w:sz w:val="18"/>
          <w:szCs w:val="18"/>
          <w:color w:val="auto"/>
        </w:rPr>
        <w:t>— Using state-of-the-art sorting and processing technology, we remove contaminants from color-separated glass to produce and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furnace-ready cullet (crushed and cleaned post-consumer glass used to make new glass products). Our innovative glass processing capabilities increase material recovery and overall product quality.</w:t>
      </w:r>
    </w:p>
    <w:p>
      <w:pPr>
        <w:spacing w:after="0" w:line="248" w:lineRule="exact"/>
        <w:rPr>
          <w:sz w:val="20"/>
          <w:szCs w:val="20"/>
          <w:color w:val="auto"/>
        </w:rPr>
      </w:pPr>
    </w:p>
    <w:p>
      <w:pPr>
        <w:ind w:left="360" w:right="240" w:firstLine="324"/>
        <w:spacing w:after="0" w:line="268" w:lineRule="auto"/>
        <w:rPr>
          <w:sz w:val="20"/>
          <w:szCs w:val="20"/>
          <w:color w:val="auto"/>
        </w:rPr>
      </w:pPr>
      <w:r>
        <w:rPr>
          <w:rFonts w:ascii="Arial" w:cs="Arial" w:eastAsia="Arial" w:hAnsi="Arial"/>
          <w:sz w:val="18"/>
          <w:szCs w:val="18"/>
          <w:i w:val="1"/>
          <w:iCs w:val="1"/>
          <w:color w:val="auto"/>
        </w:rPr>
        <w:t xml:space="preserve">Plastics and rubber materials recycling </w:t>
      </w:r>
      <w:r>
        <w:rPr>
          <w:rFonts w:ascii="Arial" w:cs="Arial" w:eastAsia="Arial" w:hAnsi="Arial"/>
          <w:sz w:val="18"/>
          <w:szCs w:val="18"/>
          <w:color w:val="auto"/>
        </w:rPr>
        <w:t>— Using state-of-the-art sorting and processing technology, we process, inventory and sell plastic and rubber</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making the recycling of such items more cost effective and convenient.</w:t>
      </w:r>
    </w:p>
    <w:p>
      <w:pPr>
        <w:spacing w:after="0" w:line="240" w:lineRule="exact"/>
        <w:rPr>
          <w:sz w:val="20"/>
          <w:szCs w:val="20"/>
          <w:color w:val="auto"/>
        </w:rPr>
      </w:pPr>
    </w:p>
    <w:p>
      <w:pPr>
        <w:jc w:val="both"/>
        <w:ind w:left="360" w:right="260" w:firstLine="324"/>
        <w:spacing w:after="0" w:line="370" w:lineRule="auto"/>
        <w:rPr>
          <w:sz w:val="20"/>
          <w:szCs w:val="20"/>
          <w:color w:val="auto"/>
        </w:rPr>
      </w:pPr>
      <w:r>
        <w:rPr>
          <w:rFonts w:ascii="Arial" w:cs="Arial" w:eastAsia="Arial" w:hAnsi="Arial"/>
          <w:sz w:val="15"/>
          <w:szCs w:val="15"/>
          <w:i w:val="1"/>
          <w:iCs w:val="1"/>
          <w:color w:val="auto"/>
        </w:rPr>
        <w:t xml:space="preserve">Electronics recycling services </w:t>
      </w:r>
      <w:r>
        <w:rPr>
          <w:rFonts w:ascii="Arial" w:cs="Arial" w:eastAsia="Arial" w:hAnsi="Arial"/>
          <w:sz w:val="15"/>
          <w:szCs w:val="15"/>
          <w:color w:val="auto"/>
        </w:rPr>
        <w:t>— We provide an innovative, customized approach to recycling discarded computers, communications equipment,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other electronic equipment. Services include the collection, sorting and disassembling of electronics in an effort to reuse or recycle all collected materials.</w:t>
      </w:r>
    </w:p>
    <w:p>
      <w:pPr>
        <w:spacing w:after="0" w:line="170" w:lineRule="exact"/>
        <w:rPr>
          <w:sz w:val="20"/>
          <w:szCs w:val="20"/>
          <w:color w:val="auto"/>
        </w:rPr>
      </w:pPr>
    </w:p>
    <w:p>
      <w:pPr>
        <w:jc w:val="both"/>
        <w:ind w:left="360" w:right="40" w:firstLine="324"/>
        <w:spacing w:after="0" w:line="259"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to customers world-wide. We manage the marketing of recyclable commodities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own facilities and for third parties by maintaining comprehensive service centers that continuously analyze market prices, logistics, market demands and product quality.</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Recycling fees are influenced by frequency of collection, type and volume or weight of the recyclable material, degree of processing required, the market value of the recovered material and other market factors.</w:t>
      </w:r>
    </w:p>
    <w:p>
      <w:pPr>
        <w:spacing w:after="0" w:line="213"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Our Recycling Group purchases recyclable materials processed in our MRFs from various sources, including third parties and other operating subsidiaries of WMI. The cost per ton of material purchased is based on market prices and the cost to transport the product to our customers. The price our Recycling Group pays for recyclable materials is often referred to as a “rebate” and is based upon the price we receive for sales of finished goods and local market conditions. As a result, higher commodity prices increase our revenues and increase the rebates we pay to our suppliers.</w:t>
      </w:r>
    </w:p>
    <w:p>
      <w:pPr>
        <w:spacing w:after="0" w:line="194"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i w:val="1"/>
          <w:iCs w:val="1"/>
          <w:color w:val="auto"/>
        </w:rPr>
        <w:t xml:space="preserve">Other NASW. </w:t>
      </w:r>
      <w:r>
        <w:rPr>
          <w:rFonts w:ascii="Arial" w:cs="Arial" w:eastAsia="Arial" w:hAnsi="Arial"/>
          <w:sz w:val="16"/>
          <w:szCs w:val="16"/>
          <w:color w:val="auto"/>
        </w:rPr>
        <w:t>We provide in-plant services, in which we outsource our employees to provide full service waste management to customers at their plants. Our</w:t>
      </w:r>
      <w:r>
        <w:rPr>
          <w:rFonts w:ascii="Arial" w:cs="Arial" w:eastAsia="Arial" w:hAnsi="Arial"/>
          <w:sz w:val="16"/>
          <w:szCs w:val="16"/>
          <w:i w:val="1"/>
          <w:iCs w:val="1"/>
          <w:color w:val="auto"/>
        </w:rPr>
        <w:t xml:space="preserve"> </w:t>
      </w:r>
      <w:r>
        <w:rPr>
          <w:rFonts w:ascii="Arial" w:cs="Arial" w:eastAsia="Arial" w:hAnsi="Arial"/>
          <w:sz w:val="16"/>
          <w:szCs w:val="16"/>
          <w:color w:val="auto"/>
        </w:rPr>
        <w:t>vertically integrated waste management operations allow us to provide these customers with full management of their waste, including identifying recycling opportunities, minimizing their waste, determining the most efficient means available for waste collection and transporting and disposing of their waste.</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also develop, operate and promote projects for the beneficial use of landfill gas through our Waste Management Renewable Energy Program. The natural breakdown of waste deposited in a landfill produces landfill gas. The methane component of the landfill gas is a readily available, renewable energy source that can be gathered and used beneficially as an alternative to fossil fuel for a number of industrial and commercial applications. We actively pursue landfill gas beneficial use projects and at December 31, 2004 we were producing commercial quantities of methane gas at 90 of our solid waste landfills. For 57 of these landfills, the processed gas is delivered to electricity generators. The electricity is then sold to public utilities, municipal utilities or power cooperatives. For 29 landfills, the gas is delivered by pipeline to industrial customers as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ind w:right="440"/>
        <w:spacing w:after="0" w:line="268" w:lineRule="auto"/>
        <w:rPr>
          <w:sz w:val="20"/>
          <w:szCs w:val="20"/>
          <w:color w:val="auto"/>
        </w:rPr>
      </w:pPr>
      <w:r>
        <w:rPr>
          <w:rFonts w:ascii="Arial" w:cs="Arial" w:eastAsia="Arial" w:hAnsi="Arial"/>
          <w:sz w:val="18"/>
          <w:szCs w:val="18"/>
          <w:color w:val="auto"/>
        </w:rPr>
        <w:t>direct substitute for fossil fuels in industrial processes such as steam boilers, cement kilns and utility plants. At four landfills, the landfill gas is processed to pipeline-quality natural gas and then sold to natural gas suppliers.</w:t>
      </w:r>
    </w:p>
    <w:p>
      <w:pPr>
        <w:spacing w:after="0" w:line="21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In addition, as part of our Other NASW operations, we rent and service portable restroom facilities to municipalities and commercial customers under the name Port-O-Let®, and provide street and parking lot sweeping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5"/>
          <w:szCs w:val="15"/>
          <w:color w:val="auto"/>
        </w:rPr>
        <w:t>The solid waste industry is very competitive. Competition comes from a number of publicly held solid waste companies, private solid waste companies, large commercial and industrial companies handling their own waste collection or disposal operations and public and private waste-to-energy companies. We also have competition from municipalities and regional government authorities with respect to residential and commercial solid waste collection and solid waste landfills.</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municipalities and regional governmental authorities can subsidize the cost of service through the use of tax revenues and tax-exempt financing and therefore have a competitive advantage.</w:t>
      </w:r>
    </w:p>
    <w:p>
      <w:pPr>
        <w:spacing w:after="0" w:line="21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Operating costs, disposal costs and collection fees vary widely throughout the geographic areas in which we operate. The prices that we charge are determined locally, and typically vary by the volume and weight, type of waste collected, treatment requirements, risk of handling or disposal, frequency of collections, distance to final disposal sites, labor costs and amount and type of equipment furnished to the customer. We face intense competition based on quality of service and pricing. Under certain customer service contracts, our ability to pass on cost increases to our customers may be limited. From time to time, competitors may reduce the price of their services and accept lower margins in an effort to expand or maintain market share or to successfully obtain competitively bid contracts.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At December 31, 2004 we had approximately 51,000 full-time employees, of which approximately 7,900 were employed in administrative and sales positions and the balance in operations. Approximately 14,500 of our employees are covered by collective bargaining agreements that we negotiate with unions.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Financial assurance is generally required in municipal and governmental waste service contracts. It is also a requirement for obtaining or retaining disposal site or transfer station operating permits. Municipal and governmental waste management contracts typically require performance bonds or bank letters of credit to secure performance. We are also required to provide various forms of financial assurance for estimated closure, post-closure and remedial obligations at our landfills.</w:t>
      </w:r>
    </w:p>
    <w:p>
      <w:pPr>
        <w:spacing w:after="0" w:line="224"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We establish financial assurance in different ways, depending on the jurisdiction, including escrow- accounts funded by revenues during the operational life of a facility, letters of credit, surety bonds, trust agreements and insurance. Although the supply of surety bonds has become increasingly limited in recent years, we have not experienced any unmanageable difficulty in obtaining the financial assurance instruments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3" w:name="page14"/>
    <w:bookmarkEnd w:id="13"/>
    <w:p>
      <w:pPr>
        <w:ind w:right="620"/>
        <w:spacing w:after="0" w:line="268" w:lineRule="auto"/>
        <w:rPr>
          <w:sz w:val="20"/>
          <w:szCs w:val="20"/>
          <w:color w:val="auto"/>
        </w:rPr>
      </w:pPr>
      <w:r>
        <w:rPr>
          <w:rFonts w:ascii="Arial" w:cs="Arial" w:eastAsia="Arial" w:hAnsi="Arial"/>
          <w:sz w:val="18"/>
          <w:szCs w:val="18"/>
          <w:color w:val="auto"/>
        </w:rPr>
        <w:t>required for our current operations. The following table summarizes the various forms and dollar amounts (in millions) of financial assurance that we had outstanding as of December 31, 2004: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Letters of credit:</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3260" w:type="dxa"/>
            <w:vAlign w:val="bottom"/>
            <w:gridSpan w:val="5"/>
          </w:tcPr>
          <w:p>
            <w:pPr>
              <w:jc w:val="right"/>
              <w:ind w:right="1260"/>
              <w:spacing w:after="0"/>
              <w:rPr>
                <w:sz w:val="20"/>
                <w:szCs w:val="20"/>
                <w:color w:val="auto"/>
              </w:rPr>
            </w:pPr>
            <w:r>
              <w:rPr>
                <w:rFonts w:ascii="Arial" w:cs="Arial" w:eastAsia="Arial" w:hAnsi="Arial"/>
                <w:sz w:val="18"/>
                <w:szCs w:val="18"/>
                <w:color w:val="auto"/>
              </w:rPr>
              <w:t>$1,366(a)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LC and term loan agreements</w:t>
            </w:r>
          </w:p>
        </w:tc>
        <w:tc>
          <w:tcPr>
            <w:tcW w:w="140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1240"/>
              <w:spacing w:after="0"/>
              <w:rPr>
                <w:sz w:val="20"/>
                <w:szCs w:val="20"/>
                <w:color w:val="auto"/>
              </w:rPr>
            </w:pPr>
            <w:r>
              <w:rPr>
                <w:rFonts w:ascii="Arial" w:cs="Arial" w:eastAsia="Arial" w:hAnsi="Arial"/>
                <w:sz w:val="18"/>
                <w:szCs w:val="18"/>
                <w:color w:val="auto"/>
              </w:rPr>
              <w:t>282(b)</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Letter of credit facility</w:t>
            </w:r>
          </w:p>
        </w:tc>
        <w:tc>
          <w:tcPr>
            <w:tcW w:w="1400" w:type="dxa"/>
            <w:vAlign w:val="bottom"/>
          </w:tcPr>
          <w:p>
            <w:pPr>
              <w:spacing w:after="0"/>
              <w:rPr>
                <w:sz w:val="18"/>
                <w:szCs w:val="18"/>
                <w:color w:val="auto"/>
              </w:rPr>
            </w:pPr>
          </w:p>
        </w:tc>
        <w:tc>
          <w:tcPr>
            <w:tcW w:w="1860" w:type="dxa"/>
            <w:vAlign w:val="bottom"/>
            <w:gridSpan w:val="4"/>
          </w:tcPr>
          <w:p>
            <w:pPr>
              <w:jc w:val="right"/>
              <w:ind w:right="1260"/>
              <w:spacing w:after="0"/>
              <w:rPr>
                <w:sz w:val="20"/>
                <w:szCs w:val="20"/>
                <w:color w:val="auto"/>
              </w:rPr>
            </w:pPr>
            <w:r>
              <w:rPr>
                <w:rFonts w:ascii="Arial" w:cs="Arial" w:eastAsia="Arial" w:hAnsi="Arial"/>
                <w:sz w:val="18"/>
                <w:szCs w:val="18"/>
                <w:color w:val="auto"/>
              </w:rPr>
              <w:t>349(c)</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Other lines of credit</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40" w:type="dxa"/>
            <w:vAlign w:val="bottom"/>
            <w:gridSpan w:val="3"/>
          </w:tcPr>
          <w:p>
            <w:pPr>
              <w:ind w:left="1720"/>
              <w:spacing w:after="0"/>
              <w:rPr>
                <w:sz w:val="20"/>
                <w:szCs w:val="20"/>
                <w:color w:val="auto"/>
              </w:rPr>
            </w:pPr>
            <w:r>
              <w:rPr>
                <w:rFonts w:ascii="Arial" w:cs="Arial" w:eastAsia="Arial" w:hAnsi="Arial"/>
                <w:sz w:val="18"/>
                <w:szCs w:val="18"/>
                <w:color w:val="auto"/>
              </w:rPr>
              <w:t>Total letters of credit</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2,085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Surety bonds:</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Issued by consolidated variable interest entity</w:t>
            </w:r>
          </w:p>
        </w:tc>
        <w:tc>
          <w:tcPr>
            <w:tcW w:w="1400" w:type="dxa"/>
            <w:vAlign w:val="bottom"/>
          </w:tcPr>
          <w:p>
            <w:pPr>
              <w:spacing w:after="0"/>
              <w:rPr>
                <w:sz w:val="18"/>
                <w:szCs w:val="18"/>
                <w:color w:val="auto"/>
              </w:rPr>
            </w:pPr>
          </w:p>
        </w:tc>
        <w:tc>
          <w:tcPr>
            <w:tcW w:w="1860" w:type="dxa"/>
            <w:vAlign w:val="bottom"/>
            <w:gridSpan w:val="4"/>
          </w:tcPr>
          <w:p>
            <w:pPr>
              <w:jc w:val="right"/>
              <w:ind w:right="1240"/>
              <w:spacing w:after="0"/>
              <w:rPr>
                <w:sz w:val="20"/>
                <w:szCs w:val="20"/>
                <w:color w:val="auto"/>
              </w:rPr>
            </w:pPr>
            <w:r>
              <w:rPr>
                <w:rFonts w:ascii="Arial" w:cs="Arial" w:eastAsia="Arial" w:hAnsi="Arial"/>
                <w:sz w:val="18"/>
                <w:szCs w:val="18"/>
                <w:color w:val="auto"/>
              </w:rPr>
              <w:t>426(d)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Issued by consolidated subsidiary</w:t>
            </w:r>
          </w:p>
        </w:tc>
        <w:tc>
          <w:tcPr>
            <w:tcW w:w="140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1260"/>
              <w:spacing w:after="0"/>
              <w:rPr>
                <w:sz w:val="20"/>
                <w:szCs w:val="20"/>
                <w:color w:val="auto"/>
              </w:rPr>
            </w:pPr>
            <w:r>
              <w:rPr>
                <w:rFonts w:ascii="Arial" w:cs="Arial" w:eastAsia="Arial" w:hAnsi="Arial"/>
                <w:sz w:val="18"/>
                <w:szCs w:val="18"/>
                <w:color w:val="auto"/>
              </w:rPr>
              <w:t>397(e)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Issued by affiliated entity</w:t>
            </w:r>
          </w:p>
        </w:tc>
        <w:tc>
          <w:tcPr>
            <w:tcW w:w="1400" w:type="dxa"/>
            <w:vAlign w:val="bottom"/>
          </w:tcPr>
          <w:p>
            <w:pPr>
              <w:spacing w:after="0"/>
              <w:rPr>
                <w:sz w:val="18"/>
                <w:szCs w:val="18"/>
                <w:color w:val="auto"/>
              </w:rPr>
            </w:pPr>
          </w:p>
        </w:tc>
        <w:tc>
          <w:tcPr>
            <w:tcW w:w="1860" w:type="dxa"/>
            <w:vAlign w:val="bottom"/>
            <w:gridSpan w:val="4"/>
          </w:tcPr>
          <w:p>
            <w:pPr>
              <w:jc w:val="right"/>
              <w:ind w:right="1280"/>
              <w:spacing w:after="0"/>
              <w:rPr>
                <w:sz w:val="20"/>
                <w:szCs w:val="20"/>
                <w:color w:val="auto"/>
              </w:rPr>
            </w:pPr>
            <w:r>
              <w:rPr>
                <w:rFonts w:ascii="Arial" w:cs="Arial" w:eastAsia="Arial" w:hAnsi="Arial"/>
                <w:sz w:val="18"/>
                <w:szCs w:val="18"/>
                <w:color w:val="auto"/>
                <w:w w:val="90"/>
              </w:rPr>
              <w:t>1,123(f)</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Issued by third party surety companies</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818</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40" w:type="dxa"/>
            <w:vAlign w:val="bottom"/>
            <w:gridSpan w:val="3"/>
          </w:tcPr>
          <w:p>
            <w:pPr>
              <w:ind w:left="1720"/>
              <w:spacing w:after="0"/>
              <w:rPr>
                <w:sz w:val="20"/>
                <w:szCs w:val="20"/>
                <w:color w:val="auto"/>
              </w:rPr>
            </w:pPr>
            <w:r>
              <w:rPr>
                <w:rFonts w:ascii="Arial" w:cs="Arial" w:eastAsia="Arial" w:hAnsi="Arial"/>
                <w:sz w:val="18"/>
                <w:szCs w:val="18"/>
                <w:color w:val="auto"/>
              </w:rPr>
              <w:t>Total surety bonds</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2,764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Insurance policies:</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Issued by consolidated subsidiary</w:t>
            </w:r>
          </w:p>
        </w:tc>
        <w:tc>
          <w:tcPr>
            <w:tcW w:w="1400" w:type="dxa"/>
            <w:vAlign w:val="bottom"/>
          </w:tcPr>
          <w:p>
            <w:pPr>
              <w:spacing w:after="0"/>
              <w:rPr>
                <w:sz w:val="18"/>
                <w:szCs w:val="18"/>
                <w:color w:val="auto"/>
              </w:rPr>
            </w:pPr>
          </w:p>
        </w:tc>
        <w:tc>
          <w:tcPr>
            <w:tcW w:w="1860" w:type="dxa"/>
            <w:vAlign w:val="bottom"/>
            <w:gridSpan w:val="4"/>
          </w:tcPr>
          <w:p>
            <w:pPr>
              <w:jc w:val="right"/>
              <w:ind w:right="1260"/>
              <w:spacing w:after="0"/>
              <w:rPr>
                <w:sz w:val="20"/>
                <w:szCs w:val="20"/>
                <w:color w:val="auto"/>
              </w:rPr>
            </w:pPr>
            <w:r>
              <w:rPr>
                <w:rFonts w:ascii="Arial" w:cs="Arial" w:eastAsia="Arial" w:hAnsi="Arial"/>
                <w:sz w:val="18"/>
                <w:szCs w:val="18"/>
                <w:color w:val="auto"/>
              </w:rPr>
              <w:t>863(e)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Issued by affiliated entity</w:t>
            </w:r>
          </w:p>
        </w:tc>
        <w:tc>
          <w:tcPr>
            <w:tcW w:w="140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1280"/>
              <w:spacing w:after="0"/>
              <w:rPr>
                <w:sz w:val="20"/>
                <w:szCs w:val="20"/>
                <w:color w:val="auto"/>
              </w:rPr>
            </w:pPr>
            <w:r>
              <w:rPr>
                <w:rFonts w:ascii="Arial" w:cs="Arial" w:eastAsia="Arial" w:hAnsi="Arial"/>
                <w:sz w:val="18"/>
                <w:szCs w:val="18"/>
                <w:color w:val="auto"/>
              </w:rPr>
              <w:t>18(f)</w:t>
            </w:r>
          </w:p>
        </w:tc>
        <w:tc>
          <w:tcPr>
            <w:tcW w:w="0" w:type="dxa"/>
            <w:vAlign w:val="bottom"/>
          </w:tcPr>
          <w:p>
            <w:pPr>
              <w:spacing w:after="0"/>
              <w:rPr>
                <w:sz w:val="1"/>
                <w:szCs w:val="1"/>
                <w:color w:val="auto"/>
              </w:rPr>
            </w:pPr>
          </w:p>
        </w:tc>
      </w:tr>
      <w:tr>
        <w:trPr>
          <w:trHeight w:val="108"/>
        </w:trPr>
        <w:tc>
          <w:tcPr>
            <w:tcW w:w="6440" w:type="dxa"/>
            <w:vAlign w:val="bottom"/>
            <w:gridSpan w:val="3"/>
            <w:vMerge w:val="restart"/>
          </w:tcPr>
          <w:p>
            <w:pPr>
              <w:ind w:left="1720"/>
              <w:spacing w:after="0"/>
              <w:rPr>
                <w:sz w:val="20"/>
                <w:szCs w:val="20"/>
                <w:color w:val="auto"/>
              </w:rPr>
            </w:pPr>
            <w:r>
              <w:rPr>
                <w:rFonts w:ascii="Arial" w:cs="Arial" w:eastAsia="Arial" w:hAnsi="Arial"/>
                <w:sz w:val="18"/>
                <w:szCs w:val="18"/>
                <w:color w:val="auto"/>
              </w:rPr>
              <w:t>Total insurance policies</w:t>
            </w:r>
          </w:p>
        </w:tc>
        <w:tc>
          <w:tcPr>
            <w:tcW w:w="1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881(g)</w:t>
            </w:r>
          </w:p>
        </w:tc>
        <w:tc>
          <w:tcPr>
            <w:tcW w:w="0" w:type="dxa"/>
            <w:vAlign w:val="bottom"/>
          </w:tcPr>
          <w:p>
            <w:pPr>
              <w:spacing w:after="0"/>
              <w:rPr>
                <w:sz w:val="1"/>
                <w:szCs w:val="1"/>
                <w:color w:val="auto"/>
              </w:rPr>
            </w:pPr>
          </w:p>
        </w:tc>
      </w:tr>
      <w:tr>
        <w:trPr>
          <w:trHeight w:val="316"/>
        </w:trPr>
        <w:tc>
          <w:tcPr>
            <w:tcW w:w="644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Funded trust and escrow accounts</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213(h)</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Financial guarantees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183(i)</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financial assurance</w:t>
            </w:r>
          </w:p>
        </w:tc>
        <w:tc>
          <w:tcPr>
            <w:tcW w:w="3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$6,126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2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five-year, $2.4 billion syndicated revolving credit facility that matures in October 2009. At December 31, 2004, we had unused and available credit capacity of approximately $1,034 million under our revolving credit facility.</w:t>
      </w:r>
    </w:p>
    <w:p>
      <w:pPr>
        <w:spacing w:after="0" w:line="212"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June 2003, we entered into a five-year, $15 million letter of credit and term loan agreement, a seven-year, $175 million letter of credit and term loan agreement and a ten-year, $105 million letter of credit and term loan agreement, which expire in June 2008, 2010, and 2013, respectively (collectively, the “LC and term loan agreements”). At December 31, 2004, we had unused and available credit capacity of $13 million under the LC and term loan agreements.</w:t>
      </w:r>
    </w:p>
    <w:p>
      <w:pPr>
        <w:spacing w:after="0" w:line="224"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2003, we entered into a five-year, $350 million letter of credit facility (the “letter of credit facility”).</w:t>
      </w:r>
    </w:p>
    <w:p>
      <w:pPr>
        <w:spacing w:after="0" w:line="252" w:lineRule="exact"/>
        <w:rPr>
          <w:rFonts w:ascii="Arial" w:cs="Arial" w:eastAsia="Arial" w:hAnsi="Arial"/>
          <w:sz w:val="18"/>
          <w:szCs w:val="18"/>
          <w:color w:val="auto"/>
        </w:rPr>
      </w:pPr>
    </w:p>
    <w:p>
      <w:pPr>
        <w:ind w:left="460" w:hanging="452"/>
        <w:spacing w:after="0" w:line="37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These surety bonds were provided by a variable interest entity that we began consolidating during the third quarter of 2003. See Note 19 to the consolidated financial statements for discussion of this entity’s characteristics and our assessment of our interest in the entity under the provisions of FIN 46.</w:t>
      </w:r>
    </w:p>
    <w:p>
      <w:pPr>
        <w:spacing w:after="0" w:line="143" w:lineRule="exact"/>
        <w:rPr>
          <w:rFonts w:ascii="Arial" w:cs="Arial" w:eastAsia="Arial" w:hAnsi="Arial"/>
          <w:sz w:val="15"/>
          <w:szCs w:val="15"/>
          <w:color w:val="auto"/>
        </w:rPr>
      </w:pPr>
    </w:p>
    <w:p>
      <w:pPr>
        <w:ind w:left="460" w:right="24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use surety bonds and insurance policies issued by a wholly-owned insurance subsidiary, National Guaranty Insurance Company of Vermont, the sole business of which is to issue financial assurance to WMI and its other subsidiaries. National Guaranty Insurance Company is authorized to write up to approximately $1.3 billion in surety bonds or insurance policies for our closure and post-closure requirements and waste collection contracts.</w:t>
      </w:r>
    </w:p>
    <w:p>
      <w:pPr>
        <w:spacing w:after="0" w:line="187"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use surety bonds and insurance policies issued by an affiliated entity, Evergreen National Indemnity Company, that we have a non- controlling interest in and as such account for under the equity method. We have no established limit on the availability of surety bonds or insurance that can be obtained under our agreement with this entity.</w:t>
      </w:r>
    </w:p>
    <w:p>
      <w:pPr>
        <w:spacing w:after="0" w:line="221"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states, insurance policies may be used as a form of financial assurance. As of December 31, 2004, approximately $881 million of our anticipated closure and post-closure obligations have been met through insurance policies.</w:t>
      </w:r>
    </w:p>
    <w:p>
      <w:pPr>
        <w:spacing w:after="0" w:line="212"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several of our landfills, we deposit cash into trust funds or escrow accounts that are legally restricted for purposes of settling closure, post-closure and remedial obligations. Balances maintained in these trust funds and escrow accounts will fluctuate based on (i) changes in statutory requirements; (ii) the ongoing use of funds for qualifying closure, post-closure and remedial activities; (iii) acquisitions or divestitures of landfills; and (iv) changes in the fair value of the underlying financial instruments.</w:t>
      </w:r>
    </w:p>
    <w:p>
      <w:pPr>
        <w:spacing w:after="0" w:line="224"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guarantees are provided on behalf of our subsidiaries to municipalities, customers and regulatory authorities. They are provided primarily to support our performance of landfill closure and post-closure activities.</w:t>
      </w:r>
    </w:p>
    <w:p>
      <w:pPr>
        <w:spacing w:after="0" w:line="213"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The assets held in our funded trust and escrow accounts may be drawn and used to meet the closure, post-closure and remedial obligations for which the trusts and escrows were established. Other than these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796" w:gutter="0" w:footer="0" w:header="0"/>
        </w:sectPr>
      </w:pPr>
    </w:p>
    <w:bookmarkStart w:id="14" w:name="page15"/>
    <w:bookmarkEnd w:id="14"/>
    <w:p>
      <w:pPr>
        <w:ind w:right="40"/>
        <w:spacing w:after="0" w:line="256" w:lineRule="auto"/>
        <w:rPr>
          <w:sz w:val="20"/>
          <w:szCs w:val="20"/>
          <w:color w:val="auto"/>
        </w:rPr>
      </w:pPr>
      <w:r>
        <w:rPr>
          <w:rFonts w:ascii="Arial" w:cs="Arial" w:eastAsia="Arial" w:hAnsi="Arial"/>
          <w:sz w:val="18"/>
          <w:szCs w:val="18"/>
          <w:color w:val="auto"/>
        </w:rPr>
        <w:t>permitted draws on funds, 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Insurance</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also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general liability, workers’ compensation and auto insurance programs have per incident deductibles of $2.5 million, $1 million and $20,000, respectively. Except as discussed in Notes 4 and 10 to the consolidated financial statements, we do not expect the impact of any known casualty, property, environmental or other contingency to be material to our financial condition,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Environmental Protection Agency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224"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or provincial and local provisions that regulate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necessary required permits and approvals. There cannot be any assurances that we will be able to obtain or maintain necessary governmental approvals. Once obtained, operating permits are subject to modification and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225" w:lineRule="exact"/>
        <w:rPr>
          <w:sz w:val="20"/>
          <w:szCs w:val="20"/>
          <w:color w:val="auto"/>
        </w:rPr>
      </w:pPr>
    </w:p>
    <w:p>
      <w:pPr>
        <w:ind w:left="460" w:right="160" w:hanging="101"/>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Resource Conservation and Recovery Act of 1976, as amended (“RCRA”), regulates handling, transporting and disposing of hazardous and non-hazardous wastes and delegates authority to states to develop programs to ensure the safe disposal of solid wastes.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We incur costs in complying with these standards in the ordinary course of our operations.</w:t>
      </w:r>
    </w:p>
    <w:p>
      <w:pPr>
        <w:spacing w:after="0" w:line="196" w:lineRule="exact"/>
        <w:rPr>
          <w:rFonts w:ascii="Arial" w:cs="Arial" w:eastAsia="Arial" w:hAnsi="Arial"/>
          <w:sz w:val="16"/>
          <w:szCs w:val="16"/>
          <w:color w:val="auto"/>
        </w:rPr>
      </w:pPr>
    </w:p>
    <w:p>
      <w:pPr>
        <w:ind w:left="460" w:right="140" w:hanging="101"/>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CERCLA’s primary means for addressing such releases is to impose liability for cleanup of disposal sites upon current and former site owners and operators, generators of the hazardous substances at the site and transporters who selected the disposal site and transported substances thereto. Liability under CERCLA is not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5" w:name="page16"/>
    <w:bookmarkEnd w:id="15"/>
    <w:p>
      <w:pPr>
        <w:ind w:left="460" w:right="740"/>
        <w:spacing w:after="0" w:line="370" w:lineRule="auto"/>
        <w:rPr>
          <w:sz w:val="20"/>
          <w:szCs w:val="20"/>
          <w:color w:val="auto"/>
        </w:rPr>
      </w:pPr>
      <w:r>
        <w:rPr>
          <w:rFonts w:ascii="Arial" w:cs="Arial" w:eastAsia="Arial" w:hAnsi="Arial"/>
          <w:sz w:val="15"/>
          <w:szCs w:val="15"/>
          <w:color w:val="auto"/>
        </w:rPr>
        <w:t>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w:t>
      </w:r>
    </w:p>
    <w:p>
      <w:pPr>
        <w:spacing w:after="0" w:line="143" w:lineRule="exact"/>
        <w:rPr>
          <w:sz w:val="20"/>
          <w:szCs w:val="20"/>
          <w:color w:val="auto"/>
        </w:rPr>
      </w:pPr>
    </w:p>
    <w:p>
      <w:pPr>
        <w:ind w:left="460" w:right="80" w:hanging="101"/>
        <w:spacing w:after="0" w:line="289"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Water Pollution Control Act of 1972 (the “Clean Water Act”) regulates the discharge of pollutants into streams, rivers, groundwater, or other surface waters from a variety of sources, including solid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from landfills that require landfills to obtain storm water discharge permits. In addition, if a landfill or a transfer station discharges wastewater through a sewage system to a publicly owned treatment works, the facility must comply with discharge limits imposed by the treatment works. Also, before the development or expansion of a landfill can alter or affect “wetlands,” a permit may have to be obtained. The Clean Water Act provides for civil, criminal and administrative penalties for violations of its provisions.</w:t>
      </w:r>
    </w:p>
    <w:p>
      <w:pPr>
        <w:spacing w:after="0" w:line="199" w:lineRule="exact"/>
        <w:rPr>
          <w:rFonts w:ascii="Arial" w:cs="Arial" w:eastAsia="Arial" w:hAnsi="Arial"/>
          <w:sz w:val="16"/>
          <w:szCs w:val="16"/>
          <w:color w:val="auto"/>
        </w:rPr>
      </w:pPr>
    </w:p>
    <w:p>
      <w:pPr>
        <w:ind w:left="460" w:right="40" w:hanging="101"/>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Clean Air Act of 1970, as amended, provides for increased federal, state and local regulation of the emission of air pollutants. The EPA has applied the Clean Air Act to certain of our operations, including solid waste landfills and waste collection vehicles. Additionally, in 1996 the EPA issued new source performance standards for new landfills and emission guidelines for existing landfills to control emissions of landfill gases. The regulations impose limits on air emissions from solid waste landfills, subject most of our solid waste landfills to certain permitting requirements and, in some instances, require installation of methane gas recovery systems to reduce emissions to allowable limits. We currently are producing commercial quantities of methane gas at 90 of our solid waste landfills.</w:t>
      </w:r>
    </w:p>
    <w:p>
      <w:pPr>
        <w:spacing w:after="0" w:line="225"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record keeping, disclosure and procedural requirements. Various standards for notices of hazards, safety in excavation and demolition work and the handling of asbestos, may apply to our operations.</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are also various state or provincial and local regulations that affect our operations. Sometimes states’ regulations are more strict than comparable federal laws and regulations. Additionally, our collection and landfill operations could be affected by legislative and regulatory measures requiring or encouraging waste reduction at the source and waste recycling.</w:t>
      </w:r>
    </w:p>
    <w:p>
      <w:pPr>
        <w:spacing w:after="0" w:line="22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was unconstitutional. However, other courts have refused to apply the Supreme Court precedent in various circumstances. In addition, from time to time, the United States Congress has considered legislation authorizing states to adopt regulations, restrictions, or taxes on the importation of out-of-state or out-of-jurisdiction waste. These congressional efforts have to date been unsuccessful. The United States Congress’ adoption of legislation allowing restrictions on interstate transportation of out-of-state or out-of-jurisdiction waste or certain types of flow control, the adoption of legislation affecting interstate transportation of waste at the state level, or the courts’ interpretation or validation of flow control legislation could adversely affect our solid waste management services.</w:t>
      </w:r>
    </w:p>
    <w:p>
      <w:pPr>
        <w:spacing w:after="0" w:line="201"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Many states, provinces and local jurisdictions have enacted “fitness” laws that allow the agencies that have jurisdiction over waste services contracts or permits to deny or revoke these contracts or permits based on the applicant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t>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See Note 4 to the consolidated financial statements for disclosures relating to our current assessments of the impact of regulations on our current and future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Influencing Future Results and Accuracy of Forward-Looking Statements</w:t>
      </w:r>
    </w:p>
    <w:p>
      <w:pPr>
        <w:spacing w:after="0" w:line="25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consolidated financial statements and the notes to the consolidated financial statements.</w:t>
      </w:r>
    </w:p>
    <w:p>
      <w:pPr>
        <w:spacing w:after="0" w:line="20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Outlined below are some of the risks that we face and that could affect our business and financial position for 2005 and beyond. However, they are not the only risks that we face. There may be additional risks that we do not presently know of or that we currently believe are immaterial which could also impair our business and financial position.</w:t>
      </w:r>
    </w:p>
    <w:p>
      <w:pPr>
        <w:spacing w:after="0" w:line="194" w:lineRule="exact"/>
        <w:rPr>
          <w:sz w:val="20"/>
          <w:szCs w:val="20"/>
          <w:color w:val="auto"/>
        </w:rPr>
      </w:pPr>
    </w:p>
    <w:p>
      <w:pPr>
        <w:ind w:left="360" w:right="360"/>
        <w:spacing w:after="0" w:line="268"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213"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w:t>
      </w:r>
    </w:p>
    <w:p>
      <w:pPr>
        <w:spacing w:after="0" w:line="19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yield on base business.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successfully manage our costs, our income from operations could be lower than expected.</w:t>
      </w:r>
    </w:p>
    <w:p>
      <w:pPr>
        <w:spacing w:after="0" w:line="252"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recent years, we have implemented several profit improvement initiatives aimed at lowering our costs and enhancing our revenues, and continue to seek ways to reduce our selling, general and administrative and operating expenses. While we have generally been successful in reducing our selling, general and administrative costs, managing subcontractor costs and managing the effect of fuel price increases, these initiatives may not be sufficient. Even as our revenues increase, if we are unable to control variable costs or increases to our fixed costs in the future, we will be unable to maintain or expand our margins. In recent periods, rising employee-related costs and expenses, including health care and other employee benefits such as unemployment insurance and workers’ compensation have negatively impacted our measures to reduce costs.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7" w:name="page18"/>
    <w:bookmarkEnd w:id="17"/>
    <w:p>
      <w:pPr>
        <w:ind w:left="360" w:right="800"/>
        <w:spacing w:after="0" w:line="268" w:lineRule="auto"/>
        <w:rPr>
          <w:sz w:val="20"/>
          <w:szCs w:val="20"/>
          <w:color w:val="auto"/>
        </w:rPr>
      </w:pPr>
      <w:r>
        <w:rPr>
          <w:rFonts w:ascii="Arial" w:cs="Arial" w:eastAsia="Arial" w:hAnsi="Arial"/>
          <w:sz w:val="18"/>
          <w:szCs w:val="18"/>
          <w:b w:val="1"/>
          <w:bCs w:val="1"/>
          <w:i w:val="1"/>
          <w:iCs w:val="1"/>
          <w:color w:val="auto"/>
        </w:rPr>
        <w:t>The seasonal nature of our business and changes in general and local economic conditions cause our quarterly results to fluctuate, and prior performance is not necessarily indicative of our future results.</w:t>
      </w:r>
    </w:p>
    <w:p>
      <w:pPr>
        <w:spacing w:after="0" w:line="21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5"/>
          <w:szCs w:val="15"/>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summer, such as the hurricanes experienced during the third quarter of 2004, actually increase our revenues in the areas affected, although, for several reasons, including the increased use of subcontractors, such revenues tend to be low margin. Conversely, harsh winter weather conditions may result in the temporary suspension of our operations, which can significantly affect the operating results of those periods. The operating results of our first quarter also often reflect higher repair and maintenance expenses because we rely on the slower winter months for scheduled maintenance at our waste-to-energy facilities.</w:t>
      </w:r>
    </w:p>
    <w:p>
      <w:pPr>
        <w:spacing w:after="0" w:line="18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Additionally, our business is affected by changes in national and general economic factors that are also outside of our control, including interest rates and consumer confidence. We have approximately $3.2 billion of debt as December 31, 2004 that is exposed to changes in market interest rates because of the combined impact of our variable rate tax-exempt bonds and our interest rate swap agreements. Therefore, any increase in interest rates can significantly increase our expenses. Additionally, although our services are of an essential nature, a weak economy generally results in decreases in volumes of waste generated, which decreases our revenues. We also face risks related to other adverse external factors, such as the ability of our insurers to meet their commitments timely and the effect that significant claims or litigation against insurance companies may have on such ability.</w:t>
      </w:r>
    </w:p>
    <w:p>
      <w:pPr>
        <w:spacing w:after="0" w:line="201"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Any of the factors described above could materially adversely affect our results of operations and cash flows. Additionally, due to these, and other factors, operating results in any interim period are not necessarily indicative of operating results for an entire year, and operating results for any historical period are not necessarily indicative of operating results for a future period.</w:t>
      </w:r>
    </w:p>
    <w:p>
      <w:pPr>
        <w:spacing w:after="0" w:line="194" w:lineRule="exact"/>
        <w:rPr>
          <w:sz w:val="20"/>
          <w:szCs w:val="20"/>
          <w:color w:val="auto"/>
        </w:rPr>
      </w:pPr>
    </w:p>
    <w:p>
      <w:pPr>
        <w:ind w:left="360" w:right="440"/>
        <w:spacing w:after="0" w:line="268"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could be liable if our operations cause environmental damage to our properties or to the property of other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97"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186" w:lineRule="exact"/>
        <w:rPr>
          <w:sz w:val="20"/>
          <w:szCs w:val="20"/>
          <w:color w:val="auto"/>
        </w:rPr>
      </w:pPr>
    </w:p>
    <w:p>
      <w:pPr>
        <w:ind w:left="460" w:right="440" w:hanging="101"/>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12" w:lineRule="exact"/>
        <w:rPr>
          <w:rFonts w:ascii="Arial" w:cs="Arial" w:eastAsia="Arial" w:hAnsi="Arial"/>
          <w:sz w:val="18"/>
          <w:szCs w:val="18"/>
          <w:color w:val="auto"/>
        </w:rPr>
      </w:pPr>
    </w:p>
    <w:p>
      <w:pPr>
        <w:ind w:left="460" w:right="560" w:hanging="101"/>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221" w:lineRule="exact"/>
        <w:rPr>
          <w:sz w:val="20"/>
          <w:szCs w:val="20"/>
          <w:color w:val="auto"/>
        </w:rPr>
      </w:pPr>
    </w:p>
    <w:p>
      <w:pPr>
        <w:ind w:right="460" w:firstLine="324"/>
        <w:spacing w:after="0" w:line="332" w:lineRule="auto"/>
        <w:rPr>
          <w:sz w:val="20"/>
          <w:szCs w:val="20"/>
          <w:color w:val="auto"/>
        </w:rPr>
      </w:pPr>
      <w:r>
        <w:rPr>
          <w:rFonts w:ascii="Arial" w:cs="Arial" w:eastAsia="Arial" w:hAnsi="Arial"/>
          <w:sz w:val="16"/>
          <w:szCs w:val="16"/>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8" w:name="page19"/>
    <w:bookmarkEnd w:id="18"/>
    <w:p>
      <w:pPr>
        <w:ind w:left="360" w:right="40"/>
        <w:spacing w:after="0" w:line="268"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any such regulations, or new regulations, could restrict our operations or increase our costs of operations.</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197"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or processing facilities or expanding existing facilities;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mandates regarding the disposal of solid waste.</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Regulations also affect the siting, design and closure of landfills and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operations.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Significant increases in fuel prices for any extended periods of time will increase our operating expenses.</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events outside our control, such as actions by OPEC and other oil and gas producers, regional production patterns and environmental concerns. In the past two years, the year-over-year changes in the average quarterly fuel prices have ranged from an increase of 41% to a decrease of 2%. We need fuel to run our collection and transfer trucks and equipment used in our landfill operations, and price escalations or reductions in the supply will likely increase our operating expenses and have a negative impact on income from operations and cash flows. We have in place a fuel surcharge program, designed to offset increased fuel expenses; however, we are not able to pass through all of the increased costs and some customers’ contracts prohibit any pass through of the increased costs. Additionally, as fuel prices increase, many of our vendors raise their prices as a means to offset their own rising costs. We may initiate other programs or means to guard against the rising costs of fuel.</w:t>
      </w:r>
    </w:p>
    <w:p>
      <w:pPr>
        <w:spacing w:after="0" w:line="172" w:lineRule="exact"/>
        <w:rPr>
          <w:sz w:val="20"/>
          <w:szCs w:val="20"/>
          <w:color w:val="auto"/>
        </w:rPr>
      </w:pPr>
    </w:p>
    <w:p>
      <w:pPr>
        <w:ind w:left="360" w:right="160"/>
        <w:spacing w:after="0" w:line="268" w:lineRule="auto"/>
        <w:rPr>
          <w:sz w:val="20"/>
          <w:szCs w:val="20"/>
          <w:color w:val="auto"/>
        </w:rPr>
      </w:pPr>
      <w:r>
        <w:rPr>
          <w:rFonts w:ascii="Arial" w:cs="Arial" w:eastAsia="Arial" w:hAnsi="Arial"/>
          <w:sz w:val="18"/>
          <w:szCs w:val="18"/>
          <w:b w:val="1"/>
          <w:bCs w:val="1"/>
          <w:i w:val="1"/>
          <w:iCs w:val="1"/>
          <w:color w:val="auto"/>
        </w:rPr>
        <w:t>We have substantial financial assurance and insurance, and increases in the costs of obtaining adequate financial assurance, or the inadequacy of our insurance coverages, could negatively impact our liquidity and increase our liabilities.</w:t>
      </w:r>
    </w:p>
    <w:p>
      <w:pPr>
        <w:spacing w:after="0" w:line="2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amount of insurance required to be maintained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To the extent our insurers were unable to meet their obligations, or our own obligations for claims were more than we estimated, there could be a material adverse effect to our financial results.</w:t>
      </w:r>
    </w:p>
    <w:p>
      <w:pPr>
        <w:spacing w:after="0" w:line="201"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In addition, to fulfill our financial assurance obligations with respect to environmental closure and post-closure liabilities, we generally obtain letters of credit or surety bonds, rely on insurance, including captive insurance, or fund trust and escrow accounts. We currently have in place all necessary financial assurance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instruments. We do not anticipate any unmanageable difficulty in obtaining financial assurance instruments in the future. We are aware of recent increases in the cost of surety bonds.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197" w:lineRule="exact"/>
        <w:rPr>
          <w:sz w:val="20"/>
          <w:szCs w:val="20"/>
          <w:color w:val="auto"/>
        </w:rPr>
      </w:pPr>
    </w:p>
    <w:p>
      <w:pPr>
        <w:ind w:left="360" w:right="300"/>
        <w:spacing w:after="0" w:line="268" w:lineRule="auto"/>
        <w:rPr>
          <w:sz w:val="20"/>
          <w:szCs w:val="20"/>
          <w:color w:val="auto"/>
        </w:rPr>
      </w:pPr>
      <w:r>
        <w:rPr>
          <w:rFonts w:ascii="Arial" w:cs="Arial" w:eastAsia="Arial" w:hAnsi="Arial"/>
          <w:sz w:val="18"/>
          <w:szCs w:val="18"/>
          <w:b w:val="1"/>
          <w:bCs w:val="1"/>
          <w:i w:val="1"/>
          <w:iCs w:val="1"/>
          <w:color w:val="auto"/>
        </w:rPr>
        <w:t>The possibility of disposal site developments, expansion projects or pending acquisitions not being completed or certain other events could result in a material charge against our earnings.</w:t>
      </w:r>
    </w:p>
    <w:p>
      <w:pPr>
        <w:spacing w:after="0" w:line="213"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accordance with generally accepted accounting principles, we capitalize certain expenditures and advances relating to disposal site development, expansion projects, acquisitions, software development costs and other projects. If a facility or operation is permanently shut down or determined to be impaired, a pending acquisition is not completed, a development or expansion project is not completed or is determined to be impaired, we will charge against earnings any unamortized capitalized expenditures and advances relating to such facility, acquisition or project. We reduce the charge against earnings by any portion of the capitalized expenditures and advances that we estimate will be recoverable, through sale or otherwise.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future periods, we may be required to incur charges against earnings in accordance with this policy, or due to other events that cause impairments.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Depending on the magnitude, any such charges could have a material adverse effect on our results of operations.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recycling operations process for sale certain recyclable materials, including fibers, aluminum and glass, all of which are subject to significant price fluctuations. The majority of the recyclables that we process for sale are paper fibers, including old corrugated cardboard (“OCC”), and old newsprint (“ONP”). We enter into commodity price derivatives in an effort to mitigate some of the variability in cash flows from the sales of recyclable materials at floating prices. In the past three years, the year-over-year changes in the quarterly average market prices for OCC ranged from a decrease of as much as 37% to an increase of as much as 131%. The same comparisons for ONP have ranged from a decrease of as much as 20% to an increase of as much as 64%. These fluctuations can affect future operating income and cash flows. Additionally, our recycling operations offer rebates to suppliers, based on the market prices of commodities we purchase. Therefore, even if we experience higher revenues based on increased market prices for commodities, the rebates we pay will also increase.</w:t>
      </w:r>
    </w:p>
    <w:p>
      <w:pPr>
        <w:spacing w:after="0" w:line="199" w:lineRule="exact"/>
        <w:rPr>
          <w:sz w:val="20"/>
          <w:szCs w:val="20"/>
          <w:color w:val="auto"/>
        </w:rPr>
      </w:pPr>
    </w:p>
    <w:p>
      <w:pPr>
        <w:ind w:right="120" w:firstLine="324"/>
        <w:spacing w:after="0" w:line="318" w:lineRule="auto"/>
        <w:rPr>
          <w:sz w:val="20"/>
          <w:szCs w:val="20"/>
          <w:color w:val="auto"/>
        </w:rPr>
      </w:pPr>
      <w:r>
        <w:rPr>
          <w:rFonts w:ascii="Arial" w:cs="Arial" w:eastAsia="Arial" w:hAnsi="Arial"/>
          <w:sz w:val="15"/>
          <w:szCs w:val="15"/>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fluctuations do not have a significant effect on these operations in the short-term. However, revenues from our independent power production plants can be affected by price fluctuations. In the past two years, the year-over-year changes in the average quarterly electricity prices have ranged from increases of as much as 7% to decreases of as much as 4%.</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development and acceptance of alternatives to landfill disposal and waste-to-energy facilities could reduce our ability to operate at full capacity.</w:t>
      </w:r>
    </w:p>
    <w:p>
      <w:pPr>
        <w:spacing w:after="0" w:line="28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customers are increasingly using alternatives to landfill disposal, such as recycling and composting. In addition, some state and local governments mandate recycling and waste reduction at the source and prohibit the disposal of certain types of wastes, such as yard wastes, at landfills or waste-to-energy facilities. Although such mandates are a useful tool to protect our environment, these developments reduce the volume of waste going to landfills and waste-to-energy facilities in certain areas, which may affect our ability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operate our landfills and waste-to-energy facilities at full capacity, as well as the prices that we can charge for landfill disposal and waste-to-energy services.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management’s attention and increase our operating expenses.</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work stoppages, including strikes, could ensue. Depending on the type and duration of any labor disruptions, our operating expenses could increase significantly, which could adversely affect our financial condition, results of operations and cash flows.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2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currently involved in civil litigation and governmental proceedings relating to the conduct of our business. The timing of the final resolutions to these matters is uncertain. Additionally, the possible outcomes or resolutions to these matters could include adverse judgments or settlements, either of which could require substantial payments, adversely affecting our liquidity.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Unforeseen circumstances could result in a need for additional capital.</w:t>
      </w:r>
    </w:p>
    <w:p>
      <w:pPr>
        <w:spacing w:after="0" w:line="252" w:lineRule="exact"/>
        <w:rPr>
          <w:sz w:val="20"/>
          <w:szCs w:val="20"/>
          <w:color w:val="auto"/>
        </w:rPr>
      </w:pPr>
    </w:p>
    <w:p>
      <w:pPr>
        <w:ind w:firstLine="324"/>
        <w:spacing w:after="0" w:line="305" w:lineRule="auto"/>
        <w:rPr>
          <w:sz w:val="20"/>
          <w:szCs w:val="20"/>
          <w:color w:val="auto"/>
        </w:rPr>
      </w:pPr>
      <w:r>
        <w:rPr>
          <w:rFonts w:ascii="Arial" w:cs="Arial" w:eastAsia="Arial" w:hAnsi="Arial"/>
          <w:sz w:val="15"/>
          <w:szCs w:val="15"/>
          <w:color w:val="auto"/>
        </w:rPr>
        <w:t>We currently expect to meet our anticipated cash needs for capital expenditures, acquisitions and other cash expenditures with our cash flows from operations and, to the extent necessary, additional financings. However, our Board of Directors has approved a new capital allocation program that provides for up to</w:t>
      </w:r>
    </w:p>
    <w:p>
      <w:pPr>
        <w:ind w:right="100"/>
        <w:spacing w:after="0" w:line="295" w:lineRule="auto"/>
        <w:rPr>
          <w:sz w:val="20"/>
          <w:szCs w:val="20"/>
          <w:color w:val="auto"/>
        </w:rPr>
      </w:pPr>
      <w:r>
        <w:rPr>
          <w:rFonts w:ascii="Arial" w:cs="Arial" w:eastAsia="Arial" w:hAnsi="Arial"/>
          <w:sz w:val="16"/>
          <w:szCs w:val="16"/>
          <w:color w:val="auto"/>
        </w:rPr>
        <w:t>$1.2 billion in aggregate dividend payments and share repurchases each year during 2005, 2006 and 2007. Materially adverse events could reduce our cash flows from operations. In such an event, we could be forced to reduce capital expenditures, acquisition activity, share repurchase activity or dividend declarations. In these circumstances we may elect to incur more indebtedness. If we made such an election, there can be no assurances that we will be able to obtain additional financings on acceptable terms. In these circumstances, we would likely use our revolving credit facility to meet our cash needs.</w:t>
      </w:r>
    </w:p>
    <w:p>
      <w:pPr>
        <w:spacing w:after="0" w:line="196"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Our credit facility requires us to comply with certain financial covenants. In the event our interest expense is more than expected due to higher interest rates or our ratio of debt to earnings (as per the credit facility terms) is more than expected, we may not be in compliance with the covenants. This would result in a default under our credit facility. If we were unable to obtain waivers or amendments to the credit facility, the lenders could choose to declare all outstanding borrowings immediately due and payable, which we may not be able to pay in full. Default under our credit agreements or unavailability of this capital source could have a material adverse effect on our ability to meet our borrowing and financial assurance needs.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We are increasingly dependent on technology in our operations and if our technology fails, our business could be adversely affected.</w:t>
      </w:r>
    </w:p>
    <w:p>
      <w:pPr>
        <w:spacing w:after="0" w:line="275"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We may experience problems with our information technology systems that could adversely affect, or even temporarily disrupt, all or a portion of our operations until resolved. These problems could be with respect to the operation of our current systems, or the implementation of new systems. Additionally, any systems failures could impede our ability to timely collect and report financial results in accordance with applicable law and regulations.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6"/>
          <w:szCs w:val="16"/>
          <w:b w:val="1"/>
          <w:bCs w:val="1"/>
          <w:i w:val="1"/>
          <w:iCs w:val="1"/>
          <w:color w:val="auto"/>
        </w:rPr>
        <w:t>We may experience adverse impacts on our results of operations as a result of adopting new accounting standards or interpretations.</w:t>
      </w:r>
    </w:p>
    <w:p>
      <w:pPr>
        <w:spacing w:after="0" w:line="275"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Our implementation of and compliance with changes in accounting rules, including new accounting rules and interpretations, could adversely affect our operating results or cause unanticipated fluctuations in our operating results in future periods.</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principal executive offices are in Houston, Texas, where we lease approximately 390,000 square feet under leases expiring at various times through 2010. We also have field-based administrative offices in Arizona, Illinois, Pennsylvania, New Hampshire, Georgia and Ontario, Canada. We own or lease real property in most locations where we have operations. We have operations in each of the fifty states other than Montana and Wyoming. We also have operations in the District of Columbia, Puerto Rico and throughout Canada.</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principal property and equipment consist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future acquisitions. For more information, see Management’s Discussion and Analysis of Financial Condition and Results of Operations included within this report.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various operations at December 31 for the periods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2004</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Landfills:</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80" w:type="dxa"/>
            <w:vAlign w:val="bottom"/>
            <w:gridSpan w:val="2"/>
          </w:tcPr>
          <w:p>
            <w:pPr>
              <w:ind w:left="220"/>
              <w:spacing w:after="0"/>
              <w:rPr>
                <w:sz w:val="20"/>
                <w:szCs w:val="20"/>
                <w:color w:val="auto"/>
              </w:rPr>
            </w:pPr>
            <w:r>
              <w:rPr>
                <w:rFonts w:ascii="Arial" w:cs="Arial" w:eastAsia="Arial" w:hAnsi="Arial"/>
                <w:sz w:val="18"/>
                <w:szCs w:val="18"/>
                <w:color w:val="auto"/>
              </w:rPr>
              <w:t>Owned or operated through lease agreements</w:t>
            </w:r>
          </w:p>
        </w:tc>
        <w:tc>
          <w:tcPr>
            <w:tcW w:w="3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248(a)</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Operated through contractual agreements</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38</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286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Transfer stations</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381</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Material recovery facilities</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106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Secondary processing facilities</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13</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Waste-to-energy facilities</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Independent power production plants</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6</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540" w:hanging="352"/>
        <w:spacing w:after="0" w:line="268"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 landfill in Ontario, Canada that was held-for-sale at December 31, 2004 and divested in January 2005. Refer to Note 24 to the consolidated financial statements for information regarding the divestiture.</w:t>
      </w:r>
    </w:p>
    <w:p>
      <w:pPr>
        <w:spacing w:after="0" w:line="213"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The following table provides certain information by Group regarding the 248 landfills owned or operated through lease agreements and a count, by Group, of contracted disposal sites as of December 31, 2004:</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Permitted</w:t>
            </w:r>
          </w:p>
        </w:tc>
        <w:tc>
          <w:tcPr>
            <w:tcW w:w="300" w:type="dxa"/>
            <w:vAlign w:val="bottom"/>
          </w:tcPr>
          <w:p>
            <w:pPr>
              <w:spacing w:after="0"/>
              <w:rPr>
                <w:sz w:val="14"/>
                <w:szCs w:val="1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Probable Expansion</w:t>
            </w:r>
          </w:p>
        </w:tc>
        <w:tc>
          <w:tcPr>
            <w:tcW w:w="30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Contracted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rPr>
              <w:t>Landfills</w:t>
            </w:r>
          </w:p>
        </w:tc>
        <w:tc>
          <w:tcPr>
            <w:tcW w:w="30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Acreage(a)</w:t>
            </w:r>
          </w:p>
        </w:tc>
        <w:tc>
          <w:tcPr>
            <w:tcW w:w="30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Acreage(b)</w:t>
            </w:r>
          </w:p>
        </w:tc>
        <w:tc>
          <w:tcPr>
            <w:tcW w:w="30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Acreage(c)</w:t>
            </w:r>
          </w:p>
        </w:tc>
        <w:tc>
          <w:tcPr>
            <w:tcW w:w="30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Disposal Sites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Canadian</w:t>
            </w: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5,303</w:t>
            </w:r>
          </w:p>
        </w:tc>
        <w:tc>
          <w:tcPr>
            <w:tcW w:w="38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1,326</w:t>
            </w:r>
          </w:p>
        </w:tc>
        <w:tc>
          <w:tcPr>
            <w:tcW w:w="4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1,107</w:t>
            </w:r>
          </w:p>
        </w:tc>
        <w:tc>
          <w:tcPr>
            <w:tcW w:w="8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27,984</w:t>
            </w:r>
          </w:p>
        </w:tc>
        <w:tc>
          <w:tcPr>
            <w:tcW w:w="38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5,926</w:t>
            </w:r>
          </w:p>
        </w:tc>
        <w:tc>
          <w:tcPr>
            <w:tcW w:w="4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979</w:t>
            </w:r>
          </w:p>
        </w:tc>
        <w:tc>
          <w:tcPr>
            <w:tcW w:w="8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Midwest</w:t>
            </w: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30,222</w:t>
            </w:r>
          </w:p>
        </w:tc>
        <w:tc>
          <w:tcPr>
            <w:tcW w:w="38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8,889</w:t>
            </w:r>
          </w:p>
        </w:tc>
        <w:tc>
          <w:tcPr>
            <w:tcW w:w="4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989</w:t>
            </w:r>
          </w:p>
        </w:tc>
        <w:tc>
          <w:tcPr>
            <w:tcW w:w="8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38,536</w:t>
            </w:r>
          </w:p>
        </w:tc>
        <w:tc>
          <w:tcPr>
            <w:tcW w:w="38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11,571</w:t>
            </w:r>
          </w:p>
        </w:tc>
        <w:tc>
          <w:tcPr>
            <w:tcW w:w="4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1,144</w:t>
            </w:r>
          </w:p>
        </w:tc>
        <w:tc>
          <w:tcPr>
            <w:tcW w:w="8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Western</w:t>
            </w: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34,092</w:t>
            </w:r>
          </w:p>
        </w:tc>
        <w:tc>
          <w:tcPr>
            <w:tcW w:w="38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6,501</w:t>
            </w:r>
          </w:p>
        </w:tc>
        <w:tc>
          <w:tcPr>
            <w:tcW w:w="4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1,272</w:t>
            </w:r>
          </w:p>
        </w:tc>
        <w:tc>
          <w:tcPr>
            <w:tcW w:w="8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136,918</w:t>
            </w:r>
          </w:p>
        </w:tc>
        <w:tc>
          <w:tcPr>
            <w:tcW w:w="38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34,502</w:t>
            </w:r>
          </w:p>
        </w:tc>
        <w:tc>
          <w:tcPr>
            <w:tcW w:w="4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5,491</w:t>
            </w:r>
          </w:p>
        </w:tc>
        <w:tc>
          <w:tcPr>
            <w:tcW w:w="8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right="140" w:hanging="232"/>
        <w:spacing w:after="0" w:line="268"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acreage includes permitted acreage, probable expansion acreage, other acreage available for future disposal that has not been permitted, buffer land and other land owned by our landfill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 w:name="page23"/>
    <w:bookmarkEnd w:id="22"/>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Permitted acreage consists of all acreage at the landfill encompassed by an active permit to dispose of waste.</w:t>
      </w:r>
    </w:p>
    <w:p>
      <w:pPr>
        <w:spacing w:after="0" w:line="252" w:lineRule="exact"/>
        <w:rPr>
          <w:rFonts w:ascii="Arial" w:cs="Arial" w:eastAsia="Arial" w:hAnsi="Arial"/>
          <w:sz w:val="18"/>
          <w:szCs w:val="18"/>
          <w:color w:val="auto"/>
        </w:rPr>
      </w:pPr>
    </w:p>
    <w:p>
      <w:pPr>
        <w:ind w:left="240" w:right="500" w:hanging="232"/>
        <w:spacing w:after="0" w:line="332"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Probable expansion acreage consists of unpermitted acreage where the related expansion efforts meet our criteria to be included as likely expansions. A discussion of the related criteria is included within the section Critical Accounting Estimates and Assumptions included herein.</w:t>
      </w:r>
    </w:p>
    <w:p>
      <w:pPr>
        <w:spacing w:after="0" w:line="3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Information regarding our legal proceedings can be found under the “Litigation” section of Note 10 in the consolidated financial statements included in this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submit any matters to a vote of our stockholders during the fourth quarter of 2004.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common stock is traded on the New York Stock Exchange (“NYSE”) under the symbol “WMI.” The following table sets forth the range of the high and low per share sales prices for our common stock as reported on the NYSE:</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$24.55</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26.03</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26.93</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29.72</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2004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$30.61</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31.00</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30.66</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31.42</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 (through February 11, 2005)</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$30.38</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On February 11, 2005, the closing sale price as reported on the NYSE was $29.77 per share. The number of holders of record of our common stock at February 11, 2005 was 18,465.</w:t>
      </w:r>
    </w:p>
    <w:p>
      <w:pPr>
        <w:spacing w:after="0" w:line="21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We declared and paid cash dividends of $0.01 per share, or approximately $6 million, during 2002 and 2003. In August 2003, we announced that our Board of Directors approved a capital allocation program that included a quarterly dividend program beginning in 2004. We declared and paid quarterly cash dividends of $0.1875 per share each quarter in 2004 for a total of approximately $432 million.</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February 2002, we announced that our Board of Directors had approved a stock repurchase program pursuant to which up to $1 billion of shares of our common stock could be purchased each year through 2004. In August 2003, we announced that beginning in 2004, the $1 billion approved would be available for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3" w:name="page24"/>
    <w:bookmarkEnd w:id="23"/>
    <w:p>
      <w:pPr>
        <w:ind w:right="180"/>
        <w:spacing w:after="0" w:line="268" w:lineRule="auto"/>
        <w:rPr>
          <w:sz w:val="20"/>
          <w:szCs w:val="20"/>
          <w:color w:val="auto"/>
        </w:rPr>
      </w:pPr>
      <w:r>
        <w:rPr>
          <w:rFonts w:ascii="Arial" w:cs="Arial" w:eastAsia="Arial" w:hAnsi="Arial"/>
          <w:sz w:val="18"/>
          <w:szCs w:val="18"/>
          <w:color w:val="auto"/>
        </w:rPr>
        <w:t>repurchases and a quarterly dividend program. All of our equity repurchases in 2004 have been made pursuant to that program. The following table summarizes our fourth quarter 2004 activity: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Total Number of Shares</w:t>
            </w:r>
          </w:p>
        </w:tc>
        <w:tc>
          <w:tcPr>
            <w:tcW w:w="240" w:type="dxa"/>
            <w:vAlign w:val="bottom"/>
          </w:tcPr>
          <w:p>
            <w:pPr>
              <w:spacing w:after="0"/>
              <w:rPr>
                <w:sz w:val="14"/>
                <w:szCs w:val="14"/>
                <w:color w:val="auto"/>
              </w:rPr>
            </w:pPr>
          </w:p>
        </w:tc>
        <w:tc>
          <w:tcPr>
            <w:tcW w:w="3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Approximate 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240" w:type="dxa"/>
            <w:vAlign w:val="bottom"/>
          </w:tcPr>
          <w:p>
            <w:pPr>
              <w:spacing w:after="0"/>
              <w:rPr>
                <w:sz w:val="12"/>
                <w:szCs w:val="12"/>
                <w:color w:val="auto"/>
              </w:rPr>
            </w:pPr>
          </w:p>
        </w:tc>
        <w:tc>
          <w:tcPr>
            <w:tcW w:w="3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Value of 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24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240" w:type="dxa"/>
            <w:vAlign w:val="bottom"/>
          </w:tcPr>
          <w:p>
            <w:pPr>
              <w:spacing w:after="0"/>
              <w:rPr>
                <w:sz w:val="12"/>
                <w:szCs w:val="12"/>
                <w:color w:val="auto"/>
              </w:rPr>
            </w:pPr>
          </w:p>
        </w:tc>
        <w:tc>
          <w:tcPr>
            <w:tcW w:w="3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be Purchased Under the Plans</w:t>
            </w:r>
          </w:p>
        </w:tc>
        <w:tc>
          <w:tcPr>
            <w:tcW w:w="0" w:type="dxa"/>
            <w:vAlign w:val="bottom"/>
          </w:tcPr>
          <w:p>
            <w:pPr>
              <w:spacing w:after="0"/>
              <w:rPr>
                <w:sz w:val="1"/>
                <w:szCs w:val="1"/>
                <w:color w:val="auto"/>
              </w:rPr>
            </w:pPr>
          </w:p>
        </w:tc>
      </w:tr>
      <w:tr>
        <w:trPr>
          <w:trHeight w:val="174"/>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Purchased</w:t>
            </w:r>
          </w:p>
        </w:tc>
        <w:tc>
          <w:tcPr>
            <w:tcW w:w="24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Paid per Share(a)</w:t>
            </w:r>
          </w:p>
        </w:tc>
        <w:tc>
          <w:tcPr>
            <w:tcW w:w="240" w:type="dxa"/>
            <w:vAlign w:val="bottom"/>
          </w:tcPr>
          <w:p>
            <w:pPr>
              <w:spacing w:after="0"/>
              <w:rPr>
                <w:sz w:val="15"/>
                <w:szCs w:val="15"/>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240" w:type="dxa"/>
            <w:vAlign w:val="bottom"/>
          </w:tcPr>
          <w:p>
            <w:pPr>
              <w:spacing w:after="0"/>
              <w:rPr>
                <w:sz w:val="15"/>
                <w:szCs w:val="15"/>
                <w:color w:val="auto"/>
              </w:rPr>
            </w:pPr>
          </w:p>
        </w:tc>
        <w:tc>
          <w:tcPr>
            <w:tcW w:w="3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or Programs(b)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October 1-31</w:t>
            </w: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908,500</w:t>
            </w:r>
          </w:p>
        </w:tc>
        <w:tc>
          <w:tcPr>
            <w:tcW w:w="300" w:type="dxa"/>
            <w:vAlign w:val="bottom"/>
            <w:shd w:val="clear" w:color="auto" w:fill="EEEEEE"/>
          </w:tcPr>
          <w:p>
            <w:pPr>
              <w:spacing w:after="0"/>
              <w:rPr>
                <w:sz w:val="18"/>
                <w:szCs w:val="18"/>
                <w:color w:val="auto"/>
              </w:rPr>
            </w:pPr>
          </w:p>
        </w:tc>
        <w:tc>
          <w:tcPr>
            <w:tcW w:w="19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90"/>
              </w:rPr>
              <w:t>$27.12</w:t>
            </w:r>
          </w:p>
        </w:tc>
        <w:tc>
          <w:tcPr>
            <w:tcW w:w="1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908,500</w:t>
            </w:r>
          </w:p>
        </w:tc>
        <w:tc>
          <w:tcPr>
            <w:tcW w:w="8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EEEEEE"/>
          </w:tcPr>
          <w:p>
            <w:pPr>
              <w:jc w:val="center"/>
              <w:ind w:right="1012"/>
              <w:spacing w:after="0"/>
              <w:rPr>
                <w:sz w:val="20"/>
                <w:szCs w:val="20"/>
                <w:color w:val="auto"/>
              </w:rPr>
            </w:pPr>
            <w:r>
              <w:rPr>
                <w:rFonts w:ascii="Arial" w:cs="Arial" w:eastAsia="Arial" w:hAnsi="Arial"/>
                <w:sz w:val="18"/>
                <w:szCs w:val="18"/>
                <w:color w:val="auto"/>
                <w:w w:val="95"/>
              </w:rPr>
              <w:t>214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November 1-30</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2,481,200</w:t>
            </w:r>
          </w:p>
        </w:tc>
        <w:tc>
          <w:tcPr>
            <w:tcW w:w="300" w:type="dxa"/>
            <w:vAlign w:val="bottom"/>
          </w:tcPr>
          <w:p>
            <w:pPr>
              <w:spacing w:after="0"/>
              <w:rPr>
                <w:sz w:val="18"/>
                <w:szCs w:val="18"/>
                <w:color w:val="auto"/>
              </w:rPr>
            </w:pPr>
          </w:p>
        </w:tc>
        <w:tc>
          <w:tcPr>
            <w:tcW w:w="196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$29.52</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2,481,200</w:t>
            </w:r>
          </w:p>
        </w:tc>
        <w:tc>
          <w:tcPr>
            <w:tcW w:w="8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right="1012"/>
              <w:spacing w:after="0"/>
              <w:rPr>
                <w:sz w:val="20"/>
                <w:szCs w:val="20"/>
                <w:color w:val="auto"/>
              </w:rPr>
            </w:pPr>
            <w:r>
              <w:rPr>
                <w:rFonts w:ascii="Arial" w:cs="Arial" w:eastAsia="Arial" w:hAnsi="Arial"/>
                <w:sz w:val="18"/>
                <w:szCs w:val="18"/>
                <w:color w:val="auto"/>
                <w:w w:val="95"/>
              </w:rPr>
              <w:t>141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December 1-31</w:t>
            </w: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1,477,100</w:t>
            </w:r>
          </w:p>
        </w:tc>
        <w:tc>
          <w:tcPr>
            <w:tcW w:w="300" w:type="dxa"/>
            <w:vAlign w:val="bottom"/>
            <w:shd w:val="clear" w:color="auto" w:fill="EEEEEE"/>
          </w:tcPr>
          <w:p>
            <w:pPr>
              <w:spacing w:after="0"/>
              <w:rPr>
                <w:sz w:val="18"/>
                <w:szCs w:val="18"/>
                <w:color w:val="auto"/>
              </w:rPr>
            </w:pPr>
          </w:p>
        </w:tc>
        <w:tc>
          <w:tcPr>
            <w:tcW w:w="19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90"/>
              </w:rPr>
              <w:t>$30.25</w:t>
            </w:r>
          </w:p>
        </w:tc>
        <w:tc>
          <w:tcPr>
            <w:tcW w:w="1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1,477,100</w:t>
            </w:r>
          </w:p>
        </w:tc>
        <w:tc>
          <w:tcPr>
            <w:tcW w:w="8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EEEEEE"/>
          </w:tcPr>
          <w:p>
            <w:pPr>
              <w:jc w:val="right"/>
              <w:ind w:right="1012"/>
              <w:spacing w:after="0"/>
              <w:rPr>
                <w:sz w:val="20"/>
                <w:szCs w:val="20"/>
                <w:color w:val="auto"/>
              </w:rPr>
            </w:pPr>
            <w:r>
              <w:rPr>
                <w:rFonts w:ascii="Arial" w:cs="Arial" w:eastAsia="Arial" w:hAnsi="Arial"/>
                <w:sz w:val="18"/>
                <w:szCs w:val="18"/>
                <w:color w:val="auto"/>
              </w:rPr>
              <w:t>96 million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880" w:type="dxa"/>
            <w:vAlign w:val="bottom"/>
          </w:tcPr>
          <w:p>
            <w:pPr>
              <w:ind w:left="240"/>
              <w:spacing w:after="0"/>
              <w:rPr>
                <w:sz w:val="20"/>
                <w:szCs w:val="20"/>
                <w:color w:val="auto"/>
              </w:rPr>
            </w:pPr>
            <w:r>
              <w:rPr>
                <w:rFonts w:ascii="Arial" w:cs="Arial" w:eastAsia="Arial" w:hAnsi="Arial"/>
                <w:sz w:val="18"/>
                <w:szCs w:val="18"/>
                <w:color w:val="auto"/>
              </w:rPr>
              <w:t>Total</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4,866,800</w:t>
            </w:r>
          </w:p>
        </w:tc>
        <w:tc>
          <w:tcPr>
            <w:tcW w:w="300" w:type="dxa"/>
            <w:vAlign w:val="bottom"/>
          </w:tcPr>
          <w:p>
            <w:pPr>
              <w:spacing w:after="0"/>
              <w:rPr>
                <w:sz w:val="24"/>
                <w:szCs w:val="24"/>
                <w:color w:val="auto"/>
              </w:rPr>
            </w:pPr>
          </w:p>
        </w:tc>
        <w:tc>
          <w:tcPr>
            <w:tcW w:w="196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$29.29</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4,866,800</w:t>
            </w:r>
          </w:p>
        </w:tc>
        <w:tc>
          <w:tcPr>
            <w:tcW w:w="8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amount represents the weighted average price paid per common share and includes a per share commission paid for all repurchases.</w:t>
      </w:r>
    </w:p>
    <w:p>
      <w:pPr>
        <w:spacing w:after="0" w:line="275"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disclosure of the maximum approximate dollar value of shares yet to be purchased under the program is required by the SEC. As discussed above, the amount of capital available for share repurchases during 2004 was $1 billion, net of dividends paid. During the nine months ended September 30, 2004, we declared and paid approximately $326 million in dividends and repurchased approximately $329 million of our common stock. We have also excluded the impact of the $106 million of dividends that we declared and paid during the fourth quarter of 2004. The total amount available for repurchases under the plan is shown as zero because the plan, by its terms, expired at the end of 2004. However, as discussed in Note 14 to the consolidated financial statements, our Board of Directors has approved a new capital allocation program beginning in 2005 that provides for stock repurchases and dividend payments of up to $1.2 billion each year through 2007.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 w:name="page25"/>
    <w:bookmarkEnd w:id="24"/>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information below was derived from the audited consolidated financial statements included in this report and in reports we have previously filed with the SEC. This information should be read together with those consolidated financial statements and the notes to the consolidated financial statements.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2004(a)</w:t>
            </w:r>
          </w:p>
        </w:tc>
        <w:tc>
          <w:tcPr>
            <w:tcW w:w="28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2003(a)</w:t>
            </w:r>
          </w:p>
        </w:tc>
        <w:tc>
          <w:tcPr>
            <w:tcW w:w="280" w:type="dxa"/>
            <w:vAlign w:val="bottom"/>
          </w:tcPr>
          <w:p>
            <w:pPr>
              <w:spacing w:after="0"/>
              <w:rPr>
                <w:sz w:val="22"/>
                <w:szCs w:val="22"/>
                <w:color w:val="auto"/>
              </w:rPr>
            </w:pPr>
          </w:p>
        </w:tc>
        <w:tc>
          <w:tcPr>
            <w:tcW w:w="1380" w:type="dxa"/>
            <w:vAlign w:val="bottom"/>
            <w:gridSpan w:val="5"/>
          </w:tcPr>
          <w:p>
            <w:pPr>
              <w:ind w:left="280"/>
              <w:spacing w:after="0"/>
              <w:rPr>
                <w:sz w:val="20"/>
                <w:szCs w:val="20"/>
                <w:color w:val="auto"/>
              </w:rPr>
            </w:pPr>
            <w:r>
              <w:rPr>
                <w:rFonts w:ascii="Arial" w:cs="Arial" w:eastAsia="Arial" w:hAnsi="Arial"/>
                <w:sz w:val="14"/>
                <w:szCs w:val="14"/>
                <w:b w:val="1"/>
                <w:bCs w:val="1"/>
                <w:color w:val="auto"/>
              </w:rPr>
              <w:t>2002(a)</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2001(b)</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2000(c)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6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86"/>
              </w:rPr>
              <w:t>(In millions, except per share amounts)</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revenues(d)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11,648</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11,211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11,322</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12,492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Operating (exclusive of depreciation and amortization shown</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400"/>
              <w:spacing w:after="0"/>
              <w:rPr>
                <w:sz w:val="20"/>
                <w:szCs w:val="20"/>
                <w:color w:val="auto"/>
              </w:rPr>
            </w:pPr>
            <w:r>
              <w:rPr>
                <w:rFonts w:ascii="Arial" w:cs="Arial" w:eastAsia="Arial" w:hAnsi="Arial"/>
                <w:sz w:val="18"/>
                <w:szCs w:val="18"/>
                <w:color w:val="auto"/>
              </w:rPr>
              <w:t>below)(d)</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8,228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7,591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6,949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6,666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7,538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1,216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1,392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1,622</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1,738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1,265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Restructuring</w:t>
            </w:r>
          </w:p>
        </w:tc>
        <w:tc>
          <w:tcPr>
            <w:tcW w:w="3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Asset impairments and unusual items</w:t>
            </w:r>
          </w:p>
        </w:tc>
        <w:tc>
          <w:tcPr>
            <w:tcW w:w="3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32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10,817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10,108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9,567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10,039</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11,454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1,540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expense, net</w:t>
            </w:r>
          </w:p>
        </w:tc>
        <w:tc>
          <w:tcPr>
            <w:tcW w:w="3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(402)</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(499)</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3"/>
          </w:tcPr>
          <w:p>
            <w:pPr>
              <w:spacing w:after="0"/>
              <w:rPr>
                <w:sz w:val="20"/>
                <w:szCs w:val="20"/>
                <w:color w:val="auto"/>
              </w:rPr>
            </w:pPr>
            <w:r>
              <w:rPr>
                <w:rFonts w:ascii="Arial" w:cs="Arial" w:eastAsia="Arial" w:hAnsi="Arial"/>
                <w:sz w:val="18"/>
                <w:szCs w:val="18"/>
                <w:color w:val="auto"/>
              </w:rPr>
              <w:t>Income before income taxes and accounting changes</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1,123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1,242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3"/>
          </w:tcPr>
          <w:p>
            <w:pPr>
              <w:spacing w:after="0"/>
              <w:rPr>
                <w:sz w:val="20"/>
                <w:szCs w:val="20"/>
                <w:color w:val="auto"/>
              </w:rPr>
            </w:pPr>
            <w:r>
              <w:rPr>
                <w:rFonts w:ascii="Arial" w:cs="Arial" w:eastAsia="Arial" w:hAnsi="Arial"/>
                <w:sz w:val="18"/>
                <w:szCs w:val="18"/>
                <w:color w:val="auto"/>
              </w:rPr>
              <w:t>Income (loss) before accounting changes</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Accounting changes, net of taxes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Basic earnings (loss) per common share:</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Income (loss) before accounting changes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Accounting changes, net of taxes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Diluted earnings (loss) per common share:</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Income (loss) before accounting changes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Accounting changes, net of taxes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dividends per common share</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3"/>
            <w:vMerge w:val="continue"/>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Working capital (deficit)(e),(f)</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(386)</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7"/>
              </w:rPr>
              <w:t>(1,015)</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(597)</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Goodwill and other intangible assets, net(f)</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5,376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5,184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assets(f),(g)</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20,905</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20,382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19,951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19,515</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18,565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Debt, including current portion</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8,511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8,293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Stockholders’ equity(e)</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5,602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5,310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5,392</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4,801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50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more information regarding this financial data, see the Management’s Discussion and Analysis of Financial Condition and Results of Operations section included in this report. For disclosures associated with the impact of the adoption of new accounting pronouncements and changes in our accounting policies on the comparability of this information, see Note 2 of the consolidated financial statements and subnotes d, e, f and g below.</w:t>
      </w:r>
    </w:p>
    <w:p>
      <w:pPr>
        <w:spacing w:after="0" w:line="187"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2001, we recorded $380 million as asset impairments and unusual items, which was mainly comprised of a net charge of $374 million, for the settlement reached in connection with the stockholder class action lawsuit filed against us in July 1999 alleging violations of the federal securities laws. In the third quarter of 2003, we made the final net cash settlement payment of $377 million, which is the amount provided by the settlement agreement plus accrued interest less recoveries.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179" w:right="239" w:bottom="0" w:gutter="0" w:footer="0" w:header="0"/>
        </w:sectPr>
      </w:pPr>
    </w:p>
    <w:bookmarkStart w:id="25" w:name="page26"/>
    <w:bookmarkEnd w:id="25"/>
    <w:p>
      <w:pPr>
        <w:ind w:left="452" w:right="600" w:hanging="452"/>
        <w:spacing w:after="0" w:line="268"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2000, we incurred $749 million in asset impairment and unusual item costs due primarily to the sale of our international operations and the termination of Waste Management Holdings’ defined benefit plan.</w:t>
      </w:r>
    </w:p>
    <w:p>
      <w:pPr>
        <w:spacing w:after="0" w:line="212" w:lineRule="exact"/>
        <w:rPr>
          <w:rFonts w:ascii="Arial" w:cs="Arial" w:eastAsia="Arial" w:hAnsi="Arial"/>
          <w:sz w:val="18"/>
          <w:szCs w:val="18"/>
          <w:color w:val="auto"/>
        </w:rPr>
      </w:pPr>
    </w:p>
    <w:p>
      <w:pPr>
        <w:ind w:left="452" w:hanging="452"/>
        <w:spacing w:after="0" w:line="294"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 January 1, 2004, we began recording all mandatory fees and taxes that create direct obligations for us as operating expenses and recording revenue when the fees and taxes are billed to our customers. In prior years, certain of these costs had been treated as pass-through costs for financial reporting purposes. We have conformed the 2003 and 2002 presentation of our revenues and expenses with the current year’s presentation by increasing both our revenue and our operating expense by approximately $74 million for the year ended December 31, 2003 and by approximately $69 million for the year ended December 31, 2002. We did not make conforming adjustments for 2001 or 2000.</w:t>
      </w:r>
    </w:p>
    <w:p>
      <w:pPr>
        <w:spacing w:after="0" w:line="196" w:lineRule="exact"/>
        <w:rPr>
          <w:rFonts w:ascii="Arial" w:cs="Arial" w:eastAsia="Arial" w:hAnsi="Arial"/>
          <w:sz w:val="16"/>
          <w:szCs w:val="16"/>
          <w:color w:val="auto"/>
        </w:rPr>
      </w:pPr>
    </w:p>
    <w:p>
      <w:pPr>
        <w:ind w:left="452" w:right="540" w:hanging="452"/>
        <w:spacing w:after="0" w:line="306"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amounts related to our consolidated Canadian operations required adjustment to fully capture the impact of accounting for foreign currency translation adjustments. As a result, we have decreased both our accrued liabilities balance and our accumulated other comprehensive loss by approximately $39 million at December 31, 2003 and by approximately $2 million at December 31, 2002.</w:t>
      </w:r>
    </w:p>
    <w:p>
      <w:pPr>
        <w:spacing w:after="0" w:line="187" w:lineRule="exact"/>
        <w:rPr>
          <w:rFonts w:ascii="Arial" w:cs="Arial" w:eastAsia="Arial" w:hAnsi="Arial"/>
          <w:sz w:val="16"/>
          <w:szCs w:val="16"/>
          <w:color w:val="auto"/>
        </w:rPr>
      </w:pPr>
    </w:p>
    <w:p>
      <w:pPr>
        <w:ind w:left="452" w:right="40" w:hanging="452"/>
        <w:spacing w:after="0" w:line="255"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fourth quarter of 2004, we completed a detailed review of our deferred tax balances and tax-basis balance sheets. The culmination of this effort was a decrease in our net current deferred tax assets of approximately $310 million and a decrease in our net long-term deferred tax liabilities of approximately $356 million as of December 31, 2003. The resultant over accrual of our net deferred tax liability of approximately $46 million was recorded as a reduction of goodwill as this adjustment is associated with our previous acquisition activity. Our deferred tax balances and goodwill as of December 31, 2003 have been adjusted to reflect this change.</w:t>
      </w:r>
    </w:p>
    <w:p>
      <w:pPr>
        <w:spacing w:after="0" w:line="223" w:lineRule="exact"/>
        <w:rPr>
          <w:rFonts w:ascii="Arial" w:cs="Arial" w:eastAsia="Arial" w:hAnsi="Arial"/>
          <w:sz w:val="18"/>
          <w:szCs w:val="18"/>
          <w:color w:val="auto"/>
        </w:rPr>
      </w:pPr>
    </w:p>
    <w:p>
      <w:pPr>
        <w:ind w:left="452" w:right="400" w:hanging="452"/>
        <w:spacing w:after="0" w:line="306"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cash accounts with negative balances and no legal right of offset had been included in cash and cash equivalents on our balance sheet in prior periods. As a result, we increased both our cash and cash equivalents and accounts payable balances for December 31, 2003, 2002 and 2001 by approximately $82 million, $95 million and $25 million, respectively. We did not adjust these balances as of December 31, 2000.</w:t>
      </w:r>
    </w:p>
    <w:p>
      <w:pPr>
        <w:spacing w:after="0" w:line="16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185" w:right="299" w:bottom="1440" w:gutter="0" w:footer="0" w:header="0"/>
        </w:sectPr>
      </w:pPr>
    </w:p>
    <w:bookmarkStart w:id="26" w:name="page27"/>
    <w:bookmarkEnd w:id="26"/>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This section includes a discussion of our operations for the three years ended December 31, 2004. This discussion may contain forward-looking statements that anticipate results based on management’s plans that are subject to uncertainty. We discuss in more detail various factors that could cause actual results to differ from expectations in Item 1 of this report, under the section “Factors Influencing Future Results and Accuracy of Forward-Looking Statements.” The following discussion should be read in light of that disclosure and together with the consolidated financial statements and the 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had some positive experiences in 2004, but also some challenges. Volumes were generally strong throughout 2004, providing the most significant volume-related revenue growth we had seen in a few years. While generating revenue growth from pricing remained difficult, we experienced a positive change in yield on base business in 2004. We had reasonable success with price increases to existing customers in our collection line of business in most markets. However, we continue to experience increased pricing competition in our collection operations, characterized by offers from competitors to our customers to provide the same services at much lower prices than we are charging and by lower average rates being offered by the competition on new business bids. This was especially prevalent in the Midwest Group. Additionally, we experienced declines in yield from 2003 to 2004 for our landfill operations, due largely to competitive pricing on special waste, although those declines were partially offset by increased municipal solid waste pricing.</w:t>
      </w:r>
    </w:p>
    <w:p>
      <w:pPr>
        <w:spacing w:after="0" w:line="199"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Although we saw an economic recovery in 2004 that brought with it increased volumes, we did not experience significantly increased pricing. We previously implemented a pricing model for our collection operations, and recently announced a landfill pricing study. Pursuant to this study, we chose 30 landfills at which we will be increasing pricing on municipal solid waste and construction and demolition waste. The objective is to gather and analyze information to help us better understand the reactions to the increases, which will help us to manage our pricing in the future.</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also had continued success in implementing our operational excellence initiatives during 2004. In the area of safety, we launched Mission to Zero in late 2000 with the objective of promoting zero tolerance for unsafe actions, conditions and attitudes across the organization. Our goal is to attain world-class safety for the protection of our employees, customers and communities. We continue to see improvements in both our total recordable incident rate and hourly accident recordable rate, which are the metrics we use to measure our success in attaining this goal. We also continued to make progress in 2004 in the area of fleet maintenance and route optimization. The metric we use for our fleet maintenance is maintenance cost per driver hour, which we try to improve through basic planning and scheduling of maintenance work as well as enhanced training. For our route optimization initiative, we use a proprietary software application called WasteRoute, designed to help us organize our routes more efficiently. We believe the optimization initiative has resulted in improved productivity as we continue to reduce the number of routes. Our plans going forward are to institutionalize the best practices we have identified to support our future productivity improvement.</w:t>
      </w:r>
    </w:p>
    <w:p>
      <w:pPr>
        <w:spacing w:after="0" w:line="20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2004, we experienced increases in operating expenses and selling, general and administrative expenses as compared with the prior year. However, these costs as a percentage of revenues remained relatively flat, which we believe demonstrates the effectiveness of our cost reduction programs in these areas. We experienced the increases in operating expenses that are expected as a result of increased revenues. The biggest drivers increasing costs of operations were increased subcontractor costs as a result of higher volumes, some of which came from the hurricane clean up work, higher costs of goods sold, fuel costs and an increase in the cost of steel. Our costs of goods sold include rebates made by the Recycling Group to suppliers, and are based on market prices of recyclable commodities. Fuel costs also increased during the year, although a significant portion of those costs were offset through our fuel surcharges to customers. The increase in dollars spent in 2004 on selling, general and administrative costs related to increased salaries and wages and increased commissions and bonuses, which are a result of the overall improvement in our operating results. Additionally, we experienced increased professional fees as a result of our compliance with Section 404 of the Sarbanes-Oxley Act of 2002 and increased litigation, defense and indemnification costs related to legal matters.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7" w:name="page28"/>
    <w:bookmarkEnd w:id="27"/>
    <w:p>
      <w:pPr>
        <w:ind w:right="140" w:firstLine="324"/>
        <w:spacing w:after="0" w:line="254" w:lineRule="auto"/>
        <w:rPr>
          <w:sz w:val="20"/>
          <w:szCs w:val="20"/>
          <w:color w:val="auto"/>
        </w:rPr>
      </w:pPr>
      <w:r>
        <w:rPr>
          <w:rFonts w:ascii="Arial" w:cs="Arial" w:eastAsia="Arial" w:hAnsi="Arial"/>
          <w:sz w:val="18"/>
          <w:szCs w:val="18"/>
          <w:color w:val="auto"/>
        </w:rPr>
        <w:t>We believe that the production of free cash flow is a very important measure of our liquidity and operating results as it is indicative of our ability to pay our quarterly dividends, repurchase stock and execute our acquisition program. Free cash flow is not a measure of financial performance under generally accepted accounting principles and is not intended to replace the consolidated statement of cash flows that was prepared in accordance with GAAP. We generated approximately $1.06 billion in free cash flow for the year ended December 31, 2004. Free cash flow is calculated by subtracting capital expenditures from net cash provided by operating activities, and adding to that the proceeds from divestitures, net of cash divested, and other sales of assets, as shown in the following table (in millions):</w:t>
      </w:r>
    </w:p>
    <w:p>
      <w:pPr>
        <w:spacing w:after="0" w:line="39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$ 2,218</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Capital expenditures</w:t>
            </w:r>
          </w:p>
        </w:tc>
        <w:tc>
          <w:tcPr>
            <w:tcW w:w="2100" w:type="dxa"/>
            <w:vAlign w:val="bottom"/>
            <w:gridSpan w:val="3"/>
          </w:tcPr>
          <w:p>
            <w:pPr>
              <w:jc w:val="right"/>
              <w:ind w:right="72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w w:val="92"/>
              </w:rPr>
              <w:t>Proceeds from divestitures of businesses, net of cash divested, and other sales</w:t>
            </w: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of assets</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7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8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$ 1,056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We are projecting full-year 2005 free cash flow to be in the range of $1.1 billion to $1.2 billion, based on estimated net cash provided by operating activities being in the range of $2.25 billion to $2.35 billion, capital expenditures between $1.25 billion and $1.35 billion, and proceeds from divestitures and other sales of assets of $125 million to $150 million.</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Presentation of Consolidated and Segment Financial Information</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As discussed in Note 2 to the consolidated financial statements, the following reclassifications have been made in our prior period financial statements in order to conform to the current year presentation:</w:t>
      </w:r>
    </w:p>
    <w:p>
      <w:pPr>
        <w:spacing w:after="0" w:line="186" w:lineRule="exact"/>
        <w:rPr>
          <w:sz w:val="20"/>
          <w:szCs w:val="20"/>
          <w:color w:val="auto"/>
        </w:rPr>
      </w:pPr>
    </w:p>
    <w:p>
      <w:pPr>
        <w:jc w:val="both"/>
        <w:ind w:left="460" w:right="220" w:hanging="101"/>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Mandated fees and taxes </w:t>
      </w:r>
      <w:r>
        <w:rPr>
          <w:rFonts w:ascii="Arial" w:cs="Arial" w:eastAsia="Arial" w:hAnsi="Arial"/>
          <w:sz w:val="18"/>
          <w:szCs w:val="18"/>
          <w:color w:val="auto"/>
        </w:rPr>
        <w:t>— We conformed the prior year’s presentation of our revenues and expenses with the current year’s presentation by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both our revenue and our operating expenses by approximately $74 million for the year ended December 31, 2003 and by approximately $69 million for the year ended December 31, 2002.</w:t>
      </w:r>
    </w:p>
    <w:p>
      <w:pPr>
        <w:spacing w:after="0" w:line="221" w:lineRule="exact"/>
        <w:rPr>
          <w:rFonts w:ascii="Arial" w:cs="Arial" w:eastAsia="Arial" w:hAnsi="Arial"/>
          <w:sz w:val="18"/>
          <w:szCs w:val="18"/>
          <w:color w:val="auto"/>
        </w:rPr>
      </w:pPr>
    </w:p>
    <w:p>
      <w:pPr>
        <w:ind w:left="460" w:right="20" w:hanging="101"/>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Cash balances </w:t>
      </w:r>
      <w:r>
        <w:rPr>
          <w:rFonts w:ascii="Arial" w:cs="Arial" w:eastAsia="Arial" w:hAnsi="Arial"/>
          <w:sz w:val="18"/>
          <w:szCs w:val="18"/>
          <w:color w:val="auto"/>
        </w:rPr>
        <w:t>— We increased both our cash and cash equivalents and accounts payable balances at December 31, 2003, 2002 and 2001 by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$82 million, $95 million and $25 million, respectively, upon identifying certain cash accounts with negative balances and no legal right of offset. The related changes in our accounts payable balances during each reporting period have been treated as financing activities within the statement of cash flows as a component of cash used in financing activities — other.</w:t>
      </w:r>
    </w:p>
    <w:p>
      <w:pPr>
        <w:spacing w:after="0" w:line="224"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We decreased both our accrued liabilities balance and our accumulated other comprehensive loss at December 31, 2003</w:t>
      </w:r>
      <w:r>
        <w:rPr>
          <w:rFonts w:ascii="Arial" w:cs="Arial" w:eastAsia="Arial" w:hAnsi="Arial"/>
          <w:sz w:val="18"/>
          <w:szCs w:val="18"/>
          <w:i w:val="1"/>
          <w:iCs w:val="1"/>
          <w:color w:val="auto"/>
        </w:rPr>
        <w:t xml:space="preserve"> </w:t>
      </w:r>
      <w:r>
        <w:rPr>
          <w:rFonts w:ascii="Arial" w:cs="Arial" w:eastAsia="Arial" w:hAnsi="Arial"/>
          <w:sz w:val="18"/>
          <w:szCs w:val="18"/>
          <w:color w:val="auto"/>
        </w:rPr>
        <w:t>and December 31, 2002 by approximately $39 million and $2 million, respectively to reflect an adjustment required to fully capture the impact of foreign currency translation on our consolidated Canadian operations.</w:t>
      </w:r>
    </w:p>
    <w:p>
      <w:pPr>
        <w:spacing w:after="0" w:line="221" w:lineRule="exact"/>
        <w:rPr>
          <w:rFonts w:ascii="Arial" w:cs="Arial" w:eastAsia="Arial" w:hAnsi="Arial"/>
          <w:sz w:val="18"/>
          <w:szCs w:val="18"/>
          <w:color w:val="auto"/>
        </w:rPr>
      </w:pPr>
    </w:p>
    <w:p>
      <w:pPr>
        <w:ind w:left="460" w:hanging="101"/>
        <w:spacing w:after="0" w:line="29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Equity in earnings and losses of unconsolidated entities </w:t>
      </w:r>
      <w:r>
        <w:rPr>
          <w:rFonts w:ascii="Arial" w:cs="Arial" w:eastAsia="Arial" w:hAnsi="Arial"/>
          <w:sz w:val="16"/>
          <w:szCs w:val="16"/>
          <w:color w:val="auto"/>
        </w:rPr>
        <w:t>— Our equity in the earnings of unconsolidated entities has historically been presented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other income in our statements of operations and the related cash flow impact has been reflected as a component of the change in other assets within our statements of cash flows. As a result of investments we made during 2004, this activity has become a more significant component of our net income and operating cash flow activity. Accordingly, we have shown equity in earnings and losses of unconsolidated entities as a separate component within our statement of operations and equity in earnings and losses of unconsolidated entities, net of distributions, as a separate component of cash provided by operating activities. Prior periods have been reclassified to conform to the current period’s presentation.</w:t>
      </w:r>
    </w:p>
    <w:p>
      <w:pPr>
        <w:spacing w:after="0" w:line="201" w:lineRule="exact"/>
        <w:rPr>
          <w:rFonts w:ascii="Arial" w:cs="Arial" w:eastAsia="Arial" w:hAnsi="Arial"/>
          <w:sz w:val="16"/>
          <w:szCs w:val="16"/>
          <w:color w:val="auto"/>
        </w:rPr>
      </w:pPr>
    </w:p>
    <w:p>
      <w:pPr>
        <w:ind w:left="460" w:right="20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Net deferred tax liability </w:t>
      </w:r>
      <w:r>
        <w:rPr>
          <w:rFonts w:ascii="Arial" w:cs="Arial" w:eastAsia="Arial" w:hAnsi="Arial"/>
          <w:sz w:val="18"/>
          <w:szCs w:val="18"/>
          <w:color w:val="auto"/>
        </w:rPr>
        <w:t>— During the fourth quarter of 2004, we completed a detailed review of our deferred tax balances and related tax-basis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The culmination of this effort was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28" w:name="page29"/>
    <w:bookmarkEnd w:id="28"/>
    <w:p>
      <w:pPr>
        <w:ind w:left="460"/>
        <w:spacing w:after="0" w:line="256" w:lineRule="auto"/>
        <w:rPr>
          <w:sz w:val="20"/>
          <w:szCs w:val="20"/>
          <w:color w:val="auto"/>
        </w:rPr>
      </w:pPr>
      <w:r>
        <w:rPr>
          <w:rFonts w:ascii="Arial" w:cs="Arial" w:eastAsia="Arial" w:hAnsi="Arial"/>
          <w:sz w:val="18"/>
          <w:szCs w:val="18"/>
          <w:color w:val="auto"/>
        </w:rPr>
        <w:t>decrease in our net current deferred tax assets of approximately $310 million, and a decrease in our net long-term deferred tax liabilities of approximately $356 million as of December 31, 2003. The resultant over accrual of our net deferred tax liability of approximately $46 million was recorded as a reduction of goodwill as this adjustment is associated with our previous acquisition activity. Our deferred tax balances and goodwill as of December 31, 2003 have been adjusted to reflect this change.</w:t>
      </w:r>
    </w:p>
    <w:p>
      <w:pPr>
        <w:spacing w:after="0" w:line="224" w:lineRule="exact"/>
        <w:rPr>
          <w:sz w:val="20"/>
          <w:szCs w:val="20"/>
          <w:color w:val="auto"/>
        </w:rPr>
      </w:pPr>
    </w:p>
    <w:p>
      <w:pPr>
        <w:ind w:left="460" w:right="80" w:hanging="101"/>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Segments </w:t>
      </w:r>
      <w:r>
        <w:rPr>
          <w:rFonts w:ascii="Arial" w:cs="Arial" w:eastAsia="Arial" w:hAnsi="Arial"/>
          <w:sz w:val="16"/>
          <w:szCs w:val="16"/>
          <w:color w:val="auto"/>
        </w:rPr>
        <w:t>— Early in the third quarter of 2004, we implemented a market realignment that consisted of moving our Ohio operations to the Midwest Group</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Kentucky operations to the Southern Group, both of which were previously in the Eastern Group. We believe that the realignment will provide benefits to each of the operating groups affected. Specifically, the Ohio Market Area faces many of the same issues as other industrial regions in the Midwest Group and the Kentucky Market Area’s rural characteristics make it similar to other markets in the Southern Group. By balancing the revenues between each of the Groups, we will enable the Eastern Group leadership team to focus on the challenges associated with the Northeast corridor. As a result of the realignment, we have reclassified the operating results of the Ohio and Kentucky Market Areas for all periods presented to provide segment financial information that appropriately reflects our approach to managing operations.</w:t>
      </w:r>
    </w:p>
    <w:p>
      <w:pPr>
        <w:spacing w:after="0" w:line="19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Additionally, certain other minor reclassifications have been made to our prior period consolidated financials statements in order to conform to the current year presentation. The financial information included herein has been updated to reflect these changes.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52"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preparing our financial statements, we make several estimates and assumptions that affect our assets, liabilities, stockholders’ equity, revenues and expenses. We must make these estimates and assumptions because certain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below.</w:t>
      </w:r>
    </w:p>
    <w:p>
      <w:pPr>
        <w:spacing w:after="0" w:line="20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Effective January 1, 2003, our method of accounting for landfill closure and post-closure, as well as landfill final capping, changed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adoption of Statement of Financial Accounting Standards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Through December 31, 2002, the waste industry generally recognized expenses associated with (i) amortization of capitalized and future landfill asset costs and (ii) future closure and post-closure obligations on a units-of-consumption basis as airspace was consumed over the life of the related landfill. This practice, referred to as life-cycle accounting within the waste industry, continues to be followed, with the exception of capitalized and future landfill final capping costs. As a result of the adoption of SFAS No. 143, future final capping costs are identified by specific capping event and amortized over the specific estimated capacity related to that event rather than over the life of the entire landfill, as was the practice prior to our adoption of SFAS No. 143.</w:t>
      </w:r>
    </w:p>
    <w:p>
      <w:pPr>
        <w:spacing w:after="0" w:line="199" w:lineRule="exact"/>
        <w:rPr>
          <w:sz w:val="20"/>
          <w:szCs w:val="20"/>
          <w:color w:val="auto"/>
        </w:rPr>
      </w:pPr>
    </w:p>
    <w:p>
      <w:pPr>
        <w:ind w:right="100" w:firstLine="324"/>
        <w:spacing w:after="0" w:line="314" w:lineRule="auto"/>
        <w:rPr>
          <w:sz w:val="20"/>
          <w:szCs w:val="20"/>
          <w:color w:val="auto"/>
        </w:rPr>
      </w:pPr>
      <w:r>
        <w:rPr>
          <w:rFonts w:ascii="Arial" w:cs="Arial" w:eastAsia="Arial" w:hAnsi="Arial"/>
          <w:sz w:val="15"/>
          <w:szCs w:val="15"/>
          <w:color w:val="auto"/>
        </w:rPr>
        <w:t>The cost estimates for final capping, closure and post-closure activities at landfills for which we have responsibility are estimated based on our interpretations of current requirements and proposed or anticipated regulatory changes. We also estimate additional costs, pursuant to the requirements of SFAS No. 143, based on the amount a third party would charge us to perform such activities even when we expect to perform these activities internally. We estimate the airspace to be consumed related to each final capping event and the timing of each final capping event and closure and post-closure activities. Because landfill final capping, closure and post-closure obligations are measured at estimated fair value using present value techniques, changes in the estimated timing of future landfill final capping and closure and post-closure activities would have an effect on these liabilities, related assets and results of operations.</w:t>
      </w:r>
    </w:p>
    <w:p>
      <w:pPr>
        <w:spacing w:after="0" w:line="18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Landfill Costs — We estimate the total cost to develop each of our landfill sites to its final capacity. This estimate includes such costs as landfill liner material and installation, excavation for airspace, landfill leachate collection systems, landfill gas collection systems, environmental monitoring equipment for groundwater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9" w:name="page30"/>
    <w:bookmarkEnd w:id="29"/>
    <w:p>
      <w:pPr>
        <w:spacing w:after="0" w:line="298" w:lineRule="auto"/>
        <w:rPr>
          <w:sz w:val="20"/>
          <w:szCs w:val="20"/>
          <w:color w:val="auto"/>
        </w:rPr>
      </w:pPr>
      <w:r>
        <w:rPr>
          <w:rFonts w:ascii="Arial" w:cs="Arial" w:eastAsia="Arial" w:hAnsi="Arial"/>
          <w:sz w:val="16"/>
          <w:szCs w:val="16"/>
          <w:color w:val="auto"/>
        </w:rPr>
        <w:t>landfill gas, directly related engineering, capitalized interest, and on-site road construction and other capital infrastructure costs. Additionally, landfill development includes all land purchases for landfill footprint and required landfill buffer property. The projection of these landfill costs are dependent, in part, on future events. The remaining amortizable basis related to costs to develop a site to its final capacity includes amounts previously expended and capitalized, net of accumulated airspace amortization, and projections of future purchase and development costs.</w:t>
      </w:r>
    </w:p>
    <w:p>
      <w:pPr>
        <w:spacing w:after="0" w:line="19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Final Capping Costs — We estimate the cost for each final capping event based on the area to be finally capped and the capping materials and activities required. The estimates also consider when these costs would actually be paid and factor in inflation and discount rates. Our engineering personnel allocate final landfill capping costs to specific capping events. They then quantify the landfill capacity associated with each final capping event and the final capping costs for each event are amortized over the related capacity associated with the event as waste is disposed of at the landfill. We review these costs annually or more often, as significant facts change. Changes in estimates, such as timing or cost of construction, for final capping events where the associated capacity is fully consumed immediately impact the required liability and the corresponding asset. However, as the change in estimate relates to a fully consumed asset, the adjustment to the asset must be amortized immediately through expense.</w:t>
      </w:r>
    </w:p>
    <w:p>
      <w:pPr>
        <w:spacing w:after="0" w:line="19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Closure and Post-Closure Costs — We base our estimates for closure and post-closure costs on our interpretations of permit and regulatory requirements for closure and post-closure 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Available Airspace — Our engineers are responsible for determining available airspace at our landfills. This is done by using surveys and other methods to calculate, based on permit mandated height restrictions and other factors, how much airspace is left to fill and how much waste can be disposed of at a landfill before it has reached its final capacity.</w:t>
      </w:r>
    </w:p>
    <w:p>
      <w:pPr>
        <w:spacing w:after="0" w:line="221"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Expansion Airspace — We also include currently unpermitted airspace in our estimate of available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using the following criteria:</w:t>
      </w:r>
    </w:p>
    <w:p>
      <w:pPr>
        <w:spacing w:after="0" w:line="161" w:lineRule="exact"/>
        <w:rPr>
          <w:sz w:val="20"/>
          <w:szCs w:val="20"/>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Personnel are actively working to obtain land use and local, state or provincial approvals for an expansion of an existing landfill;</w:t>
      </w:r>
    </w:p>
    <w:p>
      <w:pPr>
        <w:spacing w:after="0" w:line="279" w:lineRule="exact"/>
        <w:rPr>
          <w:rFonts w:ascii="Arial" w:cs="Arial" w:eastAsia="Arial" w:hAnsi="Arial"/>
          <w:sz w:val="18"/>
          <w:szCs w:val="18"/>
          <w:color w:val="auto"/>
        </w:rPr>
      </w:pPr>
    </w:p>
    <w:p>
      <w:pPr>
        <w:ind w:left="460" w:right="42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 we or the respective landfill owners have a legal right to use or obtain land to be included in the expansion plan;</w:t>
      </w:r>
    </w:p>
    <w:p>
      <w:pPr>
        <w:spacing w:after="0" w:line="279"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27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These criteria are initially evaluated by our field-based engineers, accountants, managers and others to identify potential obstacles to obtaining the permits. However, our policy provides that, based on the facts and circumstances of a specific landfill, if these criteria are not met, inclusion of unpermitted airspace may still be allowed. In these circumstances, inclusion must be approved through a landfill-specific review process that includes approval of the Chief Financial Officer and a review by the Audit Committee of the Board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30" w:name="page31"/>
    <w:bookmarkEnd w:id="30"/>
    <w:p>
      <w:pPr>
        <w:ind w:right="20"/>
        <w:spacing w:after="0" w:line="291" w:lineRule="auto"/>
        <w:rPr>
          <w:sz w:val="20"/>
          <w:szCs w:val="20"/>
          <w:color w:val="auto"/>
        </w:rPr>
      </w:pPr>
      <w:r>
        <w:rPr>
          <w:rFonts w:ascii="Arial" w:cs="Arial" w:eastAsia="Arial" w:hAnsi="Arial"/>
          <w:sz w:val="16"/>
          <w:szCs w:val="16"/>
          <w:color w:val="auto"/>
        </w:rPr>
        <w:t>Directors on a quarterly basis. Of the 73 landfill sites with expansions at December 31, 2004, 19 landfills required the Chief Financial Officer to approve the inclusion of the unpermitted airspace. Approximately three-fourths of these landfills required approval by the Chief Financial Officer because legal, community or other issues could impede the expansion process, while the remaining were primarily because the permit application processes would not meet the one and five year requirements, which in many cases were due to state-specific permitting procedures. When we include the expansion airspace in our calculations of available airspace, we also include the projected costs for development, as well as the projected asset retirement cost related to final capping, and closure and post-closure of the expansion in the amortization basis of the landfill.</w:t>
      </w:r>
    </w:p>
    <w:p>
      <w:pPr>
        <w:spacing w:after="0" w:line="20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After determining the costs at our landfills, we determine the per ton rates that will be expensed. We look at factors such as the waste stream, geography and rate of compaction, among others, to determine the number of tons necessary to fill the available and probable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possible that actual results could ultimately turn out to be significantly different from our estimates and assumptions. To the extent that such estimates, or related assumptions, prove to be significantly different than actual results, or our belief that we will receive an expansion permit changes adversely in a significant manner, the costs of the landfill, including the costs incurred in the pursuit of the expansion, may be subject to impairment testing, as described below. Lower profitability may be experienced due to higher amortization rates, higher closure and post-closure rates, and higher expenses or asset impairments related to the removal of previously included expansion airspace. Additionally, if it is determined that the likelihood of receiving an expansion permit has become remote, the capitalized costs related to the expansion effort are expensed immediately.</w:t>
      </w:r>
    </w:p>
    <w:p>
      <w:pPr>
        <w:spacing w:after="0" w:line="20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i w:val="1"/>
          <w:iCs w:val="1"/>
          <w:color w:val="auto"/>
        </w:rPr>
        <w:t xml:space="preserve">Environmental Remediation Liabilities </w:t>
      </w:r>
      <w:r>
        <w:rPr>
          <w:rFonts w:ascii="Arial" w:cs="Arial" w:eastAsia="Arial" w:hAnsi="Arial"/>
          <w:sz w:val="16"/>
          <w:szCs w:val="16"/>
          <w:color w:val="auto"/>
        </w:rPr>
        <w:t>— Under current laws and regulations, we may have liability for environmental damage caused by our operations,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for damage caused by conditions that existed before we acquired a site. Remedial costs are all costs relating to the remedy of any identified situation that occurs by natural causes or human error not expected in the normal course of business. These costs include potentially responsible party (“PRP”) investigation, settlement, certain legal and consultant fees, as well as costs directly associated with site investigation and clean up, such as materials and incremental internal costs directly related to the remedy. We estimate costs required to remediate sites where liability is probable based on site-specific facts and circumstances. We routinely review and evaluate sites that require remediation, considering whether we were an owner, operator, transporter, or generator at the site, the amount and type of waste hauled to the site and the number of years we were connected with the site. Next, we review the same information with respect to other named and unnamed PRPs. Estimates of the cost for the likely remedy are then either developed using our internal resources or by third party environmental engineers or other service providers. Internally developed estimates are based on:</w:t>
      </w:r>
    </w:p>
    <w:p>
      <w:pPr>
        <w:spacing w:after="0" w:line="174"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279"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Our long-lived assets, including landfills and landfill expansions, are carried on our financial statements based on their cost less</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depreciation or amortization. However, accounting standards require us to write down assets or groups of assets if they become impaired. If significant events or changes in circumstances indicate that the carrying value of an asset or asset group may not be recoverable, we perform a test of recoverability by comparing the carrying value of the asset or asset group to its undiscounted expected future cash flows. Cash flow projections are sometimes based on a group of assets, rather than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 w:name="page32"/>
    <w:bookmarkEnd w:id="31"/>
    <w:p>
      <w:pPr>
        <w:ind w:right="20"/>
        <w:spacing w:after="0" w:line="318" w:lineRule="auto"/>
        <w:rPr>
          <w:sz w:val="20"/>
          <w:szCs w:val="20"/>
          <w:color w:val="auto"/>
        </w:rPr>
      </w:pPr>
      <w:r>
        <w:rPr>
          <w:rFonts w:ascii="Arial" w:cs="Arial" w:eastAsia="Arial" w:hAnsi="Arial"/>
          <w:sz w:val="15"/>
          <w:szCs w:val="15"/>
          <w:color w:val="auto"/>
        </w:rPr>
        <w:t>single asset.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determined by either an actual third-party valuation or an internally developed discounted projected cash flow analysis of the asset or asset group. If the fair value of an asset or asset group is determined to be less than the carrying amount of the asset or asset group, an impairment in the amount of the difference is recorded in the period that the impairment indicator occurs.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Typical indicators that an asset may be impaired include:</w:t>
      </w:r>
    </w:p>
    <w:p>
      <w:pPr>
        <w:spacing w:after="0" w:line="225" w:lineRule="exact"/>
        <w:rPr>
          <w:sz w:val="20"/>
          <w:szCs w:val="20"/>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279"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279" w:lineRule="exact"/>
        <w:rPr>
          <w:rFonts w:ascii="Arial" w:cs="Arial" w:eastAsia="Arial" w:hAnsi="Arial"/>
          <w:sz w:val="18"/>
          <w:szCs w:val="18"/>
          <w:color w:val="auto"/>
        </w:rPr>
      </w:pPr>
    </w:p>
    <w:p>
      <w:pPr>
        <w:ind w:left="460" w:right="66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212"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w:t>
      </w:r>
    </w:p>
    <w:p>
      <w:pPr>
        <w:spacing w:after="0" w:line="213"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color w:val="auto"/>
        </w:rPr>
        <w:t>If any of these or other indicators occur, we review the asset to determine whether there has been an impairment. Several of these indicators are beyond our control, and we cannot predict with any certainty whether or not they will occur. Additionally, estimating future cash flows requires significant judgment and our projections may vary from cash flows eventually realized. There are additional considerations for impairments of landfills and goodwill, as described below.</w:t>
      </w:r>
    </w:p>
    <w:p>
      <w:pPr>
        <w:spacing w:after="0" w:line="18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Certain of the indicators listed above require significant judgment and understanding of the waste industry when applied to landfill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or expansion projects.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At least annually, we assess whether goodwill is impaired. Upon determining the existence of goodwill impairment, we measure that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amount by which the book value of goodwill exceeds its implied fair value. The implied fair value of goodwill is determined by deducting the fair value of a reporting unit’s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period-to-period change in dollars (in millions) and percentages for the respective statement of operations line items: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Period-to-Period Change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center"/>
              <w:ind w:right="93"/>
              <w:spacing w:after="0"/>
              <w:rPr>
                <w:sz w:val="20"/>
                <w:szCs w:val="20"/>
                <w:color w:val="auto"/>
              </w:rPr>
            </w:pPr>
            <w:r>
              <w:rPr>
                <w:rFonts w:ascii="Arial" w:cs="Arial" w:eastAsia="Arial" w:hAnsi="Arial"/>
                <w:sz w:val="14"/>
                <w:szCs w:val="14"/>
                <w:b w:val="1"/>
                <w:bCs w:val="1"/>
                <w:color w:val="auto"/>
                <w:w w:val="87"/>
              </w:rPr>
              <w:t>Years Ended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4"/>
              </w:rPr>
              <w:t>Years 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93"/>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center"/>
              <w:ind w:right="113"/>
              <w:spacing w:after="0"/>
              <w:rPr>
                <w:sz w:val="20"/>
                <w:szCs w:val="20"/>
                <w:color w:val="auto"/>
              </w:rPr>
            </w:pPr>
            <w:r>
              <w:rPr>
                <w:rFonts w:ascii="Arial" w:cs="Arial" w:eastAsia="Arial" w:hAnsi="Arial"/>
                <w:sz w:val="14"/>
                <w:szCs w:val="14"/>
                <w:b w:val="1"/>
                <w:bCs w:val="1"/>
                <w:color w:val="auto"/>
                <w:w w:val="84"/>
              </w:rPr>
              <w:t>2004 vs. 2003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4"/>
              </w:rPr>
              <w:t>2003 vs. 2002</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$ 868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$ 437</w:t>
            </w:r>
          </w:p>
        </w:tc>
        <w:tc>
          <w:tcPr>
            <w:tcW w:w="4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w w:val="96"/>
              </w:rPr>
              <w:t>Operating (exclusive of depreciation and amortization shown below)</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8.4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642</w:t>
            </w:r>
          </w:p>
        </w:tc>
        <w:tc>
          <w:tcPr>
            <w:tcW w:w="40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4.2</w:t>
            </w:r>
          </w:p>
        </w:tc>
        <w:tc>
          <w:tcPr>
            <w:tcW w:w="116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(176)</w:t>
            </w:r>
          </w:p>
        </w:tc>
        <w:tc>
          <w:tcPr>
            <w:tcW w:w="8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5.6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Restructuring</w:t>
            </w:r>
          </w:p>
        </w:tc>
        <w:tc>
          <w:tcPr>
            <w:tcW w:w="8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(45)</w:t>
            </w:r>
          </w:p>
        </w:tc>
        <w:tc>
          <w:tcPr>
            <w:tcW w:w="80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Asset impairments and unusual items</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5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7.0</w:t>
            </w:r>
          </w:p>
        </w:tc>
        <w:tc>
          <w:tcPr>
            <w:tcW w:w="7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541</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20" w:type="dxa"/>
            <w:vAlign w:val="bottom"/>
            <w:gridSpan w:val="3"/>
          </w:tcPr>
          <w:p>
            <w:pPr>
              <w:ind w:left="1140"/>
              <w:spacing w:after="0"/>
              <w:rPr>
                <w:sz w:val="20"/>
                <w:szCs w:val="20"/>
                <w:color w:val="auto"/>
              </w:rPr>
            </w:pPr>
            <w:r>
              <w:rPr>
                <w:rFonts w:ascii="Arial" w:cs="Arial" w:eastAsia="Arial" w:hAnsi="Arial"/>
                <w:sz w:val="18"/>
                <w:szCs w:val="18"/>
                <w:color w:val="auto"/>
              </w:rPr>
              <w:t>Income from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4"/>
                <w:szCs w:val="24"/>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10.3</w:t>
            </w:r>
          </w:p>
        </w:tc>
        <w:tc>
          <w:tcPr>
            <w:tcW w:w="1160" w:type="dxa"/>
            <w:vAlign w:val="bottom"/>
            <w:gridSpan w:val="4"/>
          </w:tcPr>
          <w:p>
            <w:pPr>
              <w:jc w:val="right"/>
              <w:ind w:right="292"/>
              <w:spacing w:after="0"/>
              <w:rPr>
                <w:sz w:val="20"/>
                <w:szCs w:val="20"/>
                <w:color w:val="auto"/>
              </w:rPr>
            </w:pPr>
            <w:r>
              <w:rPr>
                <w:rFonts w:ascii="Arial" w:cs="Arial" w:eastAsia="Arial" w:hAnsi="Arial"/>
                <w:sz w:val="18"/>
                <w:szCs w:val="18"/>
                <w:color w:val="auto"/>
              </w:rPr>
              <w:t>(104)</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9.8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Equity in earnings (losses) of unconsolidated entities</w:t>
            </w:r>
          </w:p>
        </w:tc>
        <w:tc>
          <w:tcPr>
            <w:tcW w:w="8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(102)</w:t>
            </w:r>
          </w:p>
        </w:tc>
        <w:tc>
          <w:tcPr>
            <w:tcW w:w="80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(2)</w:t>
            </w:r>
          </w:p>
        </w:tc>
        <w:tc>
          <w:tcPr>
            <w:tcW w:w="8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Minority interest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(30)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Other, net</w:t>
            </w:r>
          </w:p>
        </w:tc>
        <w:tc>
          <w:tcPr>
            <w:tcW w:w="8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80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(33)</w:t>
            </w:r>
          </w:p>
        </w:tc>
        <w:tc>
          <w:tcPr>
            <w:tcW w:w="8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(104)</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(24.9)</w:t>
            </w:r>
          </w:p>
        </w:tc>
        <w:tc>
          <w:tcPr>
            <w:tcW w:w="1160" w:type="dxa"/>
            <w:vAlign w:val="bottom"/>
            <w:gridSpan w:val="4"/>
          </w:tcPr>
          <w:p>
            <w:pPr>
              <w:jc w:val="right"/>
              <w:ind w:right="292"/>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5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before income taxes and cumulative effect of changes in</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4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accounting principles</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EEEEEE"/>
          </w:tcPr>
          <w:p>
            <w:pPr>
              <w:spacing w:after="0"/>
              <w:rPr>
                <w:sz w:val="19"/>
                <w:szCs w:val="19"/>
                <w:color w:val="auto"/>
              </w:rPr>
            </w:pPr>
          </w:p>
        </w:tc>
        <w:tc>
          <w:tcPr>
            <w:tcW w:w="80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4.9</w:t>
            </w:r>
          </w:p>
        </w:tc>
        <w:tc>
          <w:tcPr>
            <w:tcW w:w="116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(119)</w:t>
            </w:r>
          </w:p>
        </w:tc>
        <w:tc>
          <w:tcPr>
            <w:tcW w:w="8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(157)</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92"/>
              <w:spacing w:after="0"/>
              <w:rPr>
                <w:sz w:val="20"/>
                <w:szCs w:val="20"/>
                <w:color w:val="auto"/>
              </w:rPr>
            </w:pPr>
            <w:r>
              <w:rPr>
                <w:rFonts w:ascii="Arial" w:cs="Arial" w:eastAsia="Arial" w:hAnsi="Arial"/>
                <w:sz w:val="18"/>
                <w:szCs w:val="18"/>
                <w:color w:val="auto"/>
              </w:rPr>
              <w:t>(18)</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$ 212</w:t>
            </w:r>
          </w:p>
        </w:tc>
        <w:tc>
          <w:tcPr>
            <w:tcW w:w="3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w:t>
            </w:r>
          </w:p>
        </w:tc>
        <w:tc>
          <w:tcPr>
            <w:tcW w:w="116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$(101)</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right="40" w:hanging="232"/>
        <w:spacing w:after="0" w:line="268"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Percentage change is not meaningful. Refer to the explanations of these items included herein for a discussion of the relationship between current year and prior year activity.</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35" w:right="519" w:bottom="1440" w:gutter="0" w:footer="0" w:header="0"/>
        </w:sectPr>
      </w:pPr>
    </w:p>
    <w:bookmarkStart w:id="33" w:name="page34"/>
    <w:bookmarkEnd w:id="33"/>
    <w:p>
      <w:pPr>
        <w:ind w:right="460" w:firstLine="270"/>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statement of operations line items has to operating revenues: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6"/>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Operating revenues</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Restructuring</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Asset impairments and unusual items</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86.4</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Equity in earnings (losses) of unconsolidated entities</w:t>
            </w:r>
          </w:p>
        </w:tc>
        <w:tc>
          <w:tcPr>
            <w:tcW w:w="9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4"/>
            <w:shd w:val="clear" w:color="auto" w:fill="EEEEEE"/>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(4.2)</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w w:val="94"/>
              </w:rPr>
              <w:t>Income before income taxes and cumulative effect of changes in accounting</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7.4%</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Our operating revenues in 2004 were $12.5 billion, compared to $11.6 billion in 2003 and $11.2 billion in 2002. As shown below, North American Solid Waste, or “NASW,” is our principal operation, and is comprised of seven operating Groups within North America, along with our Other NASW services. The operations shown as “Non-NASW Divested Operations” in the table below consisted of our non-solid waste services, which were divested as of March 31, 2002.</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2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Eastern</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2,601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2,616</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Southern</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2,560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2,506</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Wheelabrator</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2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NASW</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2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(2,404)</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1"/>
              </w:rPr>
              <w:t>(2,263)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(2,080)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Total NASW</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11,648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11,203</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Non-NASW (Divested Operations)</w:t>
            </w:r>
          </w:p>
        </w:tc>
        <w:tc>
          <w:tcPr>
            <w:tcW w:w="2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4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Net operating revenues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11,648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11,211</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100" w:type="dxa"/>
            <w:vAlign w:val="bottom"/>
            <w:vMerge w:val="restart"/>
          </w:tcPr>
          <w:p>
            <w:pPr>
              <w:jc w:val="right"/>
              <w:ind w:right="832"/>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8" w:right="239" w:bottom="789" w:gutter="0" w:footer="0" w:header="0"/>
        </w:sectPr>
      </w:pPr>
    </w:p>
    <w:bookmarkStart w:id="34" w:name="page35"/>
    <w:bookmarkEnd w:id="34"/>
    <w:p>
      <w:pPr>
        <w:ind w:firstLine="324"/>
        <w:spacing w:after="0" w:line="253" w:lineRule="auto"/>
        <w:rPr>
          <w:sz w:val="20"/>
          <w:szCs w:val="20"/>
          <w:color w:val="auto"/>
        </w:rPr>
      </w:pPr>
      <w:r>
        <w:rPr>
          <w:rFonts w:ascii="Arial" w:cs="Arial" w:eastAsia="Arial" w:hAnsi="Arial"/>
          <w:sz w:val="18"/>
          <w:szCs w:val="18"/>
          <w:color w:val="auto"/>
        </w:rPr>
        <w:t>Our NASW operating revenues generally come from fees charged for our collection, disposal, transfer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generally based on the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Recycling revenue, which is generated by our Recycling Group as well as our five geographic operating Groups, generally consists of the sale of recyclable commodities to third parties and tipping fees. Intercompany revenues between our operations have been eliminated in the consolidated financial statements.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NASW operating revenues from our different services is reflected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8,318</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7,782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7,588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1,582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Intercompany</w:t>
            </w:r>
          </w:p>
        </w:tc>
        <w:tc>
          <w:tcPr>
            <w:tcW w:w="3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(2,263)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(2,080)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NASW</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11,648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11,203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Period-to-Period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Period-to-Period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Change for</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Change for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84"/>
              </w:rPr>
              <w:t>2004 vs. 2003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2003 vs. 2002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Average yield:</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Base business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8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Commodity</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143</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Electricity</w:t>
            </w: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Fuel surcharges and fees</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283</w:t>
            </w:r>
          </w:p>
        </w:tc>
        <w:tc>
          <w:tcPr>
            <w:tcW w:w="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124</w:t>
            </w:r>
          </w:p>
        </w:tc>
        <w:tc>
          <w:tcPr>
            <w:tcW w:w="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Volume</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340</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732"/>
              <w:spacing w:after="0"/>
              <w:rPr>
                <w:sz w:val="20"/>
                <w:szCs w:val="20"/>
                <w:color w:val="auto"/>
              </w:rPr>
            </w:pPr>
            <w:r>
              <w:rPr>
                <w:rFonts w:ascii="Arial" w:cs="Arial" w:eastAsia="Arial" w:hAnsi="Arial"/>
                <w:sz w:val="18"/>
                <w:szCs w:val="18"/>
                <w:color w:val="auto"/>
                <w:w w:val="93"/>
              </w:rPr>
              <w:t>(16)</w:t>
            </w:r>
          </w:p>
        </w:tc>
        <w:tc>
          <w:tcPr>
            <w:tcW w:w="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6"/>
              </w:rPr>
              <w:t>(0.1)</w:t>
            </w:r>
          </w:p>
        </w:tc>
        <w:tc>
          <w:tcPr>
            <w:tcW w:w="0" w:type="dxa"/>
            <w:vAlign w:val="bottom"/>
          </w:tcPr>
          <w:p>
            <w:pPr>
              <w:spacing w:after="0"/>
              <w:rPr>
                <w:sz w:val="1"/>
                <w:szCs w:val="1"/>
                <w:color w:val="auto"/>
              </w:rPr>
            </w:pPr>
          </w:p>
        </w:tc>
      </w:tr>
      <w:tr>
        <w:trPr>
          <w:trHeight w:val="108"/>
        </w:trPr>
        <w:tc>
          <w:tcPr>
            <w:tcW w:w="59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00" w:type="dxa"/>
            <w:vAlign w:val="bottom"/>
            <w:gridSpan w:val="2"/>
          </w:tcPr>
          <w:p>
            <w:pPr>
              <w:spacing w:after="0"/>
              <w:rPr>
                <w:sz w:val="20"/>
                <w:szCs w:val="20"/>
                <w:color w:val="auto"/>
              </w:rPr>
            </w:pPr>
            <w:r>
              <w:rPr>
                <w:rFonts w:ascii="Arial" w:cs="Arial" w:eastAsia="Arial" w:hAnsi="Arial"/>
                <w:sz w:val="18"/>
                <w:szCs w:val="18"/>
                <w:color w:val="auto"/>
              </w:rPr>
              <w:t>Internal growth</w:t>
            </w: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623</w:t>
            </w:r>
          </w:p>
        </w:tc>
        <w:tc>
          <w:tcPr>
            <w:tcW w:w="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108</w:t>
            </w:r>
          </w:p>
        </w:tc>
        <w:tc>
          <w:tcPr>
            <w:tcW w:w="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Acquisitions</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233</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334</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Divestitures</w:t>
            </w:r>
          </w:p>
        </w:tc>
        <w:tc>
          <w:tcPr>
            <w:tcW w:w="380" w:type="dxa"/>
            <w:vAlign w:val="bottom"/>
          </w:tcPr>
          <w:p>
            <w:pPr>
              <w:spacing w:after="0"/>
              <w:rPr>
                <w:sz w:val="18"/>
                <w:szCs w:val="18"/>
                <w:color w:val="auto"/>
              </w:rPr>
            </w:pPr>
          </w:p>
        </w:tc>
        <w:tc>
          <w:tcPr>
            <w:tcW w:w="1120" w:type="dxa"/>
            <w:vAlign w:val="bottom"/>
            <w:gridSpan w:val="2"/>
          </w:tcPr>
          <w:p>
            <w:pPr>
              <w:jc w:val="right"/>
              <w:ind w:right="712"/>
              <w:spacing w:after="0"/>
              <w:rPr>
                <w:sz w:val="20"/>
                <w:szCs w:val="20"/>
                <w:color w:val="auto"/>
              </w:rPr>
            </w:pPr>
            <w:r>
              <w:rPr>
                <w:rFonts w:ascii="Arial" w:cs="Arial" w:eastAsia="Arial" w:hAnsi="Arial"/>
                <w:sz w:val="18"/>
                <w:szCs w:val="18"/>
                <w:color w:val="auto"/>
                <w:w w:val="99"/>
              </w:rPr>
              <w:t>(27)</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(0.2)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732"/>
              <w:spacing w:after="0"/>
              <w:rPr>
                <w:sz w:val="20"/>
                <w:szCs w:val="20"/>
                <w:color w:val="auto"/>
              </w:rPr>
            </w:pPr>
            <w:r>
              <w:rPr>
                <w:rFonts w:ascii="Arial" w:cs="Arial" w:eastAsia="Arial" w:hAnsi="Arial"/>
                <w:sz w:val="18"/>
                <w:szCs w:val="18"/>
                <w:color w:val="auto"/>
                <w:w w:val="93"/>
              </w:rPr>
              <w:t>(54)</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868</w:t>
            </w:r>
          </w:p>
        </w:tc>
        <w:tc>
          <w:tcPr>
            <w:tcW w:w="8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445</w:t>
            </w:r>
          </w:p>
        </w:tc>
        <w:tc>
          <w:tcPr>
            <w:tcW w:w="84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b w:val="1"/>
          <w:bCs w:val="1"/>
          <w:color w:val="auto"/>
        </w:rPr>
        <w:t xml:space="preserve">Base Business </w:t>
      </w:r>
      <w:r>
        <w:rPr>
          <w:rFonts w:ascii="Arial" w:cs="Arial" w:eastAsia="Arial" w:hAnsi="Arial"/>
          <w:sz w:val="16"/>
          <w:szCs w:val="16"/>
          <w:color w:val="auto"/>
        </w:rPr>
        <w:t>— Base business yield improvements contributed to increased revenues in our collection, transfer and waste-to-energy operations in 2004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with 2003. In our collection business, the most substantial yield improvements during 2004 were in our industrial and residential operations, where nearly all of our operating groups experienced base business pricing improvements. Although the change in yield provided by our collection operations throughout 2004 has been positive, it was affected by increased price competition, particularly in the Midwest, and the unfavorable impact of lower priced recycling and yard waste service programs in the South. The base business yield improvements in our transfer business throughout 2004</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35" w:name="page36"/>
    <w:bookmarkEnd w:id="35"/>
    <w:p>
      <w:pPr>
        <w:ind w:right="20"/>
        <w:spacing w:after="0" w:line="256" w:lineRule="auto"/>
        <w:rPr>
          <w:sz w:val="20"/>
          <w:szCs w:val="20"/>
          <w:color w:val="auto"/>
        </w:rPr>
      </w:pPr>
      <w:r>
        <w:rPr>
          <w:rFonts w:ascii="Arial" w:cs="Arial" w:eastAsia="Arial" w:hAnsi="Arial"/>
          <w:sz w:val="18"/>
          <w:szCs w:val="18"/>
          <w:color w:val="auto"/>
        </w:rPr>
        <w:t>have been almost exclusively attributable to the Eastern portion of the United States. However, increased pricing in our transfer business in the East has negatively affected our volume-related revenue in that region. The base business yield increases during 2004 have been partially offset by average yield declines in our landfill operations. This decline is primarily the net result of the continued impact of lower pricing for special waste, particularly in the South and Midwest, which has been partially offset by increased pricing for municipal solid waste disposal.</w:t>
      </w:r>
    </w:p>
    <w:p>
      <w:pPr>
        <w:spacing w:after="0" w:line="22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In 2003, the increase in base business yield as compared to 2002 was attributable to our collection, transfer and waste-to-energy businesses, with a significant increase in our residential collection operations. Certain of these price increases related to additional costs and taxes were passed on to our customers. However, the increase was partially offset by our landfill business, where we experienced decreases in price-related revenue principally due to our special waste landfill operations, mainly because of an increase in lower priced event work in the Southern and Western portions of the United States.</w:t>
      </w:r>
    </w:p>
    <w:p>
      <w:pPr>
        <w:spacing w:after="0" w:line="18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b w:val="1"/>
          <w:bCs w:val="1"/>
          <w:color w:val="auto"/>
        </w:rPr>
        <w:t xml:space="preserve">Commodity </w:t>
      </w:r>
      <w:r>
        <w:rPr>
          <w:rFonts w:ascii="Arial" w:cs="Arial" w:eastAsia="Arial" w:hAnsi="Arial"/>
          <w:sz w:val="16"/>
          <w:szCs w:val="16"/>
          <w:color w:val="auto"/>
        </w:rPr>
        <w:t>— Our revenues in both 2004 and 2003 were positively affected by price increases in all of the recycling commodities that we process.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prices for old corrugated cardboard were up approximately 33% during the year, from $64 per ton in 2003 to $85 per ton in 2004. Average prices for old newsprint have also improved year-over-year by approximately 25%, from $69 per ton in 2003 to $86 per ton in 2004. However, a significant portion of increases from commodity prices is rebated to our suppliers, thereby increasing our cost of goods sold resulting in a relatively small impact to our income from operations.</w:t>
      </w:r>
    </w:p>
    <w:p>
      <w:pPr>
        <w:spacing w:after="0" w:line="184"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b w:val="1"/>
          <w:bCs w:val="1"/>
          <w:color w:val="auto"/>
        </w:rPr>
        <w:t xml:space="preserve">Fuel surcharges and fees </w:t>
      </w:r>
      <w:r>
        <w:rPr>
          <w:rFonts w:ascii="Arial" w:cs="Arial" w:eastAsia="Arial" w:hAnsi="Arial"/>
          <w:sz w:val="18"/>
          <w:szCs w:val="18"/>
          <w:color w:val="auto"/>
        </w:rPr>
        <w:t>— We experienced revenue improvements during 2004 due to our continued effort to pass on higher fuel costs to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through fuel surcharges. Fuel surcharges increased revenues year-over-year by approximately $53 million for the year ended December 31, 2004 and approximately $33 million for the year ended December 31, 2003. These increases were more than offset by increased operating costs due to higher diesel fuel prices as discussed in </w:t>
      </w:r>
      <w:r>
        <w:rPr>
          <w:rFonts w:ascii="Arial" w:cs="Arial" w:eastAsia="Arial" w:hAnsi="Arial"/>
          <w:sz w:val="18"/>
          <w:szCs w:val="18"/>
          <w:i w:val="1"/>
          <w:iCs w:val="1"/>
          <w:color w:val="auto"/>
        </w:rPr>
        <w:t>Operating Expenses — Fuel</w:t>
      </w:r>
      <w:r>
        <w:rPr>
          <w:rFonts w:ascii="Arial" w:cs="Arial" w:eastAsia="Arial" w:hAnsi="Arial"/>
          <w:sz w:val="18"/>
          <w:szCs w:val="18"/>
          <w:color w:val="auto"/>
        </w:rPr>
        <w:t>.</w:t>
      </w:r>
    </w:p>
    <w:p>
      <w:pPr>
        <w:spacing w:after="0" w:line="21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6"/>
          <w:szCs w:val="16"/>
          <w:color w:val="auto"/>
        </w:rPr>
        <w:t>— During 2004, we experienced significant volume-related revenue increases in our collection and landfill businesses, driven principally by our</w:t>
      </w:r>
      <w:r>
        <w:rPr>
          <w:rFonts w:ascii="Arial" w:cs="Arial" w:eastAsia="Arial" w:hAnsi="Arial"/>
          <w:sz w:val="16"/>
          <w:szCs w:val="16"/>
          <w:b w:val="1"/>
          <w:bCs w:val="1"/>
          <w:color w:val="auto"/>
        </w:rPr>
        <w:t xml:space="preserve"> </w:t>
      </w:r>
      <w:r>
        <w:rPr>
          <w:rFonts w:ascii="Arial" w:cs="Arial" w:eastAsia="Arial" w:hAnsi="Arial"/>
          <w:sz w:val="16"/>
          <w:szCs w:val="16"/>
          <w:color w:val="auto"/>
        </w:rPr>
        <w:t>Southern and Western Groups. A substantial portion of volume-related revenue growth is due to the volume increases each of our operating groups has experienced in its industrial collection operations. In the Southern and Western portions of the United States, our residential collection and transfer volumes have also made substantial contributions to revenue growth throughout the year. Additionally, hurricane clean-up efforts increased the Southern Group’s 2004 volume-related revenues by approximately $115 million. Landfill volume increases have also provided significant revenue improvements during 2004. The volume increases in our landfill business have been the most significant in the South and West, where increases in both construction and demolition waste and special waste have been substantial. Excluding the impact of hurricanes, we believe that a relatively strong economic environment has driven our volume-related revenue improvements.</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Our revenue due to volumes decreased in 2003 as compared to 2002, primarily in our collection and recycling businesses. We believe the 2003 declines in collection were the result of general economic conditions and increased competition, particularly in the Eastern and Midwestern portions of the United States. Our loss of a contract with the City of Chicago during February 2003 was the primary reason for volume declines in transfer and recycling, accounting for lost revenues of approximately $60 million for the year ended December 31, 2003. Partially offsetting these decreases were increases in special waste volumes at our landfills, primarily in the Southern and Western portions of the United States.</w:t>
      </w:r>
    </w:p>
    <w:p>
      <w:pPr>
        <w:spacing w:after="0" w:line="191"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 In 2004, the increase in revenues due to acquisitions was largely related to the full year impact of our acquisition of collection assets from</w:t>
      </w:r>
      <w:r>
        <w:rPr>
          <w:rFonts w:ascii="Arial" w:cs="Arial" w:eastAsia="Arial" w:hAnsi="Arial"/>
          <w:sz w:val="18"/>
          <w:szCs w:val="18"/>
          <w:b w:val="1"/>
          <w:bCs w:val="1"/>
          <w:color w:val="auto"/>
        </w:rPr>
        <w:t xml:space="preserve"> </w:t>
      </w:r>
      <w:r>
        <w:rPr>
          <w:rFonts w:ascii="Arial" w:cs="Arial" w:eastAsia="Arial" w:hAnsi="Arial"/>
          <w:sz w:val="18"/>
          <w:szCs w:val="18"/>
          <w:color w:val="auto"/>
        </w:rPr>
        <w:t>Allied Waste Industries, Inc. in the third and fourth quarters of 2003. Other acquisitions of recycling, transfer and waste-to-energy businesses consummated subsequent to the third quarter of 2003 also provided increases in revenues during 2004. In 2003, we also acquired the Peltz Group, the largest privately-held recycler in the United States.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6" w:name="page37"/>
    <w:bookmarkEnd w:id="36"/>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252"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color w:val="auto"/>
        </w:rPr>
        <w:t>Our operating expenses include (i) labor and related benefits, which include salaries and wages, related payroll taxes, insurance and benefits costs and the costs associated with contract labor; (ii) transfer and disposal costs, which include tipping fees paid to third party disposal facilities and transfer stations;</w:t>
      </w:r>
    </w:p>
    <w:p>
      <w:pPr>
        <w:ind w:right="60" w:firstLine="8"/>
        <w:spacing w:after="0" w:line="253" w:lineRule="auto"/>
        <w:tabs>
          <w:tab w:leader="none" w:pos="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maintenance and repairs relating to both equipment and facilities; (iv) subcontractor costs, which include the costs of independent haulers who transport our waste to disposal facilities; (v) costs of goods sold, which are primarily the rebates paid to suppliers associated with recycling commodities; (vi) fuel costs, which represent the costs of fuel and oils to operate our truck fleet and landfill operating equipment; (vii) disposal and franchise fees and taxes, which include landfill taxes, host community fees and royalties; and (viii) other operating costs, which include equipment and facility rent, property taxes, insurance and claims costs and landfill operating costs.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major components of our operating expenses, including the impact of foreign currency translation,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w w:val="99"/>
              </w:rPr>
              <w:t>Period to Period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374"/>
              <w:spacing w:after="0"/>
              <w:rPr>
                <w:sz w:val="20"/>
                <w:szCs w:val="20"/>
                <w:color w:val="auto"/>
              </w:rPr>
            </w:pPr>
            <w:r>
              <w:rPr>
                <w:rFonts w:ascii="Arial" w:cs="Arial" w:eastAsia="Arial" w:hAnsi="Arial"/>
                <w:sz w:val="14"/>
                <w:szCs w:val="14"/>
                <w:b w:val="1"/>
                <w:bCs w:val="1"/>
                <w:color w:val="auto"/>
              </w:rPr>
              <w:t>Period to Period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634"/>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$2,915</w:t>
            </w:r>
          </w:p>
        </w:tc>
        <w:tc>
          <w:tcPr>
            <w:tcW w:w="1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$2,774</w:t>
            </w: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$2,696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4.9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Maintenance and repairs</w:t>
            </w: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2.0</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3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2.2</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Subcontractor costs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27.1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7.9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24.7</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201</w:t>
            </w:r>
          </w:p>
        </w:tc>
        <w:tc>
          <w:tcPr>
            <w:tcW w:w="13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67.9</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Fuel</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24.5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17.1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Disposal and franchise fees and taxes</w:t>
            </w: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4.8</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13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10.9</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135</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19.7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$8,228</w:t>
            </w:r>
          </w:p>
        </w:tc>
        <w:tc>
          <w:tcPr>
            <w:tcW w:w="1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$7,591</w:t>
            </w: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642</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$6,949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When comparing the year ended December 31, 2002 to other periods, our 2002 restructuring, as discussed below within </w:t>
      </w:r>
      <w:r>
        <w:rPr>
          <w:rFonts w:ascii="Arial" w:cs="Arial" w:eastAsia="Arial" w:hAnsi="Arial"/>
          <w:sz w:val="18"/>
          <w:szCs w:val="18"/>
          <w:i w:val="1"/>
          <w:iCs w:val="1"/>
          <w:color w:val="auto"/>
        </w:rPr>
        <w:t>Restructuring</w:t>
      </w:r>
      <w:r>
        <w:rPr>
          <w:rFonts w:ascii="Arial" w:cs="Arial" w:eastAsia="Arial" w:hAnsi="Arial"/>
          <w:sz w:val="18"/>
          <w:szCs w:val="18"/>
          <w:color w:val="auto"/>
        </w:rPr>
        <w:t>, resulted in the re-characterization of certain labor and facility-related costs. Through March 31, 2002, these costs were included within other selling, general and administrative costs. After the adoption of the new organizational structure these costs were deemed more appropriate to be classified as operating costs and as such have been recorded as operating expenses since April 1, 2002, when the organizational changes became effective. The components of operating expenses impacted are labor and related benefits as well as other operating expenses.</w:t>
      </w:r>
    </w:p>
    <w:p>
      <w:pPr>
        <w:spacing w:after="0" w:line="21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b w:val="1"/>
          <w:bCs w:val="1"/>
          <w:color w:val="auto"/>
        </w:rPr>
        <w:t xml:space="preserve">Labor and related benefits </w:t>
      </w:r>
      <w:r>
        <w:rPr>
          <w:rFonts w:ascii="Arial" w:cs="Arial" w:eastAsia="Arial" w:hAnsi="Arial"/>
          <w:sz w:val="16"/>
          <w:szCs w:val="16"/>
          <w:color w:val="auto"/>
        </w:rPr>
        <w:t>— After excluding the cost increases due to the recharacterization of selling, general and administrative costs as discussed</w:t>
      </w:r>
      <w:r>
        <w:rPr>
          <w:rFonts w:ascii="Arial" w:cs="Arial" w:eastAsia="Arial" w:hAnsi="Arial"/>
          <w:sz w:val="16"/>
          <w:szCs w:val="16"/>
          <w:b w:val="1"/>
          <w:bCs w:val="1"/>
          <w:color w:val="auto"/>
        </w:rPr>
        <w:t xml:space="preserve"> </w:t>
      </w:r>
      <w:r>
        <w:rPr>
          <w:rFonts w:ascii="Arial" w:cs="Arial" w:eastAsia="Arial" w:hAnsi="Arial"/>
          <w:sz w:val="16"/>
          <w:szCs w:val="16"/>
          <w:color w:val="auto"/>
        </w:rPr>
        <w:t>above, these costs have increased year-over year as a result of (i) higher salaries and hourly wages when compared with the prior year due to annual merit increases; (ii) increased overtime costs due in part to increased volumes; and (iii) salary and hourly wage costs related to acquisitions. Additionally, the increases in 2004 and to a lesser extent in 2003 have been partially offset by savings realized as a result of our 2003 workforce reductions.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Transfer and disposal costs </w:t>
      </w:r>
      <w:r>
        <w:rPr>
          <w:rFonts w:ascii="Arial" w:cs="Arial" w:eastAsia="Arial" w:hAnsi="Arial"/>
          <w:sz w:val="16"/>
          <w:szCs w:val="16"/>
          <w:color w:val="auto"/>
        </w:rPr>
        <w:t>— The increases are due principally to volume increases from both general operating activities and acquisitions.</w:t>
      </w:r>
    </w:p>
    <w:p>
      <w:pPr>
        <w:spacing w:after="0" w:line="275"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b w:val="1"/>
          <w:bCs w:val="1"/>
          <w:color w:val="auto"/>
        </w:rPr>
        <w:t xml:space="preserve">Subcontractor costs </w:t>
      </w:r>
      <w:r>
        <w:rPr>
          <w:rFonts w:ascii="Arial" w:cs="Arial" w:eastAsia="Arial" w:hAnsi="Arial"/>
          <w:sz w:val="18"/>
          <w:szCs w:val="18"/>
          <w:color w:val="auto"/>
        </w:rPr>
        <w:t>— These cost increases during 2004 as compared with the prior year are primarily due to higher volumes we have experienced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year, including increased subcontractor costs of approximately $78 million in 2004 attributable to hurricane clean-up services provided by our Southern Group. Also contributing to the increases are (i) the impact of acquisitions; (ii) increased third-party transportation costs in our Western Group due to the service requirements of certain event work; (iii) higher fuel surcharges paid to third party subcontractors; and (iv) additional transportation costs in our Eastern Group due to capacity constraints at some of our landfills.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37" w:name="page38"/>
    <w:bookmarkEnd w:id="37"/>
    <w:p>
      <w:pPr>
        <w:ind w:right="20" w:firstLine="324"/>
        <w:spacing w:after="0" w:line="256" w:lineRule="auto"/>
        <w:rPr>
          <w:sz w:val="20"/>
          <w:szCs w:val="20"/>
          <w:color w:val="auto"/>
        </w:rPr>
      </w:pPr>
      <w:r>
        <w:rPr>
          <w:rFonts w:ascii="Arial" w:cs="Arial" w:eastAsia="Arial" w:hAnsi="Arial"/>
          <w:sz w:val="18"/>
          <w:szCs w:val="18"/>
          <w:color w:val="auto"/>
        </w:rPr>
        <w:t>In 2003, we also experienced, to a lesser extent, the effects of the redirection of waste as a result of landfill constraints in the Eastern Group. Additionally, we had increased subcontractor costs in 2003 as compared to 2002 due to (i) increases in subcontracted transportation costs from an increase in special waste activity within our landfill line of business; (ii) general volume increases; and (iii) increased use of subcontractors for our national accounts in areas where we do not provide services.</w:t>
      </w:r>
    </w:p>
    <w:p>
      <w:pPr>
        <w:spacing w:after="0" w:line="218" w:lineRule="exact"/>
        <w:rPr>
          <w:sz w:val="20"/>
          <w:szCs w:val="20"/>
          <w:color w:val="auto"/>
        </w:rPr>
      </w:pPr>
    </w:p>
    <w:p>
      <w:pPr>
        <w:ind w:right="260" w:firstLine="324"/>
        <w:spacing w:after="0" w:line="339" w:lineRule="auto"/>
        <w:rPr>
          <w:sz w:val="20"/>
          <w:szCs w:val="20"/>
          <w:color w:val="auto"/>
        </w:rPr>
      </w:pPr>
      <w:r>
        <w:rPr>
          <w:rFonts w:ascii="Arial" w:cs="Arial" w:eastAsia="Arial" w:hAnsi="Arial"/>
          <w:sz w:val="16"/>
          <w:szCs w:val="16"/>
          <w:b w:val="1"/>
          <w:bCs w:val="1"/>
          <w:color w:val="auto"/>
        </w:rPr>
        <w:t xml:space="preserve">Cost of goods sold </w:t>
      </w:r>
      <w:r>
        <w:rPr>
          <w:rFonts w:ascii="Arial" w:cs="Arial" w:eastAsia="Arial" w:hAnsi="Arial"/>
          <w:sz w:val="16"/>
          <w:szCs w:val="16"/>
          <w:color w:val="auto"/>
        </w:rPr>
        <w:t>— Our Recycling Group provides our suppliers with rebates that are driven by market prices of recyclable commodities, which means</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increase in cost of goods sold correlates directly to the increase in the market prices of these commodities and our revenue yield.</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Fuel </w:t>
      </w:r>
      <w:r>
        <w:rPr>
          <w:rFonts w:ascii="Arial" w:cs="Arial" w:eastAsia="Arial" w:hAnsi="Arial"/>
          <w:sz w:val="16"/>
          <w:szCs w:val="16"/>
          <w:color w:val="auto"/>
        </w:rPr>
        <w:t>— We experienced an average increase of $0.30 per gallon for 2004 as compared with 2003 and in 2003 we experienced an average increase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$0.19 per gallon over 2002. However, a significant portion of this cost increase is offset by our fuel surcharges to customers, which are reflected as fuel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increases within our </w:t>
      </w:r>
      <w:r>
        <w:rPr>
          <w:rFonts w:ascii="Arial" w:cs="Arial" w:eastAsia="Arial" w:hAnsi="Arial"/>
          <w:sz w:val="18"/>
          <w:szCs w:val="18"/>
          <w:i w:val="1"/>
          <w:iCs w:val="1"/>
          <w:color w:val="auto"/>
        </w:rPr>
        <w:t>Operating Revenues</w:t>
      </w:r>
      <w:r>
        <w:rPr>
          <w:rFonts w:ascii="Arial" w:cs="Arial" w:eastAsia="Arial" w:hAnsi="Arial"/>
          <w:sz w:val="18"/>
          <w:szCs w:val="18"/>
          <w:color w:val="auto"/>
        </w:rPr>
        <w:t xml:space="preserve"> section above.</w:t>
      </w:r>
    </w:p>
    <w:p>
      <w:pPr>
        <w:spacing w:after="0" w:line="24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b w:val="1"/>
          <w:bCs w:val="1"/>
          <w:color w:val="auto"/>
        </w:rPr>
        <w:t xml:space="preserve">Other operating expenses </w:t>
      </w:r>
      <w:r>
        <w:rPr>
          <w:rFonts w:ascii="Arial" w:cs="Arial" w:eastAsia="Arial" w:hAnsi="Arial"/>
          <w:sz w:val="16"/>
          <w:szCs w:val="16"/>
          <w:color w:val="auto"/>
        </w:rPr>
        <w:t>— The primary reason for the decrease during 2004 as compared with 2003 is the impact of the December 31, 2003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two special purpose type variable interest entities from which we lease three waste-to-energy facilities. Prior to the consolidation of these entities, we accounted for these arrangements as operating leases. The consolidation of these entities has, therefore, resulted in a decline in rental expense in 2004, which was mostly offset by increases in depreciation, interest expense and minority interest expense. Additionally, in 2004, we experienced increased landfill and environmental costs, but had partially offsetting gains from the sale of certain assets.</w:t>
      </w:r>
    </w:p>
    <w:p>
      <w:pPr>
        <w:spacing w:after="0" w:line="195"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After excluding the cost increases due to the recharacterization of selling, general and administrative costs as discussed above, the increase in 2003 other operating expenses over 2002 is partially attributable to (i) increased landfill and environmental costs of approximately $24 million primarily due to increases in costs associated with accretion expense on landfill asset retirement obligations related to our adoption of SFAS No. 143 and (ii) increased risk management expenses of approximately $20 million largely as a result of increases in the average cost per claim and higher financial assurance costs.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Our selling, general and administrative expenses consist of (i) labor costs, which include salaries, related insurance and benefits, contract labor, and payroll taxes; (ii) professional fees, which include fees for consulting, legal, audit, and tax services; (iii) provision for bad debts, which includes allowances for uncollectible customer accounts and collection fees; and (iv) other general and administrative expenses, which include facility-related expenses, voice and data telecommunications, advertising, travel and entertainment, rentals, postage, and printing.</w:t>
      </w:r>
    </w:p>
    <w:p>
      <w:pPr>
        <w:spacing w:after="0" w:line="194"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year ended December 31 for the respective periods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w w:val="88"/>
              </w:rPr>
              <w:t>Period to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w w:val="85"/>
              </w:rPr>
              <w:t>Period to</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w w:val="99"/>
              </w:rPr>
              <w:t>Period Change</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Period Change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bad debts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9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4.3</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4.5</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(115)</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1,267</w:t>
            </w: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1,216</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0"/>
              </w:rPr>
              <w:t>(176)</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1,392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b w:val="1"/>
          <w:bCs w:val="1"/>
          <w:color w:val="auto"/>
        </w:rPr>
        <w:t xml:space="preserve">Labor and related benefits </w:t>
      </w:r>
      <w:r>
        <w:rPr>
          <w:rFonts w:ascii="Arial" w:cs="Arial" w:eastAsia="Arial" w:hAnsi="Arial"/>
          <w:sz w:val="18"/>
          <w:szCs w:val="18"/>
          <w:color w:val="auto"/>
        </w:rPr>
        <w:t>— We realized an increase in labor and related benefits for the year ended December 31, 2004 as compared with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attributable to (i) increased commissions paid to our sales personnel; (ii) higher salaries and hourly wages that were partially offset by the 2003 workforce reduction; and (iii) higher bonus expense due to the overall improvement in our performance for 2004. A decline in our use of contract labor has partially offset these increases.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38" w:name="page39"/>
    <w:bookmarkEnd w:id="38"/>
    <w:p>
      <w:pPr>
        <w:ind w:right="420" w:firstLine="324"/>
        <w:spacing w:after="0" w:line="268" w:lineRule="auto"/>
        <w:rPr>
          <w:sz w:val="20"/>
          <w:szCs w:val="20"/>
          <w:color w:val="auto"/>
        </w:rPr>
      </w:pPr>
      <w:r>
        <w:rPr>
          <w:rFonts w:ascii="Arial" w:cs="Arial" w:eastAsia="Arial" w:hAnsi="Arial"/>
          <w:sz w:val="18"/>
          <w:szCs w:val="18"/>
          <w:color w:val="auto"/>
        </w:rPr>
        <w:t>During the year ended December 31, 2003, the overall reduction in labor and related benefits was a result of reductions in salary and other labor-related costs, which were primarily derived from our March 2002 reorganization and February and June 2003 restructurings.</w:t>
      </w:r>
    </w:p>
    <w:p>
      <w:pPr>
        <w:spacing w:after="0" w:line="207" w:lineRule="exact"/>
        <w:rPr>
          <w:sz w:val="20"/>
          <w:szCs w:val="20"/>
          <w:color w:val="auto"/>
        </w:rPr>
      </w:pPr>
    </w:p>
    <w:p>
      <w:pPr>
        <w:ind w:right="40" w:firstLine="324"/>
        <w:spacing w:after="0" w:line="310" w:lineRule="auto"/>
        <w:rPr>
          <w:sz w:val="20"/>
          <w:szCs w:val="20"/>
          <w:color w:val="auto"/>
        </w:rPr>
      </w:pPr>
      <w:r>
        <w:rPr>
          <w:rFonts w:ascii="Arial" w:cs="Arial" w:eastAsia="Arial" w:hAnsi="Arial"/>
          <w:sz w:val="16"/>
          <w:szCs w:val="16"/>
          <w:b w:val="1"/>
          <w:bCs w:val="1"/>
          <w:color w:val="auto"/>
        </w:rPr>
        <w:t xml:space="preserve">Professional fees </w:t>
      </w:r>
      <w:r>
        <w:rPr>
          <w:rFonts w:ascii="Arial" w:cs="Arial" w:eastAsia="Arial" w:hAnsi="Arial"/>
          <w:sz w:val="16"/>
          <w:szCs w:val="16"/>
          <w:color w:val="auto"/>
        </w:rPr>
        <w:t>— We experienced increases in professional fees for the year ended December 31, 2004 as compared with the year ended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2003 as a result of higher litigation and defense costs and consulting fees for both general business reasons and our compliance with Section 404 of the Sarbanes-Oxley Act of 2002. We did not see a significant fluctuation in professional fees between the year ended December 31, 2003 and 2002.</w:t>
      </w:r>
    </w:p>
    <w:p>
      <w:pPr>
        <w:spacing w:after="0" w:line="178" w:lineRule="exact"/>
        <w:rPr>
          <w:sz w:val="20"/>
          <w:szCs w:val="20"/>
          <w:color w:val="auto"/>
        </w:rPr>
      </w:pPr>
    </w:p>
    <w:p>
      <w:pPr>
        <w:ind w:right="300" w:firstLine="324"/>
        <w:spacing w:after="0" w:line="310" w:lineRule="auto"/>
        <w:rPr>
          <w:sz w:val="20"/>
          <w:szCs w:val="20"/>
          <w:color w:val="auto"/>
        </w:rPr>
      </w:pPr>
      <w:r>
        <w:rPr>
          <w:rFonts w:ascii="Arial" w:cs="Arial" w:eastAsia="Arial" w:hAnsi="Arial"/>
          <w:sz w:val="16"/>
          <w:szCs w:val="16"/>
          <w:b w:val="1"/>
          <w:bCs w:val="1"/>
          <w:color w:val="auto"/>
        </w:rPr>
        <w:t xml:space="preserve">Other selling, general and administrative costs </w:t>
      </w:r>
      <w:r>
        <w:rPr>
          <w:rFonts w:ascii="Arial" w:cs="Arial" w:eastAsia="Arial" w:hAnsi="Arial"/>
          <w:sz w:val="16"/>
          <w:szCs w:val="16"/>
          <w:color w:val="auto"/>
        </w:rPr>
        <w:t>— During 2003, we obtained favorable settlements for legal disputes, which are driving the apparent</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costs in 2004 as compared with 2003. After excluding this impact, we have maintained our cost reduction efforts that were put in place in 2003. In 2003, management focused on reducing spending related to travel and entertainment and other administrative costs.</w:t>
      </w:r>
    </w:p>
    <w:p>
      <w:pPr>
        <w:spacing w:after="0" w:line="184" w:lineRule="exact"/>
        <w:rPr>
          <w:sz w:val="20"/>
          <w:szCs w:val="20"/>
          <w:color w:val="auto"/>
        </w:rPr>
      </w:pPr>
    </w:p>
    <w:p>
      <w:pPr>
        <w:ind w:right="20" w:firstLine="324"/>
        <w:spacing w:after="0" w:line="370" w:lineRule="auto"/>
        <w:rPr>
          <w:sz w:val="20"/>
          <w:szCs w:val="20"/>
          <w:color w:val="auto"/>
        </w:rPr>
      </w:pPr>
      <w:r>
        <w:rPr>
          <w:rFonts w:ascii="Arial" w:cs="Arial" w:eastAsia="Arial" w:hAnsi="Arial"/>
          <w:sz w:val="15"/>
          <w:szCs w:val="15"/>
          <w:color w:val="auto"/>
        </w:rPr>
        <w:t>This focus on cost reduction is a primary factor for the lower other selling, general and administrative costs for the year ended December 31, 2003 as compared with 2002. Additionally, in 2002 we experienced increases in our legal reserves that resulted in an unfavorable effect on results as compared with 2003.</w:t>
      </w:r>
    </w:p>
    <w:p>
      <w:pPr>
        <w:spacing w:after="0" w:line="143" w:lineRule="exact"/>
        <w:rPr>
          <w:sz w:val="20"/>
          <w:szCs w:val="20"/>
          <w:color w:val="auto"/>
        </w:rPr>
      </w:pPr>
    </w:p>
    <w:p>
      <w:pPr>
        <w:jc w:val="both"/>
        <w:ind w:right="100" w:firstLine="324"/>
        <w:spacing w:after="0" w:line="298" w:lineRule="auto"/>
        <w:rPr>
          <w:sz w:val="20"/>
          <w:szCs w:val="20"/>
          <w:color w:val="auto"/>
        </w:rPr>
      </w:pPr>
      <w:r>
        <w:rPr>
          <w:rFonts w:ascii="Arial" w:cs="Arial" w:eastAsia="Arial" w:hAnsi="Arial"/>
          <w:sz w:val="16"/>
          <w:szCs w:val="16"/>
          <w:color w:val="auto"/>
        </w:rPr>
        <w:t xml:space="preserve">Also, when comparing the year ended December 31, 2002 to other periods, our 2002 restructuring, as discussed below within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resulted in the re-characterization of certain labor and facility-related costs. Through March 31, 2002, these costs were included within other selling, general and administrative costs. After the adoption of the new organizational structure, these costs were deemed more appropriate to be classified as operating costs and as such have been recorded as operating expenses since April 1, 2002, which is when the organizational changes became effective.</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Depreciation and amortization includes (i) amortization of intangible assets with a definite life, either using a 150% declining balance approach or a straight-line basis over the definitive terms of the related agreements, which are from two to ten years depending on the type of asset; (ii) depreciation of property and equipment on a straight-line basis from three to 50 years; (iii) amortization of landfill costs, including those incurred and all estimated future costs for landfill development, construction, closure and post-closure, on a units-of-consumption method as landfill airspace is consumed over the estimated remaining capacity of a site; and (iv) amortization of landfill asset retirement costs arising from final capping obligations on a units-of-consumption method as airspace is consumed over the estimated capacity associated with each final capping event.</w:t>
      </w:r>
    </w:p>
    <w:p>
      <w:pPr>
        <w:spacing w:after="0" w:line="201"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The increase in depreciation and amortization in 2004 as compared to 2003 is primarily related to (i) an increase in our landfill amortization rate, net of the adjustment related to our landfill retirement costs, of $0.19 per ton, and, to a lesser extent, an increase in landfill airspace amortization due to higher volumes;</w:t>
      </w:r>
    </w:p>
    <w:p>
      <w:pPr>
        <w:ind w:firstLine="8"/>
        <w:spacing w:after="0" w:line="290" w:lineRule="auto"/>
        <w:tabs>
          <w:tab w:leader="none" w:pos="258"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information technology depreciation expense recognized as a result of placing additional enterprise-wide software systems into service during the latter half of 2003; and (iii) increased depreciation expense for our Wheelabrator Group as a result of consolidating two variable interest entities. The increase in our landfill airspace and landfill asset retirement cost amortization in 2004 was partially offset by the impact of approximately $18 million of incremental changes related to our final capping, closure and post closure obligations due to (i) the addition of new landfill expansions and the removal of certain expansions from the landfill cost base; (ii) permit modifications; (iii) the settlement of final capping events; and (iv) changes in certain estimates that are derived from an annual review which occurs in the fourth quarter of each year. Depreciation and amortization remained relatively flat from 2002 to 2003.</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2002, we reorganized our operations to form market areas within our geographic Groups to better align collection, transport, recycling and disposal resources. As part of the restructuring, we reduced the number of field layers of management and eliminated approximately 1,900 field-level administrative and operational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positions. In 2002, we recorded $38 million in pre-tax charges for costs associated with the implementation of the new structure. These charges included</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$36 million for employee severance and benefit costs and $2 million related to abandoned operating lease agreements. All payments related to this restructuring have been made.</w:t>
      </w:r>
    </w:p>
    <w:p>
      <w:pPr>
        <w:spacing w:after="0" w:line="219"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and reduced certain overhead positions to streamline our organization. As a result, we incurred approximately $20 million in one-time employee severance and benefit costs. The operational efficiencies provided by the February 2003 organizational changes enabled us to further reduce our workforce in June 2003. We recorded $24 million of pre-tax charges for employee severance and benefit costs associated with this workforce reduction during 2003.</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During 2004, we recorded a $1 million credit to reduce our accrual for severance costs associated with these workforce reductions. As of December 31, 2004, substantially all obligations associated with the February restructuring and workforce reduction have been paid. The first quarter of 2005 is the final period we are obligated to make any severance payments to employees associated with the February 2003 reorganization and workforce reduction. Approximately $1 million remains accrued as of December 31, 2004 for employee severance and benefit costs incurred as a result of the June 2003 workforce reduction, which will be paid to certain employees through the third quarter of 2005.</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25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In 2004, the net gain of $13 million for asset impairments and unusual items related to (i) $17 million in impairment losses primarily due to the impairment of certain landfill assets and software development costs; (ii) $15 million in gains on divestitures that primarily related to certain Port-O-Let operations; and</w:t>
      </w:r>
    </w:p>
    <w:p>
      <w:pPr>
        <w:ind w:right="480" w:firstLine="8"/>
        <w:spacing w:after="0" w:line="261" w:lineRule="auto"/>
        <w:tabs>
          <w:tab w:leader="none" w:pos="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 million of gains in 2004 related to adjustments we made to our estimated obligations associated with our Non-NASW Divested Operations and our receipt of cash from a third-party for a previously settled remedial obligation.</w:t>
      </w:r>
    </w:p>
    <w:p>
      <w:pPr>
        <w:spacing w:after="0" w:line="219" w:lineRule="exact"/>
        <w:rPr>
          <w:sz w:val="20"/>
          <w:szCs w:val="20"/>
          <w:color w:val="auto"/>
        </w:rPr>
      </w:pPr>
    </w:p>
    <w:p>
      <w:pPr>
        <w:ind w:right="620" w:firstLine="324"/>
        <w:spacing w:after="0" w:line="332" w:lineRule="auto"/>
        <w:rPr>
          <w:sz w:val="20"/>
          <w:szCs w:val="20"/>
          <w:color w:val="auto"/>
        </w:rPr>
      </w:pPr>
      <w:r>
        <w:rPr>
          <w:rFonts w:ascii="Arial" w:cs="Arial" w:eastAsia="Arial" w:hAnsi="Arial"/>
          <w:sz w:val="16"/>
          <w:szCs w:val="16"/>
          <w:color w:val="auto"/>
        </w:rPr>
        <w:t>During 2003, we recorded a net gain of $8 million to asset impairments and unusual items primarily as a result of gains of $13 million recognized on divestitures of certain operations that were offset, in part, by $5 million for asset impairment and other miscellaneous charges.</w:t>
      </w:r>
    </w:p>
    <w:p>
      <w:pPr>
        <w:spacing w:after="0" w:line="166"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2002, the net gain of $34 million for asset impairments and unusual items was due primarily to (i) our receipt of approximately $11 million related to a previously impaired, non-revenue producing asset, (ii) net gains of approximately $8 million on divestitures during the year and (iii) reductions to legal reserves of approximately $8 million and loss contract reserves of approximately $7 million that we deemed were in excess of current requirements and that were initially recognized as a charge to asset impairments and unusual items.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manage and evaluate our operations primarily through our Eastern, Midwest, Southern, Western, Canadian, Wheelabrator and Recycling Groups. These Groups, when combined with certain other operations, comprise our NASW operations. The operations not managed through our seven operating Groups are presented herein as “Other NASW.”</w:t>
      </w:r>
    </w:p>
    <w:p>
      <w:pPr>
        <w:spacing w:after="0" w:line="2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discussed in Note 11 to the consolidated financial statements, charges associated with our restructuring and workforce reductions impacted the operating results of our reportable segments in 2003 and 2002. The following table summarizes income from operations by reportable segment for the year ended December 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for each respective period and provides explanations of other factors contributing to the significant changes in our segments’ operating results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Period to Period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Period to Period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Change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w:t>
            </w:r>
          </w:p>
        </w:tc>
        <w:tc>
          <w:tcPr>
            <w:tcW w:w="13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(11.8)%</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105.4%</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Eastern</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(123)</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(43)</w:t>
            </w:r>
          </w:p>
        </w:tc>
        <w:tc>
          <w:tcPr>
            <w:tcW w:w="13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Southern</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w:t>
            </w:r>
          </w:p>
        </w:tc>
        <w:tc>
          <w:tcPr>
            <w:tcW w:w="13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Wheelabrator</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457.1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w:t>
            </w:r>
          </w:p>
        </w:tc>
        <w:tc>
          <w:tcPr>
            <w:tcW w:w="13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NASW</w:t>
            </w:r>
          </w:p>
        </w:tc>
        <w:tc>
          <w:tcPr>
            <w:tcW w:w="2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2,106</w:t>
            </w:r>
          </w:p>
        </w:tc>
        <w:tc>
          <w:tcPr>
            <w:tcW w:w="1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194</w:t>
            </w:r>
          </w:p>
        </w:tc>
        <w:tc>
          <w:tcPr>
            <w:tcW w:w="14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10.1%</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1,912</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(99)</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(4.9)%</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2,011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right="20" w:firstLine="324"/>
        <w:spacing w:after="0" w:line="339" w:lineRule="auto"/>
        <w:rPr>
          <w:sz w:val="20"/>
          <w:szCs w:val="20"/>
          <w:color w:val="auto"/>
        </w:rPr>
      </w:pPr>
      <w:r>
        <w:rPr>
          <w:rFonts w:ascii="Arial" w:cs="Arial" w:eastAsia="Arial" w:hAnsi="Arial"/>
          <w:sz w:val="16"/>
          <w:szCs w:val="16"/>
          <w:b w:val="1"/>
          <w:bCs w:val="1"/>
          <w:color w:val="auto"/>
        </w:rPr>
        <w:t xml:space="preserve">Canadian </w:t>
      </w:r>
      <w:r>
        <w:rPr>
          <w:rFonts w:ascii="Arial" w:cs="Arial" w:eastAsia="Arial" w:hAnsi="Arial"/>
          <w:sz w:val="16"/>
          <w:szCs w:val="16"/>
          <w:color w:val="auto"/>
        </w:rPr>
        <w:t>— While general economic factors, such as foreign currency rates, favorably affected operating results year-over-year, a favorable legal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$17 million in the fourth quarter of 2003 and an unfavorable legal settlement of $26 million in 2002 were the primary drivers of these changes.</w:t>
      </w:r>
    </w:p>
    <w:p>
      <w:pPr>
        <w:spacing w:after="0" w:line="1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color w:val="auto"/>
        </w:rPr>
        <w:t xml:space="preserve">Eastern </w:t>
      </w:r>
      <w:r>
        <w:rPr>
          <w:rFonts w:ascii="Arial" w:cs="Arial" w:eastAsia="Arial" w:hAnsi="Arial"/>
          <w:sz w:val="18"/>
          <w:szCs w:val="18"/>
          <w:color w:val="auto"/>
        </w:rPr>
        <w:t>— Operating income improvement from 2003 to 2004 was driven primarily by (i) revenue growth due to increased average yield across all major</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business, partially offset by volume declines in transfer, residential collection and landfill operations throughout the year; (ii) higher operating expenses incurred in 2003 due to the first quarter’s harsh weather conditions; and (iii) acquisitions. These earnings improvements were partially offset by increased costs for labor and the transportation of waste, higher landfill amortization rates and the impairment of a landfill. The most significant factors affecting the decline from 2002 to 2003 were (i) lower collection and landfill volumes; (ii) increased disposal costs largely due to disposal constraints in the northeastern portion of the United States; (iii) general increases in landfill operating costs and repair and maintenance costs; and (iv) harsh winter weather experienced during the first quarter of 2003.</w:t>
      </w:r>
    </w:p>
    <w:p>
      <w:pPr>
        <w:spacing w:after="0" w:line="22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color w:val="auto"/>
        </w:rPr>
        <w:t xml:space="preserve">Midwest </w:t>
      </w:r>
      <w:r>
        <w:rPr>
          <w:rFonts w:ascii="Arial" w:cs="Arial" w:eastAsia="Arial" w:hAnsi="Arial"/>
          <w:sz w:val="18"/>
          <w:szCs w:val="18"/>
          <w:color w:val="auto"/>
        </w:rPr>
        <w:t>— Lower operating income in 2003 as compared with 2002 was primarily due to (i) the harsh winter weather conditions during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2003 (ii) soft economic conditions leading to lower volume; and (iii) an increase in competitive activity leading to price roll-backs and lost business. These economic and competitive pressures continued to impact the Midwest’s results during 2004.</w:t>
      </w:r>
    </w:p>
    <w:p>
      <w:pPr>
        <w:spacing w:after="0" w:line="21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color w:val="auto"/>
        </w:rPr>
        <w:t xml:space="preserve">Southern </w:t>
      </w:r>
      <w:r>
        <w:rPr>
          <w:rFonts w:ascii="Arial" w:cs="Arial" w:eastAsia="Arial" w:hAnsi="Arial"/>
          <w:sz w:val="16"/>
          <w:szCs w:val="16"/>
          <w:color w:val="auto"/>
        </w:rPr>
        <w:t>— Operating income in 2004 has been favorably affected by (i) positive internal revenue growth, largely due to volume increases in higher margin</w:t>
      </w:r>
      <w:r>
        <w:rPr>
          <w:rFonts w:ascii="Arial" w:cs="Arial" w:eastAsia="Arial" w:hAnsi="Arial"/>
          <w:sz w:val="16"/>
          <w:szCs w:val="16"/>
          <w:b w:val="1"/>
          <w:bCs w:val="1"/>
          <w:color w:val="auto"/>
        </w:rPr>
        <w:t xml:space="preserve"> </w:t>
      </w:r>
      <w:r>
        <w:rPr>
          <w:rFonts w:ascii="Arial" w:cs="Arial" w:eastAsia="Arial" w:hAnsi="Arial"/>
          <w:sz w:val="16"/>
          <w:szCs w:val="16"/>
          <w:color w:val="auto"/>
        </w:rPr>
        <w:t>landfill operations; (ii) acquisitions; (iii) increased revenue during the second half of 2004 as a result of the hurricanes in the region during the third quarter;</w:t>
      </w:r>
    </w:p>
    <w:p>
      <w:pPr>
        <w:spacing w:after="0" w:line="1"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favorable landfill capping adjustments in the fourth quarter of 2004, largely offset by higher landfill amortization rates utilized throughout 2004; and</w:t>
      </w:r>
    </w:p>
    <w:p>
      <w:pPr>
        <w:spacing w:after="0" w:line="32" w:lineRule="exact"/>
        <w:rPr>
          <w:rFonts w:ascii="Arial" w:cs="Arial" w:eastAsia="Arial" w:hAnsi="Arial"/>
          <w:sz w:val="16"/>
          <w:szCs w:val="16"/>
          <w:color w:val="auto"/>
        </w:rPr>
      </w:pPr>
    </w:p>
    <w:p>
      <w:pPr>
        <w:ind w:right="200" w:firstLine="8"/>
        <w:spacing w:after="0" w:line="261"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various operating and administrative cost reductions. These improvements were partially offset by the write-off of a terminated landfill development project during the fourth quarter of 2004. Results for the Southern Group were relatively consistent between 2002 and 2003.</w:t>
      </w:r>
    </w:p>
    <w:p>
      <w:pPr>
        <w:spacing w:after="0" w:line="213"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Western </w:t>
      </w:r>
      <w:r>
        <w:rPr>
          <w:rFonts w:ascii="Arial" w:cs="Arial" w:eastAsia="Arial" w:hAnsi="Arial"/>
          <w:sz w:val="18"/>
          <w:szCs w:val="18"/>
          <w:color w:val="auto"/>
        </w:rPr>
        <w:t>— The 2004 increase is primarily attributable to revenue growth, which is largely due to increased volumes in industrial and residential collection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transfer operations and average yield improvements in our commercial and residential collection operations. These gains were partially offset by (i) increased labor costs; (ii) higher fuel costs not passed on to customers; and (iii) increases in third party transportation and other subcontractor costs. Results for the Western Group were relatively consistent between 2002 and 2003.</w:t>
      </w:r>
    </w:p>
    <w:p>
      <w:pPr>
        <w:spacing w:after="0" w:line="217" w:lineRule="exact"/>
        <w:rPr>
          <w:sz w:val="20"/>
          <w:szCs w:val="20"/>
          <w:color w:val="auto"/>
        </w:rPr>
      </w:pPr>
    </w:p>
    <w:p>
      <w:pPr>
        <w:jc w:val="both"/>
        <w:ind w:right="40" w:firstLine="324"/>
        <w:spacing w:after="0" w:line="310" w:lineRule="auto"/>
        <w:rPr>
          <w:sz w:val="20"/>
          <w:szCs w:val="20"/>
          <w:color w:val="auto"/>
        </w:rPr>
      </w:pPr>
      <w:r>
        <w:rPr>
          <w:rFonts w:ascii="Arial" w:cs="Arial" w:eastAsia="Arial" w:hAnsi="Arial"/>
          <w:sz w:val="16"/>
          <w:szCs w:val="16"/>
          <w:b w:val="1"/>
          <w:bCs w:val="1"/>
          <w:color w:val="auto"/>
        </w:rPr>
        <w:t xml:space="preserve">Wheelabrator </w:t>
      </w:r>
      <w:r>
        <w:rPr>
          <w:rFonts w:ascii="Arial" w:cs="Arial" w:eastAsia="Arial" w:hAnsi="Arial"/>
          <w:sz w:val="16"/>
          <w:szCs w:val="16"/>
          <w:color w:val="auto"/>
        </w:rPr>
        <w:t>— The increase in 2004 operating income was due in large part to (i) positive internal revenue growth driven by improved electricity pricing</w:t>
      </w:r>
      <w:r>
        <w:rPr>
          <w:rFonts w:ascii="Arial" w:cs="Arial" w:eastAsia="Arial" w:hAnsi="Arial"/>
          <w:sz w:val="16"/>
          <w:szCs w:val="16"/>
          <w:b w:val="1"/>
          <w:bCs w:val="1"/>
          <w:color w:val="auto"/>
        </w:rPr>
        <w:t xml:space="preserve"> </w:t>
      </w:r>
      <w:r>
        <w:rPr>
          <w:rFonts w:ascii="Arial" w:cs="Arial" w:eastAsia="Arial" w:hAnsi="Arial"/>
          <w:sz w:val="16"/>
          <w:szCs w:val="16"/>
          <w:color w:val="auto"/>
        </w:rPr>
        <w:t>and average yield improvements on long-term disposal contracts and (ii) the consolidation of two special purpose variable interest entities on December 31, 2003, which has increased income from operations as a result of decreased operating costs, partially offset by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increases in depreciation expense (the impact of the consolidation of these entities on income before income taxes is significantly reduced by increases in interest expense and minority interest expense). Wheelabrator’s 2003 operating results were favorably affected by an $11 million gain realized as a result of a legal settlement, which also significantly affected their trended income from operations for the years presented.</w:t>
      </w:r>
    </w:p>
    <w:p>
      <w:pPr>
        <w:spacing w:after="0" w:line="21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Recycling </w:t>
      </w:r>
      <w:r>
        <w:rPr>
          <w:rFonts w:ascii="Arial" w:cs="Arial" w:eastAsia="Arial" w:hAnsi="Arial"/>
          <w:sz w:val="18"/>
          <w:szCs w:val="18"/>
          <w:color w:val="auto"/>
        </w:rPr>
        <w:t>— The Recycling Group’s 2004 operating revenues have been favorably affected by significantly higher market prices for recycling commodities.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the market prices for these commodities provide marginal increases to our income from operations because a substantial portion of changes in market prices are generally passed on as rebates to our suppliers. These favorable market conditions were the primary drivers of the current year’s increase in earnings.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Components of Income Before Cumulative Effect of Changes in Accounting Principles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the other major components of our income before cumulative effect of changes in accounting principles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respective period (in millions):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Period to Period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rPr>
              <w:t>Period to Period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150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Pr>
          <w:p>
            <w:pPr>
              <w:jc w:val="right"/>
              <w:ind w:right="716"/>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$385</w:t>
            </w:r>
          </w:p>
        </w:tc>
        <w:tc>
          <w:tcPr>
            <w:tcW w:w="176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 (42)</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9.8%</w:t>
            </w: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$427</w:t>
            </w:r>
          </w:p>
        </w:tc>
        <w:tc>
          <w:tcPr>
            <w:tcW w:w="94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$(19)</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Equity in losses (earnings) of</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unconsolidated entities</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98</w:t>
            </w:r>
          </w:p>
        </w:tc>
        <w:tc>
          <w:tcPr>
            <w:tcW w:w="1760" w:type="dxa"/>
            <w:vAlign w:val="bottom"/>
            <w:gridSpan w:val="2"/>
          </w:tcPr>
          <w:p>
            <w:pPr>
              <w:jc w:val="right"/>
              <w:ind w:right="772"/>
              <w:spacing w:after="0"/>
              <w:rPr>
                <w:sz w:val="20"/>
                <w:szCs w:val="20"/>
                <w:color w:val="auto"/>
              </w:rPr>
            </w:pPr>
            <w:r>
              <w:rPr>
                <w:rFonts w:ascii="Arial" w:cs="Arial" w:eastAsia="Arial" w:hAnsi="Arial"/>
                <w:sz w:val="18"/>
                <w:szCs w:val="18"/>
                <w:color w:val="auto"/>
              </w:rPr>
              <w:t>102</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112"/>
              <w:spacing w:after="0"/>
              <w:rPr>
                <w:sz w:val="20"/>
                <w:szCs w:val="20"/>
                <w:color w:val="auto"/>
              </w:rPr>
            </w:pPr>
            <w:r>
              <w:rPr>
                <w:rFonts w:ascii="Arial" w:cs="Arial" w:eastAsia="Arial" w:hAnsi="Arial"/>
                <w:sz w:val="18"/>
                <w:szCs w:val="18"/>
                <w:color w:val="auto"/>
              </w:rPr>
              <w:t>2</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(33.3)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3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Minority interest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36</w:t>
            </w:r>
          </w:p>
        </w:tc>
        <w:tc>
          <w:tcPr>
            <w:tcW w:w="17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30</w:t>
            </w:r>
          </w:p>
        </w:tc>
        <w:tc>
          <w:tcPr>
            <w:tcW w:w="4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w:t>
            </w:r>
          </w:p>
        </w:tc>
        <w:tc>
          <w:tcPr>
            <w:tcW w:w="136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(14.3)</w:t>
            </w:r>
          </w:p>
        </w:tc>
        <w:tc>
          <w:tcPr>
            <w:tcW w:w="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ind w:right="772"/>
              <w:spacing w:after="0"/>
              <w:rPr>
                <w:sz w:val="20"/>
                <w:szCs w:val="20"/>
                <w:color w:val="auto"/>
              </w:rPr>
            </w:pPr>
            <w:r>
              <w:rPr>
                <w:rFonts w:ascii="Arial" w:cs="Arial" w:eastAsia="Arial" w:hAnsi="Arial"/>
                <w:sz w:val="18"/>
                <w:szCs w:val="18"/>
                <w:color w:val="auto"/>
              </w:rPr>
              <w:t>14</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112"/>
              <w:spacing w:after="0"/>
              <w:rPr>
                <w:sz w:val="20"/>
                <w:szCs w:val="20"/>
                <w:color w:val="auto"/>
              </w:rPr>
            </w:pPr>
            <w:r>
              <w:rPr>
                <w:rFonts w:ascii="Arial" w:cs="Arial" w:eastAsia="Arial" w:hAnsi="Arial"/>
                <w:sz w:val="18"/>
                <w:szCs w:val="18"/>
                <w:color w:val="auto"/>
              </w:rPr>
              <w:t>33</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247</w:t>
            </w:r>
          </w:p>
        </w:tc>
        <w:tc>
          <w:tcPr>
            <w:tcW w:w="176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404</w:t>
            </w:r>
          </w:p>
        </w:tc>
        <w:tc>
          <w:tcPr>
            <w:tcW w:w="94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right="360" w:hanging="232"/>
        <w:spacing w:after="0" w:line="268" w:lineRule="auto"/>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Percentage change not meaningful. Refer to the explanations of these items below for a discussion of the relationship between current year and prior year activity.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2004, net interest expense decreased approximately $42 million when compared with 2003, which is due to a $58 million increase in interest income from $12 million in 2003 to $70 million in 2004. This increase is due primarily to interest income of $46 million realized on tax refunds received from the IRS for the settlement of several federal audits. Partially offsetting the benefit of the current year increase in interest income is a $16 million increase in interest expense, which is primarily attributable to the consolidation of two special purpose variable interest entities on December 31, 2003 as a result of our implementation of FIN 46.</w:t>
      </w:r>
    </w:p>
    <w:p>
      <w:pPr>
        <w:spacing w:after="0" w:line="224"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decline in net interest expense in 2003 when compared with 2002 can be largely attributed to our increased utilization of tax-exempt financing, which contributed to a decline in our weighted average interest rate for the period.</w:t>
      </w:r>
    </w:p>
    <w:p>
      <w:pPr>
        <w:spacing w:after="0" w:line="213"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For all periods, we have experienced a positive impact to interest expense as a result of our interest rate derivative contracts, which we use to manage our exposure to changes in market interest rates. The combined benefit of active and terminated interest rate swap agreements resulted in interest expense reductions of approximately $90 million for 2004, approximately $96 million for 2003 and approximately $86 million for 2002. While we expect the benefits of our interest rate derivative contracts to continue in 2005, the benefit derived from our interest rate contracts will be impacted by changes in short-term rates on our active agreements and will decline as the debt associated with terminated contracts matures.</w:t>
      </w:r>
    </w:p>
    <w:p>
      <w:pPr>
        <w:spacing w:after="0" w:line="197"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Of the $90 million in reductions to interest expense realized in 2004 for terminated and active interest rate swap agreements, $48 million related to the amortization of terminated swaps. Our terminated interest rate swaps are expected to reduce interest expense by $42 million in 2005, $41 million in 2006 and $37 million in 2007.</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in Losses (Earnings) of Unconsolidated Entities</w:t>
      </w:r>
    </w:p>
    <w:p>
      <w:pPr>
        <w:spacing w:after="0" w:line="252"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 the first and second quarters of 2004, we acquired an equity interest in two coal-based synthetic fuel production facilities. We account for our investments in these entities using the equity method of accounting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2" w:name="page43"/>
    <w:bookmarkEnd w:id="42"/>
    <w:p>
      <w:pPr>
        <w:ind w:right="60"/>
        <w:spacing w:after="0" w:line="298" w:lineRule="auto"/>
        <w:rPr>
          <w:sz w:val="20"/>
          <w:szCs w:val="20"/>
          <w:color w:val="auto"/>
        </w:rPr>
      </w:pPr>
      <w:r>
        <w:rPr>
          <w:rFonts w:ascii="Arial" w:cs="Arial" w:eastAsia="Arial" w:hAnsi="Arial"/>
          <w:sz w:val="16"/>
          <w:szCs w:val="16"/>
          <w:color w:val="auto"/>
        </w:rPr>
        <w:t xml:space="preserve">and their related losses are the reason for the 2004 versus 2003 change in equity in losses (earnings) of unconsolidated entities. These equity losses are more than offset by the tax benefit realized as a result of these investments as discussed below within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If, for any reason, the tax credits generated by the facilities were no longer allowable under Section 29 of the Internal Revenue Code, we would no longer incur these equity losses. Additional information related to these investments is included in Note 8 to the consolidated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252"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The increase in 2004 minority interest expense over prior years was primarily attributable to the consolidation of two special purpose type variable interest entities on December 31, 2003 as a result of our implementation of FIN 46. This increase was more than offset by an increase in our income from operations as a result of consolidating the entities. Additional information related to these investments is included in Note 19 to the consolidated financial statements.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income and expense in 2003 and 2004 is primarily attributable to the impact of foreign currency translation.</w:t>
      </w:r>
    </w:p>
    <w:p>
      <w:pPr>
        <w:spacing w:after="0" w:line="252" w:lineRule="exact"/>
        <w:rPr>
          <w:sz w:val="20"/>
          <w:szCs w:val="20"/>
          <w:color w:val="auto"/>
        </w:rPr>
      </w:pPr>
    </w:p>
    <w:p>
      <w:pPr>
        <w:ind w:right="140" w:firstLine="324"/>
        <w:spacing w:after="0" w:line="335" w:lineRule="auto"/>
        <w:rPr>
          <w:sz w:val="20"/>
          <w:szCs w:val="20"/>
          <w:color w:val="auto"/>
        </w:rPr>
      </w:pPr>
      <w:r>
        <w:rPr>
          <w:rFonts w:ascii="Arial" w:cs="Arial" w:eastAsia="Arial" w:hAnsi="Arial"/>
          <w:sz w:val="15"/>
          <w:szCs w:val="15"/>
          <w:color w:val="auto"/>
        </w:rPr>
        <w:t>We experienced a significant impact to other income in 2002 due primarily to the sale of an equity investment. In 2002, a company in which we held an approximately 17% interest was acquired by another entity. We also held a note from the acquired company that was paid off in connection with the acquisition. The proceeds from the repayment of the note and the sale of our equity investment resulted in a gain of approximately $43 million in the fourth quarter of 2002.</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recorded a provision for income taxes of $247 million for 2004, $404 million for 2003 and $422 million for 2002 resulting in an effective income tax rate of approximately 21.0%, 36.0% and 34.0% for each of the three years, respectively.</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difference in federal income taxes computed at the federal statutory rate and reported income taxes for 2004 is primarily due to (i) the realization of non-conventional fuel tax credits generated by our landfills and our investments in the coal-based synthetic fuel production facilities discussed above within equity in losses (earnings) of unconsolidated entities; and (ii) the realization of a net benefit of approximately $101 million for tax audit settlements that occurred during the year; offset in part by (iii) state and local income taxes. The decrease of approximately $131 million in our tax provision attributable to our equity investments in the coal-based synthetic fuel production facilities more than offset the related equity losses and interest expense for those entities discussed above.</w:t>
      </w:r>
    </w:p>
    <w:p>
      <w:pPr>
        <w:spacing w:after="0" w:line="19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difference in federal income taxes computed at the federal statutory rate and reported income taxes for 2003 and 2002 is primarily due to state and local income taxes, offset in part by non-conventional fuel tax credits generated by our landfills. Additionally, in 2003 we recognized a $6 million tax benefit on the settlement of certain foreign audits. In 2002, we recognized a tax benefit of approximately $16 million due to a capital gain generated in 2002 that enabled us to utilize a previously unbenefitted capital loss that arose from a divestiture. A tax benefit of approximately $31 million was also recognized in 2002 related to the carry-back of losses by our Dutch subsidiary.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to our consolidated financial statements for further discussion.</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March 31, 2004, we recorded a credit of approximately $8 million, net of taxes, or $0.01 per diluted share, as a cumulative effect of change in accounting principle as a result of the consolidation of previously unrecorded trusts as required by FIN 46. See Note 2 to the consolidated financial statements for further discussion.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3" w:name="page44"/>
    <w:bookmarkEnd w:id="43"/>
    <w:p>
      <w:pPr>
        <w:ind w:right="540" w:firstLine="324"/>
        <w:spacing w:after="0" w:line="268" w:lineRule="auto"/>
        <w:rPr>
          <w:sz w:val="20"/>
          <w:szCs w:val="20"/>
          <w:color w:val="auto"/>
        </w:rPr>
      </w:pPr>
      <w:r>
        <w:rPr>
          <w:rFonts w:ascii="Arial" w:cs="Arial" w:eastAsia="Arial" w:hAnsi="Arial"/>
          <w:sz w:val="18"/>
          <w:szCs w:val="18"/>
          <w:color w:val="auto"/>
        </w:rPr>
        <w:t>In the first and fourth quarters of 2003, we recorded net of tax charges of $46 million and $43 million, respectively, to cumulative effect of changes in accounting principles for the initial adoption of the accounting changes described below.</w:t>
      </w:r>
    </w:p>
    <w:p>
      <w:pPr>
        <w:spacing w:after="0" w:line="186" w:lineRule="exact"/>
        <w:rPr>
          <w:sz w:val="20"/>
          <w:szCs w:val="20"/>
          <w:color w:val="auto"/>
        </w:rPr>
      </w:pPr>
    </w:p>
    <w:p>
      <w:pPr>
        <w:ind w:left="460" w:hanging="101"/>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this method to one that expenses these costs as they are incurred. We recorded approximately $25 million, net of taxes, or $0.04 per diluted share, as a credit to cumulative effect of changes in accounting principles.</w:t>
      </w:r>
    </w:p>
    <w:p>
      <w:pPr>
        <w:spacing w:after="0" w:line="224" w:lineRule="exact"/>
        <w:rPr>
          <w:rFonts w:ascii="Arial" w:cs="Arial" w:eastAsia="Arial" w:hAnsi="Arial"/>
          <w:sz w:val="18"/>
          <w:szCs w:val="18"/>
          <w:color w:val="auto"/>
        </w:rPr>
      </w:pPr>
    </w:p>
    <w:p>
      <w:pPr>
        <w:ind w:left="460" w:right="80" w:hanging="101"/>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December 31, 2002, we accrued for future losses under customer contracts that we entered into that over the contract life were projected to have direct costs greater than revenues. Effective January 1, 2003, we recorded approximately $30 million, net of taxes, or $0.05 per diluted share, as a credit to cumulative effect of changes in accounting principles.</w:t>
      </w:r>
    </w:p>
    <w:p>
      <w:pPr>
        <w:spacing w:after="0" w:line="221" w:lineRule="exact"/>
        <w:rPr>
          <w:rFonts w:ascii="Arial" w:cs="Arial" w:eastAsia="Arial" w:hAnsi="Arial"/>
          <w:sz w:val="18"/>
          <w:szCs w:val="18"/>
          <w:color w:val="auto"/>
        </w:rPr>
      </w:pPr>
    </w:p>
    <w:p>
      <w:pPr>
        <w:ind w:left="460" w:right="60" w:hanging="101"/>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221" w:lineRule="exact"/>
        <w:rPr>
          <w:rFonts w:ascii="Arial" w:cs="Arial" w:eastAsia="Arial" w:hAnsi="Arial"/>
          <w:sz w:val="18"/>
          <w:szCs w:val="18"/>
          <w:color w:val="auto"/>
        </w:rPr>
      </w:pPr>
    </w:p>
    <w:p>
      <w:pPr>
        <w:ind w:left="460" w:right="260" w:hanging="101"/>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the application of FIN 46 to special purpose type variable interest entities, we recorded approximately $43 million, including tax benefit, or $0.07 per diluted share, in the fourth quarter of 2003 as a charge to cumulative effect of changes in accounting principles. For a discussion of these variable interest entities see Notes 2 and 19 to the consolidated financial statements.</w:t>
      </w:r>
    </w:p>
    <w:p>
      <w:pPr>
        <w:spacing w:after="0" w:line="221"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In the first quarter of 2002, we recorded a credit of $2 million to cumulative effect of change in accounting principle to write off the aggregate amount of negative goodwill as a result of adopting SFAS No. 141, </w:t>
      </w:r>
      <w:r>
        <w:rPr>
          <w:rFonts w:ascii="Arial" w:cs="Arial" w:eastAsia="Arial" w:hAnsi="Arial"/>
          <w:sz w:val="18"/>
          <w:szCs w:val="18"/>
          <w:i w:val="1"/>
          <w:iCs w:val="1"/>
          <w:color w:val="auto"/>
        </w:rPr>
        <w:t>Accounting for Business Combinations.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40" w:firstLine="324"/>
        <w:spacing w:after="0" w:line="303" w:lineRule="auto"/>
        <w:rPr>
          <w:sz w:val="20"/>
          <w:szCs w:val="20"/>
          <w:color w:val="auto"/>
        </w:rPr>
      </w:pPr>
      <w:r>
        <w:rPr>
          <w:rFonts w:ascii="Arial" w:cs="Arial" w:eastAsia="Arial" w:hAnsi="Arial"/>
          <w:sz w:val="15"/>
          <w:szCs w:val="15"/>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w:t>
      </w:r>
    </w:p>
    <w:p>
      <w:pPr>
        <w:spacing w:after="0" w:line="1" w:lineRule="exact"/>
        <w:rPr>
          <w:sz w:val="20"/>
          <w:szCs w:val="20"/>
          <w:color w:val="auto"/>
        </w:rPr>
      </w:pPr>
    </w:p>
    <w:p>
      <w:pPr>
        <w:ind w:right="40" w:firstLine="8"/>
        <w:spacing w:after="0" w:line="255" w:lineRule="auto"/>
        <w:tabs>
          <w:tab w:leader="none" w:pos="2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to and maintenance of our trucking fleet; (iii) refurbishments and improvements at waste-to-energy and materials recovery facilities; (iv) the container and equipment needs of our operations; and (v) capping, closure and post-closure activities at our landfills. Beginning in 2002, we committed ourselves to providing our shareholders with a return on their investment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9" w:right="259" w:bottom="1440" w:gutter="0" w:footer="0" w:header="0"/>
        </w:sectPr>
      </w:pPr>
    </w:p>
    <w:bookmarkStart w:id="44" w:name="page45"/>
    <w:bookmarkEnd w:id="44"/>
    <w:p>
      <w:pPr>
        <w:jc w:val="both"/>
        <w:ind w:right="180"/>
        <w:spacing w:after="0" w:line="259" w:lineRule="auto"/>
        <w:rPr>
          <w:sz w:val="20"/>
          <w:szCs w:val="20"/>
          <w:color w:val="auto"/>
        </w:rPr>
      </w:pPr>
      <w:r>
        <w:rPr>
          <w:rFonts w:ascii="Arial" w:cs="Arial" w:eastAsia="Arial" w:hAnsi="Arial"/>
          <w:sz w:val="18"/>
          <w:szCs w:val="18"/>
          <w:color w:val="auto"/>
        </w:rPr>
        <w:t>through our share repurchase program, and in 2004 began a quarterly dividend program. Our Board of Directors has approved a new capital allocation program that provides for up to $1.2 billion in aggregate dividend payments and share repurchases each year during 2005, 2006 and 2007. We also continue to invest in acquisitions that we believe will be accretive and provide continued growth in our core business.</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October 22, 2004, the American Jobs Creation Act of 2004 (the “Act”) became law. A provision of the Act temporarily reduces the tax rate on repatriated income if the income is permanently reinvested in the U.S. We are currently evaluating the potential impact of this legislation, which includes an analysis of the funds provided by our Canadian operations available for repatriation. However, we do not expect this legislation to materially impact our consolidated liquidity position.</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Restricted Trust and Escrow Accounts and Debt Obligations</w:t>
      </w:r>
    </w:p>
    <w:p>
      <w:pPr>
        <w:spacing w:after="0" w:line="252"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The following is a summary of our cash, restricted trust and escrow accounts and debt balances as of December 31, 2004 and December 31, 2003 (in millions):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Tax-exempt bond funds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Closure, post-closure and remediation funds</w:t>
            </w: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Debt service funds</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restricted trust and escrow accounts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Current portion</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Long-term portion</w:t>
            </w: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8,182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7,997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8,566</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8,511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0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000" w:type="dxa"/>
            <w:vAlign w:val="bottom"/>
            <w:gridSpan w:val="2"/>
          </w:tcPr>
          <w:p>
            <w:pPr>
              <w:spacing w:after="0"/>
              <w:rPr>
                <w:sz w:val="20"/>
                <w:szCs w:val="20"/>
                <w:color w:val="auto"/>
              </w:rPr>
            </w:pPr>
            <w:r>
              <w:rPr>
                <w:rFonts w:ascii="Arial" w:cs="Arial" w:eastAsia="Arial" w:hAnsi="Arial"/>
                <w:sz w:val="18"/>
                <w:szCs w:val="18"/>
                <w:color w:val="auto"/>
                <w:w w:val="92"/>
              </w:rPr>
              <w:t>Increase in carrying value of debt due to hedge accounting for interest rate swaps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720" w:firstLine="324"/>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grade commercial paper purchased with original maturities of three months or less.</w:t>
      </w:r>
    </w:p>
    <w:p>
      <w:pPr>
        <w:spacing w:after="0" w:line="201" w:lineRule="exact"/>
        <w:rPr>
          <w:sz w:val="20"/>
          <w:szCs w:val="20"/>
          <w:color w:val="auto"/>
        </w:rPr>
      </w:pPr>
    </w:p>
    <w:p>
      <w:pPr>
        <w:ind w:right="480" w:firstLine="324"/>
        <w:spacing w:after="0" w:line="258" w:lineRule="auto"/>
        <w:rPr>
          <w:sz w:val="20"/>
          <w:szCs w:val="20"/>
          <w:color w:val="auto"/>
        </w:rPr>
      </w:pPr>
      <w:r>
        <w:rPr>
          <w:rFonts w:ascii="Arial" w:cs="Arial" w:eastAsia="Arial" w:hAnsi="Arial"/>
          <w:sz w:val="18"/>
          <w:szCs w:val="18"/>
          <w:b w:val="1"/>
          <w:bCs w:val="1"/>
          <w:color w:val="auto"/>
        </w:rPr>
        <w:t xml:space="preserve">Restricted trust and escrow accounts </w:t>
      </w:r>
      <w:r>
        <w:rPr>
          <w:rFonts w:ascii="Arial" w:cs="Arial" w:eastAsia="Arial" w:hAnsi="Arial"/>
          <w:sz w:val="18"/>
          <w:szCs w:val="18"/>
          <w:color w:val="auto"/>
        </w:rPr>
        <w:t>— Restricted trusts and escrow accounts consist primarily of funds held in trust for the construction of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or repayment of debt obligations, funds deposited in connection with landfill closure, post-closure and remedial obligations and insurance escrow deposits. These balances are primarily included within long-term other assets in our consolidated balance sheets. See Note 3 to the consolidated financial statements for additional discussion.</w:t>
      </w:r>
    </w:p>
    <w:p>
      <w:pPr>
        <w:spacing w:after="0" w:line="217" w:lineRule="exact"/>
        <w:rPr>
          <w:sz w:val="20"/>
          <w:szCs w:val="20"/>
          <w:color w:val="auto"/>
        </w:rPr>
      </w:pPr>
    </w:p>
    <w:p>
      <w:pPr>
        <w:ind w:firstLine="324"/>
        <w:spacing w:after="0" w:line="339" w:lineRule="auto"/>
        <w:rPr>
          <w:sz w:val="20"/>
          <w:szCs w:val="20"/>
          <w:color w:val="auto"/>
        </w:rPr>
      </w:pPr>
      <w:r>
        <w:rPr>
          <w:rFonts w:ascii="Arial" w:cs="Arial" w:eastAsia="Arial" w:hAnsi="Arial"/>
          <w:sz w:val="16"/>
          <w:szCs w:val="16"/>
          <w:b w:val="1"/>
          <w:bCs w:val="1"/>
          <w:color w:val="auto"/>
        </w:rPr>
        <w:t xml:space="preserve">Debt </w:t>
      </w:r>
      <w:r>
        <w:rPr>
          <w:rFonts w:ascii="Arial" w:cs="Arial" w:eastAsia="Arial" w:hAnsi="Arial"/>
          <w:sz w:val="16"/>
          <w:szCs w:val="16"/>
          <w:color w:val="auto"/>
        </w:rPr>
        <w:t>— Revolving credit and letter of credit facilities — The table below summarizes the credit capacity, maturity and outstanding letters of credit under our</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facility and principal letter of credit facilities outstanding at December 31, 2004 (in millions). We also had an additional $88 million in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outstanding letters of credit at December 31, 2004 that have been issued under various arrangements, none of which provide for committed capacity.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Total Credit</w:t>
            </w: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Letters of</w:t>
            </w:r>
          </w:p>
        </w:tc>
        <w:tc>
          <w:tcPr>
            <w:tcW w:w="0" w:type="dxa"/>
            <w:vAlign w:val="bottom"/>
          </w:tcPr>
          <w:p>
            <w:pPr>
              <w:spacing w:after="0"/>
              <w:rPr>
                <w:sz w:val="1"/>
                <w:szCs w:val="1"/>
                <w:color w:val="auto"/>
              </w:rPr>
            </w:pPr>
          </w:p>
        </w:tc>
      </w:tr>
      <w:tr>
        <w:trPr>
          <w:trHeight w:val="174"/>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Facility</w:t>
            </w:r>
          </w:p>
        </w:tc>
        <w:tc>
          <w:tcPr>
            <w:tcW w:w="320" w:type="dxa"/>
            <w:vAlign w:val="bottom"/>
          </w:tcPr>
          <w:p>
            <w:pPr>
              <w:spacing w:after="0"/>
              <w:rPr>
                <w:sz w:val="15"/>
                <w:szCs w:val="15"/>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Capacity</w:t>
            </w:r>
          </w:p>
        </w:tc>
        <w:tc>
          <w:tcPr>
            <w:tcW w:w="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Five-year revolving credit facility(a)</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$2,400</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October 2009</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Five-year letter of credit and term loan agreement(b)</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June 2008</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Five-year letter of credit facility(b)</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350</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December 2008</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Seven-year letter of credit and term loan agreement(b)</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June 2010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Ten-year letter of credit and term loan agreement(b)</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2013</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$3,045</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$1,997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4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1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facility provides us with credit capacity that could be used for either cash borrowings or letters of credit. At December 31, 2004, no borrowings were outstanding under the facility, and we had unused and available credit capacity of approximately $1,034 million.</w:t>
      </w:r>
    </w:p>
    <w:p>
      <w:pPr>
        <w:spacing w:after="0" w:line="212"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facilities have been established to provide us with letter of credit capacity. In the event of an unreimbursed draw on a letter of credit, the amount of the draw paid by the letter of credit provider generally converts into a term loan for the remaining term under the respective agreement or facility. Through December 31, 2004 we had not experienced any unreimbursed draws on our letters of credit.</w:t>
      </w:r>
    </w:p>
    <w:p>
      <w:pPr>
        <w:spacing w:after="0" w:line="22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19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On October 15, 2004, we renegotiated our three-year, $650 million and five-year, $1.75 billion revolving credit facilities, replacing them with a single, five-year, $2.4 billion syndicated revolving credit facility.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During March 2004 we issued $350 million of 5.0% senior notes due March 15, 2014. The net proceeds of the offering were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$346 million after deducting underwriters’ discounts and expenses. We used these proceeds to repay $150 million of 8.0% senior notes due April 30, 2004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6.5% senior notes due May 15, 2004. With cash on hand, we repaid $295 million of 7.0% senior notes that matured on October 1, 2004.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of 7.0% senior notes and $3 million of 6.65% senior notes both due May 15, 2005 that we currently expect to redeem with available cash.</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Tax-exempt bonds </w:t>
      </w:r>
      <w:r>
        <w:rPr>
          <w:rFonts w:ascii="Arial" w:cs="Arial" w:eastAsia="Arial" w:hAnsi="Arial"/>
          <w:sz w:val="16"/>
          <w:szCs w:val="16"/>
          <w:color w:val="auto"/>
        </w:rPr>
        <w:t>— As of December 31, 2004, we had approximately $2,047 million of outstanding tax-exempt bonds. We issued approximately</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$345 million of tax-exempt bonds during 2004, $35 million of which was issued to refinance higher rate tax-exempt bonds. We actively issue tax-exempt bonds as a means of accessing low-cost financing for capital expenditures. The proceeds from these financing arrangements are deposited directly into trust funds and may only be used for the specific purpose for which the money was raised, which is generally the construction of collection and disposal facilities and for the equipment necessary to provide waste management services. As we spend monies on the specific projects being financed, we are able to requisition cash from the trust funds. As discussed in the restricted trusts and escrow accounts section above, we have approximately $333 million held in trust for future spending as of December 31, 2004. During 2004, we received $442 million from these funds for approved capital expenditures.</w:t>
      </w:r>
    </w:p>
    <w:p>
      <w:pPr>
        <w:spacing w:after="0" w:line="19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December 31, 2004, approximately $590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primarily under our $2.4 billion, five-year revolving credit facility, that guarantee repayment of the bonds in the event the bonds are put to us. During the second quarter of 2004, we fixed the interest rates of approximately $379 million of tax-exempt bonds that had previously been remarketed on a weekly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6" w:name="page47"/>
    <w:bookmarkEnd w:id="46"/>
    <w:p>
      <w:pPr>
        <w:ind w:right="640"/>
        <w:spacing w:after="0" w:line="268" w:lineRule="auto"/>
        <w:rPr>
          <w:sz w:val="20"/>
          <w:szCs w:val="20"/>
          <w:color w:val="auto"/>
        </w:rPr>
      </w:pPr>
      <w:r>
        <w:rPr>
          <w:rFonts w:ascii="Arial" w:cs="Arial" w:eastAsia="Arial" w:hAnsi="Arial"/>
          <w:sz w:val="18"/>
          <w:szCs w:val="18"/>
          <w:color w:val="auto"/>
        </w:rPr>
        <w:t>Because our variable-rate tax-exempt bonds require letter of credit support, fixing the interest rates of these debt instruments resulted in a decrease in our financial assurance needs.</w:t>
      </w:r>
    </w:p>
    <w:p>
      <w:pPr>
        <w:spacing w:after="0" w:line="21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Tax-exempt project bonds — As of December 31, 2004, we had approximately $496 million of outstanding tax-exempt project bonds. These debt instruments are primarily used by our Wheelabrator Group to finance the development of waste-to-energy facilities. The bonds generally require periodic principal installment payments. As of December 31 2004, approximately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Approximately $91 million of these bonds will be repaid with either available cash or debt service funds within the next twelve months.</w:t>
      </w:r>
    </w:p>
    <w:p>
      <w:pPr>
        <w:spacing w:after="0" w:line="201"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Convertible subordinated notes — We had approximately $35 million of convertible subordinated notes that we repaid, with cash on hand, upon maturity on January 24, 2005.</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Interest rate swaps — We manage the interest rate risk of our debt portfolio principally by using interest rate derivatives to achieve a desired position of fixed and floating rate debt. As of December 31, 2004, the interest payments on approximately $2.6 billion of our fixed rate debt have been swapped to variable rates, allowing us to maintain approximately 63% of our debt at fixed interest rates and approximately 37% at variable interest rates. Fair value hedge accounting for interest rate swap contracts increased the carrying value of debt instruments by approximately $135 million as of December 31, 2004 and approximately $168 million at December 31, 2003.</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flows for the year ended December 31 for each respective period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2,218</w:t>
            </w: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1,926</w:t>
            </w: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2,153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(1,130)</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(986)</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(1,588)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During both 2003 and 2002, cash generated from operations was positively affected by cash we received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$109 million and $166 million, respectively, from counterparties for terminating certain interest rate swap agreements prior to their scheduled maturities. The positive cash receipts during 2002 were offset partially by cash payments of approximately $66 million to counterparties for the settlement of hedging agreements entered into to secure underlying interest rates related to our 2002 debt issuances.</w:t>
      </w:r>
    </w:p>
    <w:p>
      <w:pPr>
        <w:spacing w:after="0" w:line="19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Cash generated from operations during 2003 was negatively affected by a $223 million net cash outflow for the settlement of our securities class action lawsuit in the third quarter of 2003. Settlement related activity impacting our operating cash flows during 2003 includes: (i) a final net cash settlement payment, net of insurance proceeds of $377 million plus accrued interest; (ii) a total tax benefit of approximately $138 million and (iii) related net settlement recoveries of approximately $16 million.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adjusting 2003 and 2002 for the unusual items mentioned above, our 2004 cash flows from operations increased $178 million over 2003 and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$165 million over 2002. Our improved earnings and the favorable effects of our investments in two synthetic fuel partnerships are the primary contributors of this increase.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 The primary contributor to the variation in cash used in investing activities is acquisition spending, which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$130 million in 2004, $337 million in 2003 and $162 million in 2002. In recent years, our business acquisition strategy has been to focus on tuck-in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7" w:name="page48"/>
    <w:bookmarkEnd w:id="47"/>
    <w:p>
      <w:pPr>
        <w:spacing w:after="0" w:line="294" w:lineRule="auto"/>
        <w:rPr>
          <w:sz w:val="20"/>
          <w:szCs w:val="20"/>
          <w:color w:val="auto"/>
        </w:rPr>
      </w:pPr>
      <w:r>
        <w:rPr>
          <w:rFonts w:ascii="Arial" w:cs="Arial" w:eastAsia="Arial" w:hAnsi="Arial"/>
          <w:sz w:val="16"/>
          <w:szCs w:val="16"/>
          <w:color w:val="auto"/>
        </w:rPr>
        <w:t>relatively small, accretive businesses that will easily integrate with, and provide value to, our existing operations. However, our 2003 acquisition activity was uncharacteristically high because of a few relatively large acquisitions that were made in addition to numerous smaller tuck-in acquisitions, particularly in our recycling line-of-business. Our current market development and capital allocation strategies reflect our desire to continue to invest in businesses that will enable us to effectively utilize our existing assets and the development or acquisition of disposal assets, which tend to provide higher returns on investment and operating margins. We intend to continue to make accretive tuck-in investments and expect acquisition spending in 2005 to be approximately $250 million.</w:t>
      </w:r>
    </w:p>
    <w:p>
      <w:pPr>
        <w:spacing w:after="0" w:line="19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addition to decreased acquisition spending, net receipts from restricted trust fund and escrow accounts in 2004 have increased $73 million over 2003 and $171 million over 2002. As discussed above, our restricted trust and escrow accounts are related to our (i) tax-exempt bonds; (ii) closure, post-closure and remedial requirements; or (iii) debt service requirements. The increase in cash received from these sources is due to increased utilization of this type of financing, which is a direct result of the favorable interest rates available.</w:t>
      </w:r>
    </w:p>
    <w:p>
      <w:pPr>
        <w:spacing w:after="0" w:line="2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capital expenditures have been maintained at a manageable range of annual spending of approximately $1.2 billion to $1.3 billion. We anticipate that our capital expenditures during 2005 will be in the range of $1.25 billion to $1.35 billion.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we continue to receive cash proceeds from divestitures and other sales of assets. In January of 2005, we received proceeds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$89 million for the divestiture of one of our landfills due to a Divestiture Order from the Canadian Competition Bureau. From time to time, we may be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divest of certain assets due to governmental regulations.</w:t>
      </w:r>
    </w:p>
    <w:p>
      <w:pPr>
        <w:spacing w:after="0" w:line="246" w:lineRule="exact"/>
        <w:rPr>
          <w:sz w:val="20"/>
          <w:szCs w:val="20"/>
          <w:color w:val="auto"/>
        </w:rPr>
      </w:pPr>
    </w:p>
    <w:p>
      <w:pPr>
        <w:ind w:right="20" w:firstLine="324"/>
        <w:spacing w:after="0" w:line="312" w:lineRule="auto"/>
        <w:rPr>
          <w:sz w:val="20"/>
          <w:szCs w:val="20"/>
          <w:color w:val="auto"/>
        </w:rPr>
      </w:pPr>
      <w:r>
        <w:rPr>
          <w:rFonts w:ascii="Arial" w:cs="Arial" w:eastAsia="Arial" w:hAnsi="Arial"/>
          <w:sz w:val="15"/>
          <w:szCs w:val="15"/>
          <w:i w:val="1"/>
          <w:iCs w:val="1"/>
          <w:color w:val="auto"/>
        </w:rPr>
        <w:t xml:space="preserve">Net Cash Used in Financing Activities </w:t>
      </w:r>
      <w:r>
        <w:rPr>
          <w:rFonts w:ascii="Arial" w:cs="Arial" w:eastAsia="Arial" w:hAnsi="Arial"/>
          <w:sz w:val="15"/>
          <w:szCs w:val="15"/>
          <w:color w:val="auto"/>
        </w:rPr>
        <w:t>— The primary reason for the increase in net cash used in financing activities is the payment of our quarterly</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dividends, which resulted in cash dividends of $432 million in 2004 compared with cash dividends of $6 million paid in each of 2003 and 2002. Our Board of Directors approved our quarterly dividend program in August 2003, and we have declared and paid a dividend of $0.1875 per share of common stock in each quarter of 2004, compared with the annual $0.01 per share dividend in 2003 and 2002. Additionally, the Board of Directors announced that it expects dividends to be $0.20 per share per quarter beginning in 2005. All future dividend declarations are at the discretion of the Board of Directors, and depend on various factors, including our net earnings, financial condition, cash required for future prospects and other factors the Board may deem relevant. On January 28, 2005, the Board declared our first quarterly dividend under the program of $0.20 per share, which will be paid on March 24, 2005 to stockholders of record as of March 1, 2005.</w:t>
      </w:r>
    </w:p>
    <w:p>
      <w:pPr>
        <w:spacing w:after="0" w:line="18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Offsetting the increase in cash dividend payments were decreases in share repurchases and net debt repayments and an increase in proceeds from the exercise of stock options and warrants. We paid approximately $496 million for share repurchases in 2004 as compared to $550 million paid during 2003 and $982 million paid in 2002. Our 2004 share repurchases include a cash payment of approximately $24 million to settle repurchases made in December 2003. Our 2004 stock repurchases and dividend payments were made under a capital allocation program that authorized management to spend up to $1 billion for this activity during the year. Since the inception of the repurchase program in February 2002, we have repurchased approximately 77 million shares of our common stock at a net cost of approximately $2 billion. We currently expect to continue repurchasing common stock under the capital allocation program discussed above. Future share repurchases under this program will be made at the discretion of management, and will depend on similar factors to those considered by the Board in making dividend declarations.</w:t>
      </w:r>
    </w:p>
    <w:p>
      <w:pPr>
        <w:spacing w:after="0" w:line="199"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Net debt repayments were approximately $386 million in 2004, $456 million in 2003 and $697 million in 2002. The following summary shows our most significant cash borrowings and debt repayments made during 2004:</w:t>
      </w:r>
    </w:p>
    <w:p>
      <w:pPr>
        <w:spacing w:after="0" w:line="186" w:lineRule="exact"/>
        <w:rPr>
          <w:sz w:val="20"/>
          <w:szCs w:val="20"/>
          <w:color w:val="auto"/>
        </w:rPr>
      </w:pPr>
    </w:p>
    <w:p>
      <w:pPr>
        <w:ind w:left="5620" w:right="3280" w:hanging="5261"/>
        <w:spacing w:after="0" w:line="550" w:lineRule="auto"/>
        <w:tabs>
          <w:tab w:leader="none" w:pos="4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proceeds of approximately $346 million from the March 2004 issuance of $350 million of 5.0% senior notes;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8" w:name="page49"/>
    <w:bookmarkEnd w:id="48"/>
    <w:p>
      <w:pPr>
        <w:ind w:left="460" w:right="80" w:hanging="101"/>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repayment of $150 million of 8.0% senior notes that matured in April 2004, $200 million of 6.5% senior notes that matured in May 2004 and $295 million of 7.0% senior notes that matured in October 2004;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repayments of approximately $25 million of tax-exempt bonds and $42 million of tax-exempt project bonds.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receipts from common stock option and warrant exercises increased to $193 million in 2004 from $52 million in 2003 and $27 million in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Increased cash receipts from common stock option and warrant exercises were driven by the increase in our stock price during the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2004 and the anticipated effect of these obligations on our liquidity in future years (in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Recorded Obligations:</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Expected environmental liabilities(a)</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Final capping, closure and post-closure</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$100</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$1,316</w:t>
            </w:r>
          </w:p>
        </w:tc>
        <w:tc>
          <w:tcPr>
            <w:tcW w:w="3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ind w:left="540"/>
              <w:spacing w:after="0"/>
              <w:rPr>
                <w:sz w:val="20"/>
                <w:szCs w:val="20"/>
                <w:color w:val="auto"/>
              </w:rPr>
            </w:pPr>
            <w:r>
              <w:rPr>
                <w:rFonts w:ascii="Arial" w:cs="Arial" w:eastAsia="Arial" w:hAnsi="Arial"/>
                <w:sz w:val="18"/>
                <w:szCs w:val="18"/>
                <w:color w:val="auto"/>
              </w:rPr>
              <w:t>Environmental remediation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31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137</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103</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1,510</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Debt payments(b),(c)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684</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5,824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Unrecorded Obligations:(d)</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Non-cancelable operating lease obligations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927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Estimated unconditional purchase obligations(e)</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192</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107</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101</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101</w:t>
            </w: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gridSpan w:val="2"/>
          </w:tcPr>
          <w:p>
            <w:pPr>
              <w:ind w:left="820"/>
              <w:spacing w:after="0"/>
              <w:rPr>
                <w:sz w:val="20"/>
                <w:szCs w:val="20"/>
                <w:color w:val="auto"/>
              </w:rPr>
            </w:pPr>
            <w:r>
              <w:rPr>
                <w:rFonts w:ascii="Arial" w:cs="Arial" w:eastAsia="Arial" w:hAnsi="Arial"/>
                <w:sz w:val="18"/>
                <w:szCs w:val="18"/>
                <w:color w:val="auto"/>
              </w:rPr>
              <w:t>Anticipated liquidity impact as of December 31, 2004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$857</w:t>
            </w: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911</w:t>
            </w: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839</w:t>
            </w: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804</w:t>
            </w: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942</w:t>
            </w:r>
          </w:p>
        </w:tc>
        <w:tc>
          <w:tcPr>
            <w:tcW w:w="10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$8,697</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4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Environmental liabilities include final capping, closure, post-closure and environmental remediation costs. The amounts included here reflect environmental liabilities recorded in our consolidated balance sheet as of December 31, 2004 without the impact of discounting and inflation. Our recorded environmental liabilities will increase as we continue to place additional tons within the permitted airspace at our landfills.</w:t>
      </w:r>
    </w:p>
    <w:p>
      <w:pPr>
        <w:spacing w:after="0" w:line="187"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debt obligations as of December 31, 2004 include approximately $380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consolidated balance sheet as of December 31, 2004. The classification of these obligations as long-term was based upon our intent to refinance the borrowings with other long-term financings in the event of a failed re-offering and our ability, in the event other sources of long-term financing are not available, to use our $2.4 billion, five-year revolving credit facility.</w:t>
      </w:r>
    </w:p>
    <w:p>
      <w:pPr>
        <w:spacing w:after="0" w:line="199" w:lineRule="exact"/>
        <w:rPr>
          <w:rFonts w:ascii="Arial" w:cs="Arial" w:eastAsia="Arial" w:hAnsi="Arial"/>
          <w:sz w:val="16"/>
          <w:szCs w:val="16"/>
          <w:color w:val="auto"/>
        </w:rPr>
      </w:pPr>
    </w:p>
    <w:p>
      <w:pPr>
        <w:ind w:left="460" w:right="260" w:hanging="45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 In addition, approximately $83 million of these future debt payments will be made with debt service funds held in trust and included as other assets within our December 31, 2004 balance sheet.</w:t>
      </w:r>
    </w:p>
    <w:p>
      <w:pPr>
        <w:spacing w:after="0" w:line="224"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We have also made certain guarantees, as discussed in Note 10, that we do not expect to materially affect our current or future financial position, results of operations or liquidity.</w:t>
      </w:r>
    </w:p>
    <w:p>
      <w:pPr>
        <w:spacing w:after="0" w:line="221" w:lineRule="exact"/>
        <w:rPr>
          <w:rFonts w:ascii="Arial" w:cs="Arial" w:eastAsia="Arial" w:hAnsi="Arial"/>
          <w:sz w:val="18"/>
          <w:szCs w:val="18"/>
          <w:color w:val="auto"/>
        </w:rPr>
      </w:pPr>
    </w:p>
    <w:p>
      <w:pPr>
        <w:jc w:val="both"/>
        <w:ind w:left="460" w:right="36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unconditional purchase obligations are generally quantity driven. We have therefore made estimates of our future obligations based on the current market values of the underlying products or services. See Note 10 to the consolidated financial statements for discussion of the nature and terms of our unconditional purchase obligations.</w:t>
      </w:r>
    </w:p>
    <w:p>
      <w:pPr>
        <w:spacing w:after="0" w:line="221"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We have contingencies that are not considered reasonably likely. As a result, the impact of these contingencies have not been included in the above table. See Note 10 to the consolidated financial statements for further discussion of these contingencies.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We are party to (i) lease agreements with unconsolidated variable interest entities and (ii) guarantee arrangements with unconsolidated entities as discussed in the Guarantees section of Note 10 to the consolidated financial statements. These lease agreements are established in the ordinary course of our business and are designed to provide us with access to facilities at competitive, market-driven prices. Our third-party guarantee arrangements are generally established to support our financial assurance needs and landfill operations. These arrangements have not materially affected our financial position, results of operations or liquidity during the year ended December 31, 2004 nor are they expected to have a material impact on our future financial position, results of operations or liquidity.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right="260" w:firstLine="324"/>
        <w:spacing w:after="0" w:line="312" w:lineRule="auto"/>
        <w:rPr>
          <w:sz w:val="20"/>
          <w:szCs w:val="20"/>
          <w:color w:val="auto"/>
        </w:rPr>
      </w:pPr>
      <w:r>
        <w:rPr>
          <w:rFonts w:ascii="Arial" w:cs="Arial" w:eastAsia="Arial" w:hAnsi="Arial"/>
          <w:sz w:val="15"/>
          <w:szCs w:val="15"/>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summer, such as the hurricanes experienced during the third quarter of 2004, actually increase our revenues in the areas affected, although, for several reasons, including significant start-up costs, such revenues tend to provide lower margins. Conversely, harsh winter weather conditions may result in the temporary suspension of our operations, which can significantly affect the operating results of those periods. The operating results of our first quarter also often reflect higher repair and maintenance expenses because we rely on the slower winter months for scheduled maintenance at our waste-to-energy facilities.</w:t>
      </w:r>
    </w:p>
    <w:p>
      <w:pPr>
        <w:spacing w:after="0" w:line="18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believe that inflation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Information regarding our assessment of new accounting pronouncements can be found in Note 23 to the consolidated financial statements included in this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with no multipliers or leverage. As of December 31, 2004, all of our derivative transactions were related to actual or anticipated economic exposures although certain transactions did not qualify for hedge accounting. We are exposed to credit risk in the event of non-performance by our derivative counterparties. However, we monitor our derivative positions by regularly evaluating our positions and the creditworthiness of the counterparties, all of whom we either consider credit-worthy, or who have issued letters of credit to support their performance.</w:t>
      </w:r>
    </w:p>
    <w:p>
      <w:pPr>
        <w:spacing w:after="0" w:line="201" w:lineRule="exact"/>
        <w:rPr>
          <w:sz w:val="20"/>
          <w:szCs w:val="20"/>
          <w:color w:val="auto"/>
        </w:rPr>
      </w:pPr>
    </w:p>
    <w:p>
      <w:pPr>
        <w:ind w:right="120" w:firstLine="324"/>
        <w:spacing w:after="0" w:line="323" w:lineRule="auto"/>
        <w:rPr>
          <w:sz w:val="20"/>
          <w:szCs w:val="20"/>
          <w:color w:val="auto"/>
        </w:rPr>
      </w:pPr>
      <w:r>
        <w:rPr>
          <w:rFonts w:ascii="Arial" w:cs="Arial" w:eastAsia="Arial" w:hAnsi="Arial"/>
          <w:sz w:val="15"/>
          <w:szCs w:val="15"/>
          <w:color w:val="auto"/>
        </w:rPr>
        <w:t>We have performed sensitivity analyses to determine how market rate changes might affect the fair value of our market risk sensitive derivatives and related positions. This analysis is inherently limited because it represents a singular, hypothetical set of assumptions. Actual market movements may vary significantly from our assumptions. The effects of market movements may also directly or indirectly affect our assumptions and our rights and obligations not covered by sensitivity analysis. Fair value sensitivity is not necessarily indicative of the ultimate cash flow or the earnings effect from the assumed market rate movements.</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Interest Rate Exposure. </w:t>
      </w:r>
      <w:r>
        <w:rPr>
          <w:rFonts w:ascii="Arial" w:cs="Arial" w:eastAsia="Arial" w:hAnsi="Arial"/>
          <w:sz w:val="18"/>
          <w:szCs w:val="18"/>
          <w:color w:val="auto"/>
        </w:rPr>
        <w:t>Our exposure to market risk for changes in interest rates relates primarily to our debt obligations, which are primarily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dollars. In addition, we use interest rate swaps to manage the mix of fixed and floating rate debt obligations, which directly impacts variability in interest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right="80"/>
        <w:spacing w:after="0" w:line="256" w:lineRule="auto"/>
        <w:rPr>
          <w:sz w:val="20"/>
          <w:szCs w:val="20"/>
          <w:color w:val="auto"/>
        </w:rPr>
      </w:pPr>
      <w:r>
        <w:rPr>
          <w:rFonts w:ascii="Arial" w:cs="Arial" w:eastAsia="Arial" w:hAnsi="Arial"/>
          <w:sz w:val="18"/>
          <w:szCs w:val="18"/>
          <w:color w:val="auto"/>
        </w:rPr>
        <w:t>An instantaneous, one percentage point increase in interest rates across all maturities and applicable yield curves would have decreased the fair value of our combined debt and interest rate swap positions by approximately $490 million at December 31, 2004 and $440 million at December 31, 2003. This analysis does not reflect the effect that increasing interest rates would have on other items, such as new borrowings, nor the unfavorable impact they would have on interest expense and cash payments for interest.</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also exposed to interest rate market risk because we have approximately $647 million of assets held in trust funds and escrow accounts included primarily as a component of other long-term assets in our consolidated balance sheet at December 31, 2004. These assets are generally restricted for future capital expenditures and closure, post-closure and remedial activities at our disposal facilities and are therefore invested in high quality, liquid instruments including money market accounts and U.S. government agency debt securities. Because of the short-terms of these investments, we believe that our exposure to changes in fair value due to interest rate fluctuations is insignificant.</w:t>
      </w:r>
    </w:p>
    <w:p>
      <w:pPr>
        <w:spacing w:after="0" w:line="22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i w:val="1"/>
          <w:iCs w:val="1"/>
          <w:color w:val="auto"/>
        </w:rPr>
        <w:t xml:space="preserve">Currency Rate Exposure. </w:t>
      </w:r>
      <w:r>
        <w:rPr>
          <w:rFonts w:ascii="Arial" w:cs="Arial" w:eastAsia="Arial" w:hAnsi="Arial"/>
          <w:sz w:val="16"/>
          <w:szCs w:val="16"/>
          <w:color w:val="auto"/>
        </w:rPr>
        <w:t>From time to time, we have used currency derivatives to mitigate the impact of currency translation on cash flows on intercompany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Canadian-currency denominated debt. There would have been no material impact to our fair value position if there were an instantaneous 10% decrease in foreign exchange rates at December 31, 2003. At December 31, 2004 we have no foreign currency derivatives outstanding.</w:t>
      </w:r>
    </w:p>
    <w:p>
      <w:pPr>
        <w:spacing w:after="0" w:line="18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i w:val="1"/>
          <w:iCs w:val="1"/>
          <w:color w:val="auto"/>
        </w:rPr>
        <w:t xml:space="preserve">Commodities Price Exposure. </w:t>
      </w:r>
      <w:r>
        <w:rPr>
          <w:rFonts w:ascii="Arial" w:cs="Arial" w:eastAsia="Arial" w:hAnsi="Arial"/>
          <w:sz w:val="16"/>
          <w:szCs w:val="16"/>
          <w:color w:val="auto"/>
        </w:rPr>
        <w:t>We market recycled products such as waste paper, aluminum and glass from our material recovery facilities. We enter into</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fiber swaps and options to mitigate the variability in cash flows from a portion of these sales. Under the swap agreements, we pay a floating index price and receive a fixed price for a fixed period of time. With regard to our option agreements, we have purchased price protection on certain wastepaper sales via synthetic floors (put options) and price protection on certain wastepaper purchases via synthetic ceilings (call options). Additionally, we have entered into collars (combination of a put and call option) with financial institutions in which we receive the market price for our wastepaper and aluminum sales within a specified floor and ceiling. We record changes in the fair value of commodity derivatives not designated as hedges to earnings, as required. All derivative transactions are subject to our risk management policy, which governs the type of instruments that may be used. An instantaneous 10% increase in recyclable material prices would decrease the fair value of our commodity derivatives by approximately $10 million at December 31, 2003 and by approximately $20 million at December 31, 2004. This analysis excludes the underlying physical commodity positions that are being hedged.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7 to the consolidated financial statements for further discussion of the use of and accounting for derivative instruments.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9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7920" w:type="dxa"/>
            <w:vAlign w:val="bottom"/>
          </w:tcPr>
          <w:p>
            <w:pPr>
              <w:jc w:val="center"/>
              <w:ind w:left="1932"/>
              <w:spacing w:after="0"/>
              <w:rPr>
                <w:sz w:val="20"/>
                <w:szCs w:val="20"/>
                <w:color w:val="auto"/>
              </w:rPr>
            </w:pPr>
            <w:r>
              <w:rPr>
                <w:rFonts w:ascii="Arial" w:cs="Arial" w:eastAsia="Arial" w:hAnsi="Arial"/>
                <w:sz w:val="18"/>
                <w:szCs w:val="18"/>
                <w:b w:val="1"/>
                <w:bCs w:val="1"/>
                <w:color w:val="auto"/>
              </w:rPr>
              <w:t>INDEX TO</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7920" w:type="dxa"/>
            <w:vAlign w:val="bottom"/>
          </w:tcPr>
          <w:p>
            <w:pPr>
              <w:jc w:val="center"/>
              <w:ind w:left="1932"/>
              <w:spacing w:after="0"/>
              <w:rPr>
                <w:sz w:val="20"/>
                <w:szCs w:val="20"/>
                <w:color w:val="auto"/>
              </w:rPr>
            </w:pPr>
            <w:r>
              <w:rPr>
                <w:rFonts w:ascii="Arial" w:cs="Arial" w:eastAsia="Arial" w:hAnsi="Arial"/>
                <w:sz w:val="18"/>
                <w:szCs w:val="18"/>
                <w:b w:val="1"/>
                <w:bCs w:val="1"/>
                <w:color w:val="auto"/>
                <w:w w:val="98"/>
              </w:rPr>
              <w:t>CONSOLIDATED FINANCIAL STATEMENTS</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80"/>
        </w:trPr>
        <w:tc>
          <w:tcPr>
            <w:tcW w:w="7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2280" w:type="dxa"/>
            <w:vAlign w:val="bottom"/>
          </w:tcPr>
          <w:p>
            <w:pPr>
              <w:spacing w:after="0"/>
              <w:rPr>
                <w:sz w:val="24"/>
                <w:szCs w:val="24"/>
                <w:color w:val="auto"/>
              </w:rPr>
            </w:pPr>
          </w:p>
        </w:tc>
      </w:tr>
      <w:tr>
        <w:trPr>
          <w:trHeight w:val="95"/>
        </w:trPr>
        <w:tc>
          <w:tcPr>
            <w:tcW w:w="740" w:type="dxa"/>
            <w:vAlign w:val="bottom"/>
          </w:tcPr>
          <w:p>
            <w:pPr>
              <w:spacing w:after="0"/>
              <w:rPr>
                <w:sz w:val="8"/>
                <w:szCs w:val="8"/>
                <w:color w:val="auto"/>
              </w:rPr>
            </w:pPr>
          </w:p>
        </w:tc>
        <w:tc>
          <w:tcPr>
            <w:tcW w:w="79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309"/>
        </w:trPr>
        <w:tc>
          <w:tcPr>
            <w:tcW w:w="740" w:type="dxa"/>
            <w:vAlign w:val="bottom"/>
          </w:tcPr>
          <w:p>
            <w:pPr>
              <w:spacing w:after="0"/>
              <w:rPr>
                <w:sz w:val="24"/>
                <w:szCs w:val="24"/>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rPr>
              <w:t>Management’s Report on Internal Control Over Financial Reporting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8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w w:val="97"/>
              </w:rPr>
              <w:t>Report of Independent Registered Public Accounting Firm on Internal Control over</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680"/>
              <w:spacing w:after="0"/>
              <w:rPr>
                <w:sz w:val="20"/>
                <w:szCs w:val="20"/>
                <w:color w:val="auto"/>
              </w:rPr>
            </w:pPr>
            <w:r>
              <w:rPr>
                <w:rFonts w:ascii="Arial" w:cs="Arial" w:eastAsia="Arial" w:hAnsi="Arial"/>
                <w:sz w:val="18"/>
                <w:szCs w:val="18"/>
                <w:color w:val="auto"/>
              </w:rPr>
              <w:t>Financial Reporting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rPr>
              <w:t>Consolidated Balance Sheets as of December 31, 2004 and 2003</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w w:val="91"/>
              </w:rPr>
              <w:t>Consolidated Statements of Operations for the Years Ended December 31, 2004, 2003</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680"/>
              <w:spacing w:after="0"/>
              <w:rPr>
                <w:sz w:val="20"/>
                <w:szCs w:val="20"/>
                <w:color w:val="auto"/>
              </w:rPr>
            </w:pPr>
            <w:r>
              <w:rPr>
                <w:rFonts w:ascii="Arial" w:cs="Arial" w:eastAsia="Arial" w:hAnsi="Arial"/>
                <w:sz w:val="18"/>
                <w:szCs w:val="18"/>
                <w:color w:val="auto"/>
              </w:rPr>
              <w:t>and 2002</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w w:val="90"/>
              </w:rPr>
              <w:t>Consolidated Statements of Cash Flows for the Years Ended December 31, 2004, 2003</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680"/>
              <w:spacing w:after="0"/>
              <w:rPr>
                <w:sz w:val="20"/>
                <w:szCs w:val="20"/>
                <w:color w:val="auto"/>
              </w:rPr>
            </w:pPr>
            <w:r>
              <w:rPr>
                <w:rFonts w:ascii="Arial" w:cs="Arial" w:eastAsia="Arial" w:hAnsi="Arial"/>
                <w:sz w:val="18"/>
                <w:szCs w:val="18"/>
                <w:color w:val="auto"/>
              </w:rPr>
              <w:t>and 2002</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w w:val="94"/>
              </w:rPr>
              <w:t>Consolidated Statements of Stockholders’ Equity for the Years Ended December 31,</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20" w:type="dxa"/>
            <w:vAlign w:val="bottom"/>
          </w:tcPr>
          <w:p>
            <w:pPr>
              <w:ind w:left="1680"/>
              <w:spacing w:after="0"/>
              <w:rPr>
                <w:sz w:val="20"/>
                <w:szCs w:val="20"/>
                <w:color w:val="auto"/>
              </w:rPr>
            </w:pPr>
            <w:r>
              <w:rPr>
                <w:rFonts w:ascii="Arial" w:cs="Arial" w:eastAsia="Arial" w:hAnsi="Arial"/>
                <w:sz w:val="18"/>
                <w:szCs w:val="18"/>
                <w:color w:val="auto"/>
              </w:rPr>
              <w:t>2004, 2003 and 2002</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8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7920" w:type="dxa"/>
            <w:vAlign w:val="bottom"/>
          </w:tcPr>
          <w:p>
            <w:pPr>
              <w:ind w:left="1560"/>
              <w:spacing w:after="0"/>
              <w:rPr>
                <w:sz w:val="20"/>
                <w:szCs w:val="20"/>
                <w:color w:val="auto"/>
              </w:rPr>
            </w:pPr>
            <w:r>
              <w:rPr>
                <w:rFonts w:ascii="Arial" w:cs="Arial" w:eastAsia="Arial" w:hAnsi="Arial"/>
                <w:sz w:val="18"/>
                <w:szCs w:val="18"/>
                <w:color w:val="auto"/>
              </w:rPr>
              <w:t>Notes to Consolidated Financial Statements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8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7920" w:type="dxa"/>
            <w:vAlign w:val="bottom"/>
          </w:tcPr>
          <w:p>
            <w:pPr>
              <w:jc w:val="center"/>
              <w:ind w:left="1932"/>
              <w:spacing w:after="0"/>
              <w:rPr>
                <w:sz w:val="20"/>
                <w:szCs w:val="20"/>
                <w:color w:val="auto"/>
              </w:rPr>
            </w:pPr>
            <w:r>
              <w:rPr>
                <w:rFonts w:ascii="Arial" w:cs="Arial" w:eastAsia="Arial" w:hAnsi="Arial"/>
                <w:sz w:val="18"/>
                <w:szCs w:val="18"/>
                <w:color w:val="auto"/>
                <w:w w:val="89"/>
              </w:rPr>
              <w:t>48</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79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MANAGEMENT’S REPORT ON INTERNAL CONTROL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 FINANCIAL REPORTING</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Management of the Company, including the Chief Executive Officer and the Chief Financial Officer, is responsible for establishing and maintaining adequate internal controls over financial reporting, as defined in Rules 13a-15(f) and 15d-15(f) of the Securities Exchange Act of 1934, as amended. Our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as well as to safeguard assets from unauthorized use or disposition.</w:t>
      </w:r>
    </w:p>
    <w:p>
      <w:pPr>
        <w:spacing w:after="0" w:line="224"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We conducted an evaluation of the effectiveness of our internal controls over financial reporting based on the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Through this evaluation, we did not identify any material weaknesses in our internal controls. There are inherent limitations in the effectiveness of any system of internal controls over financial reporting; however, based on our evaluation, we have concluded that our internal controls over financial reporting were effective as of December 31, 2004.</w:t>
      </w:r>
    </w:p>
    <w:p>
      <w:pPr>
        <w:spacing w:after="0" w:line="225"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management’s assessment of internal control over financial reporting, which is included herein.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3" w:name="page54"/>
    <w:bookmarkEnd w:id="53"/>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5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2004 and 2003, and the related consolidated statements of operations, stockholders’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Waste Management, Inc. at December 31, 2004 and 2003, and the consolidated results of its operations and its cash flows for each of the three years in the period ended December 31, 2004, in conformity with accounting principles generally accepted in the United States.</w:t>
      </w:r>
    </w:p>
    <w:p>
      <w:pPr>
        <w:spacing w:after="0" w:line="22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As discussed in Note 2 to the consolidated financial statements, during 2003 and 2004 the Company adopted the respective portions of Financial Accounting Standards Board Interpretation No. 46, “Consolidation of Variable Interest Entities” and, effective January 1, 2003, the Company (i) changed its method of accounting for major repairs and maintenance costs and annual outage costs, (ii) changed its method of accounting for loss contracts and (iii) adopted Statement of Financial Accounting Standards (“SFAS”) No. 143, “Accounting for Asset Retirement Obligations” (“SFAS 143”).</w:t>
      </w:r>
    </w:p>
    <w:p>
      <w:pPr>
        <w:spacing w:after="0" w:line="194"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Company’s internal control over financial reporting as of December 31, 2004, based on criteria established in Internal Control — Integrated Framework issued by the Committee of Sponsoring Organizations of the Treadway Commission and our report dated February 16, 2005 expressed an unqualified opinion thereon.</w:t>
      </w:r>
    </w:p>
    <w:p>
      <w:pPr>
        <w:spacing w:after="0" w:line="16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5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Waste Management, Inc. maintained effective internal control over financial reporting as of December 31, 2004, based on criteria established in Internal Control — 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2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jc w:val="both"/>
        <w:ind w:right="340" w:firstLine="324"/>
        <w:spacing w:after="0" w:line="306" w:lineRule="auto"/>
        <w:rPr>
          <w:sz w:val="20"/>
          <w:szCs w:val="20"/>
          <w:color w:val="auto"/>
        </w:rPr>
      </w:pPr>
      <w:r>
        <w:rPr>
          <w:rFonts w:ascii="Arial" w:cs="Arial" w:eastAsia="Arial" w:hAnsi="Arial"/>
          <w:sz w:val="16"/>
          <w:szCs w:val="16"/>
          <w:color w:val="auto"/>
        </w:rPr>
        <w:t>In our opinion, management’s assessment that Waste Management, Inc. maintained effective internal control over financial reporting as of December 31, 2004, is fairly stated, in all material respects, based on the COSO criteria. Also, in our opinion, Waste Management, Inc. maintained, in all material respects, effective internal control over financial reporting as of December 31, 2004, based on the COSO criteria.</w:t>
      </w:r>
    </w:p>
    <w:p>
      <w:pPr>
        <w:spacing w:after="0" w:line="188"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Waste Management, Inc. as of December 31, 2004 and 2003, and the related consolidated statements of operations, stockholders’ equity and cash flows for each of the three years in the period ended December 31, 2004 and our report dated February 16, 2005 expressed an unqualified opinion thereon.</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7"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68580</wp:posOffset>
            </wp:positionV>
            <wp:extent cx="14319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doubtful accounts of</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320"/>
              <w:spacing w:after="0"/>
              <w:rPr>
                <w:sz w:val="20"/>
                <w:szCs w:val="20"/>
                <w:color w:val="auto"/>
              </w:rPr>
            </w:pPr>
            <w:r>
              <w:rPr>
                <w:rFonts w:ascii="Arial" w:cs="Arial" w:eastAsia="Arial" w:hAnsi="Arial"/>
                <w:sz w:val="18"/>
                <w:szCs w:val="18"/>
                <w:color w:val="auto"/>
              </w:rPr>
              <w:t>$61 and $58, respectively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Notes and other receivables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2,360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120"/>
              <w:spacing w:after="0"/>
              <w:rPr>
                <w:sz w:val="20"/>
                <w:szCs w:val="20"/>
                <w:color w:val="auto"/>
              </w:rPr>
            </w:pPr>
            <w:r>
              <w:rPr>
                <w:rFonts w:ascii="Arial" w:cs="Arial" w:eastAsia="Arial" w:hAnsi="Arial"/>
                <w:sz w:val="18"/>
                <w:szCs w:val="18"/>
                <w:color w:val="auto"/>
              </w:rPr>
              <w:t>amortization of $10,827 and $9,553, respectively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5,301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5,220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0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20,905</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20,382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00" w:type="dxa"/>
            <w:vAlign w:val="bottom"/>
            <w:gridSpan w:val="2"/>
            <w:shd w:val="clear" w:color="auto" w:fill="EEEEEE"/>
          </w:tcPr>
          <w:p>
            <w:pPr>
              <w:ind w:left="208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Deferred revenues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1,307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0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14,652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14,530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Common stock, $.01 par value; 1,500,000,000 shares authorized;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320"/>
              <w:spacing w:after="0"/>
              <w:rPr>
                <w:sz w:val="20"/>
                <w:szCs w:val="20"/>
                <w:color w:val="auto"/>
              </w:rPr>
            </w:pPr>
            <w:r>
              <w:rPr>
                <w:rFonts w:ascii="Arial" w:cs="Arial" w:eastAsia="Arial" w:hAnsi="Arial"/>
                <w:sz w:val="18"/>
                <w:szCs w:val="18"/>
                <w:color w:val="auto"/>
              </w:rPr>
              <w:t>630,282,461 shares issued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Restricted stock unearned compensation</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Treasury stock at cost, 60,069,777 and 54,164,336 shares,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respectively</w:t>
            </w:r>
          </w:p>
        </w:tc>
        <w:tc>
          <w:tcPr>
            <w:tcW w:w="100" w:type="dxa"/>
            <w:vAlign w:val="bottom"/>
            <w:tcBorders>
              <w:right w:val="single" w:sz="8" w:color="EEEEEE"/>
            </w:tcBorders>
            <w:shd w:val="clear" w:color="auto" w:fill="EEEEEE"/>
          </w:tcPr>
          <w:p>
            <w:pPr>
              <w:spacing w:after="0"/>
              <w:rPr>
                <w:sz w:val="19"/>
                <w:szCs w:val="19"/>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1"/>
              </w:rPr>
              <w:t>(1,585)</w:t>
            </w: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1"/>
              </w:rPr>
              <w:t>(1,388)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0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5,971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20,905</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20,382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755"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7"/>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11,648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11,211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8"/>
              </w:rPr>
              <w:t>Operating (exclusive of depreciation and amortization shown below)</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7,591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6,949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Asset impairments and unusual items</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10,108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9,567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1,540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Equity in earnings (losses) of unconsolidated entities</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and cumulative effect of changes in</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principles</w:t>
            </w:r>
          </w:p>
        </w:tc>
        <w:tc>
          <w:tcPr>
            <w:tcW w:w="32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7"/>
              </w:rPr>
              <w:t>Cumulative effect of changes in accounting principles, net of income tax</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expense of $5 in 2004, income tax benefit of $60 in 2003 and $0 tax</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impact in 2002</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Basic income per common share:</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8"/>
              </w:rPr>
              <w:t>Income before cumulative effect of 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income per common share:</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8"/>
              </w:rPr>
              <w:t>Income before cumulative effect of 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60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w w:val="95"/>
              </w:rPr>
              <w:t>Pro forma income and earnings per common share assuming changes in</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principles described in Note 2 are applied retroactively:</w:t>
            </w:r>
          </w:p>
        </w:tc>
        <w:tc>
          <w:tcPr>
            <w:tcW w:w="3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40"/>
              <w:spacing w:after="0"/>
              <w:rPr>
                <w:sz w:val="20"/>
                <w:szCs w:val="20"/>
                <w:color w:val="auto"/>
              </w:rPr>
            </w:pPr>
            <w:r>
              <w:rPr>
                <w:rFonts w:ascii="Arial" w:cs="Arial" w:eastAsia="Arial" w:hAnsi="Arial"/>
                <w:sz w:val="18"/>
                <w:szCs w:val="18"/>
                <w:color w:val="auto"/>
                <w:w w:val="94"/>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Basic earnings per common share before cumulative effect of</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EEEEEE"/>
          </w:tcPr>
          <w:p>
            <w:pPr>
              <w:spacing w:after="0"/>
              <w:rPr>
                <w:sz w:val="19"/>
                <w:szCs w:val="19"/>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ind w:left="440"/>
              <w:spacing w:after="0"/>
              <w:rPr>
                <w:sz w:val="20"/>
                <w:szCs w:val="20"/>
                <w:color w:val="auto"/>
              </w:rPr>
            </w:pPr>
            <w:r>
              <w:rPr>
                <w:rFonts w:ascii="Arial" w:cs="Arial" w:eastAsia="Arial" w:hAnsi="Arial"/>
                <w:sz w:val="18"/>
                <w:szCs w:val="18"/>
                <w:color w:val="auto"/>
              </w:rPr>
              <w:t>Diluted earnings per common share before cumulative effect of</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580"/>
              <w:spacing w:after="0"/>
              <w:rPr>
                <w:sz w:val="20"/>
                <w:szCs w:val="20"/>
                <w:color w:val="auto"/>
              </w:rPr>
            </w:pPr>
            <w:r>
              <w:rPr>
                <w:rFonts w:ascii="Arial" w:cs="Arial" w:eastAsia="Arial" w:hAnsi="Arial"/>
                <w:sz w:val="18"/>
                <w:szCs w:val="18"/>
                <w:color w:val="auto"/>
              </w:rPr>
              <w:t>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404"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4"/>
                <w:szCs w:val="14"/>
                <w:b w:val="1"/>
                <w:bCs w:val="1"/>
                <w:color w:val="auto"/>
                <w:w w:val="86"/>
              </w:rPr>
              <w:t>Years Ended December 31,</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6"/>
              </w:rPr>
              <w:t>Adjustments to reconcile net income to net cash provided by operating</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Provision for bad debts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Deferred income tax provision</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Equity in losses (earnings) of unconsolidated entities, net of</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distributions</w:t>
            </w: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Net gain on disposal of assets</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Effect of asset impairments and unusual items</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Change in operating assets and liabilities, net of effects of</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580"/>
              <w:spacing w:after="0"/>
              <w:rPr>
                <w:sz w:val="20"/>
                <w:szCs w:val="20"/>
                <w:color w:val="auto"/>
              </w:rPr>
            </w:pPr>
            <w:r>
              <w:rPr>
                <w:rFonts w:ascii="Arial" w:cs="Arial" w:eastAsia="Arial" w:hAnsi="Arial"/>
                <w:sz w:val="18"/>
                <w:szCs w:val="18"/>
                <w:color w:val="auto"/>
              </w:rPr>
              <w:t>acquisitions and divestitures:</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70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70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700"/>
              <w:spacing w:after="0"/>
              <w:rPr>
                <w:sz w:val="20"/>
                <w:szCs w:val="20"/>
                <w:color w:val="auto"/>
              </w:rPr>
            </w:pPr>
            <w:r>
              <w:rPr>
                <w:rFonts w:ascii="Arial" w:cs="Arial" w:eastAsia="Arial" w:hAnsi="Arial"/>
                <w:sz w:val="18"/>
                <w:szCs w:val="18"/>
                <w:color w:val="auto"/>
              </w:rPr>
              <w:t>Deferred revenues and other liabilities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1,926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7"/>
              </w:rPr>
              <w:t>(1,258)</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(1,200)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(1,287)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w w:val="92"/>
              </w:rPr>
              <w:t>Proceeds from divestitures of businesses, net of cash divested, and other</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sales of assets</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receipts from restricted trust and escrow accounts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(1,084)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108"/>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New borrowings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Debt repayments</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Common stock repurchases</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Exercise of common stock options and warrants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Minority interest distributions paid</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(1,588)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Cash paid during the year for:</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Interest, net of capitalized interest and periodic settlements from</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interest rate swap agreements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6" w:right="1379" w:bottom="161" w:gutter="0" w:footer="0" w:header="0"/>
        </w:sectPr>
      </w:pPr>
    </w:p>
    <w:bookmarkStart w:id="58" w:name="page59"/>
    <w:bookmarkEnd w:id="58"/>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240" w:type="dxa"/>
            <w:vAlign w:val="bottom"/>
          </w:tcPr>
          <w:p>
            <w:pPr>
              <w:spacing w:after="0"/>
              <w:rPr>
                <w:sz w:val="15"/>
                <w:szCs w:val="15"/>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240" w:type="dxa"/>
            <w:vAlign w:val="bottom"/>
            <w:vMerge w:val="restart"/>
          </w:tcPr>
          <w:p>
            <w:pPr>
              <w:spacing w:after="0"/>
              <w:rPr>
                <w:sz w:val="8"/>
                <w:szCs w:val="8"/>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Retained</w:t>
            </w:r>
          </w:p>
        </w:tc>
        <w:tc>
          <w:tcPr>
            <w:tcW w:w="240" w:type="dxa"/>
            <w:vAlign w:val="bottom"/>
            <w:vMerge w:val="restart"/>
          </w:tcPr>
          <w:p>
            <w:pPr>
              <w:spacing w:after="0"/>
              <w:rPr>
                <w:sz w:val="8"/>
                <w:szCs w:val="8"/>
                <w:color w:val="auto"/>
              </w:rPr>
            </w:pPr>
          </w:p>
        </w:tc>
        <w:tc>
          <w:tcPr>
            <w:tcW w:w="10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Income</w:t>
            </w:r>
          </w:p>
        </w:tc>
        <w:tc>
          <w:tcPr>
            <w:tcW w:w="240" w:type="dxa"/>
            <w:vAlign w:val="bottom"/>
            <w:vMerge w:val="restart"/>
          </w:tcPr>
          <w:p>
            <w:pPr>
              <w:spacing w:after="0"/>
              <w:rPr>
                <w:sz w:val="8"/>
                <w:szCs w:val="8"/>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6"/>
              </w:rPr>
              <w:t>Unearned</w:t>
            </w: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11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Comprehensive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6"/>
                <w:szCs w:val="16"/>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5"/>
              </w:rPr>
              <w:t>Amounts</w:t>
            </w:r>
          </w:p>
        </w:tc>
        <w:tc>
          <w:tcPr>
            <w:tcW w:w="24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(Loss)</w:t>
            </w:r>
          </w:p>
        </w:tc>
        <w:tc>
          <w:tcPr>
            <w:tcW w:w="240" w:type="dxa"/>
            <w:vAlign w:val="bottom"/>
          </w:tcPr>
          <w:p>
            <w:pPr>
              <w:spacing w:after="0"/>
              <w:rPr>
                <w:sz w:val="16"/>
                <w:szCs w:val="16"/>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Amounts</w:t>
            </w:r>
          </w:p>
        </w:tc>
        <w:tc>
          <w:tcPr>
            <w:tcW w:w="240" w:type="dxa"/>
            <w:vAlign w:val="bottom"/>
          </w:tcPr>
          <w:p>
            <w:pPr>
              <w:spacing w:after="0"/>
              <w:rPr>
                <w:sz w:val="16"/>
                <w:szCs w:val="16"/>
                <w:color w:val="auto"/>
              </w:rPr>
            </w:pPr>
          </w:p>
        </w:tc>
        <w:tc>
          <w:tcPr>
            <w:tcW w:w="1140" w:type="dxa"/>
            <w:vAlign w:val="bottom"/>
            <w:gridSpan w:val="3"/>
          </w:tcPr>
          <w:p>
            <w:pPr>
              <w:ind w:left="3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January 1, 2002</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630,332</w:t>
            </w:r>
          </w:p>
        </w:tc>
        <w:tc>
          <w:tcPr>
            <w:tcW w:w="100" w:type="dxa"/>
            <w:vAlign w:val="bottom"/>
            <w:shd w:val="clear" w:color="auto" w:fill="EEEEEE"/>
          </w:tcPr>
          <w:p>
            <w:pPr>
              <w:spacing w:after="0"/>
              <w:rPr>
                <w:sz w:val="12"/>
                <w:szCs w:val="12"/>
                <w:color w:val="auto"/>
              </w:rPr>
            </w:pPr>
          </w:p>
        </w:tc>
        <w:tc>
          <w:tcPr>
            <w:tcW w:w="540" w:type="dxa"/>
            <w:vAlign w:val="bottom"/>
            <w:gridSpan w:val="3"/>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EEEEEE"/>
          </w:tcPr>
          <w:p>
            <w:pPr>
              <w:spacing w:after="0"/>
              <w:rPr>
                <w:sz w:val="12"/>
                <w:szCs w:val="12"/>
                <w:color w:val="auto"/>
              </w:rPr>
            </w:pP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$4,523</w:t>
            </w:r>
          </w:p>
        </w:tc>
        <w:tc>
          <w:tcPr>
            <w:tcW w:w="200" w:type="dxa"/>
            <w:vAlign w:val="bottom"/>
            <w:shd w:val="clear" w:color="auto" w:fill="EEEEEE"/>
          </w:tcPr>
          <w:p>
            <w:pPr>
              <w:spacing w:after="0"/>
              <w:rPr>
                <w:sz w:val="12"/>
                <w:szCs w:val="12"/>
                <w:color w:val="auto"/>
              </w:rPr>
            </w:pPr>
          </w:p>
        </w:tc>
        <w:tc>
          <w:tcPr>
            <w:tcW w:w="7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$1,057</w:t>
            </w:r>
          </w:p>
        </w:tc>
        <w:tc>
          <w:tcPr>
            <w:tcW w:w="220" w:type="dxa"/>
            <w:vAlign w:val="bottom"/>
            <w:shd w:val="clear" w:color="auto" w:fill="EEEEEE"/>
          </w:tcPr>
          <w:p>
            <w:pPr>
              <w:spacing w:after="0"/>
              <w:rPr>
                <w:sz w:val="12"/>
                <w:szCs w:val="12"/>
                <w:color w:val="auto"/>
              </w:rPr>
            </w:pPr>
          </w:p>
        </w:tc>
        <w:tc>
          <w:tcPr>
            <w:tcW w:w="620" w:type="dxa"/>
            <w:vAlign w:val="bottom"/>
            <w:gridSpan w:val="2"/>
            <w:shd w:val="clear" w:color="auto" w:fill="EEEEEE"/>
          </w:tcPr>
          <w:p>
            <w:pPr>
              <w:ind w:left="56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85"/>
              </w:rPr>
              <w:t>(148)</w:t>
            </w:r>
          </w:p>
        </w:tc>
        <w:tc>
          <w:tcPr>
            <w:tcW w:w="10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 (2)</w:t>
            </w:r>
          </w:p>
        </w:tc>
        <w:tc>
          <w:tcPr>
            <w:tcW w:w="240" w:type="dxa"/>
            <w:vAlign w:val="bottom"/>
            <w:shd w:val="clear" w:color="auto" w:fill="EEEEEE"/>
          </w:tcPr>
          <w:p>
            <w:pPr>
              <w:spacing w:after="0"/>
              <w:rPr>
                <w:sz w:val="12"/>
                <w:szCs w:val="12"/>
                <w:color w:val="auto"/>
              </w:rPr>
            </w:pPr>
          </w:p>
        </w:tc>
        <w:tc>
          <w:tcPr>
            <w:tcW w:w="62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(2,314)</w:t>
            </w:r>
          </w:p>
        </w:tc>
        <w:tc>
          <w:tcPr>
            <w:tcW w:w="50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gridSpan w:val="4"/>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62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822</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Common stock issued upon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exercise of stock options and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warrants, including tax benefit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of $7</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10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Common stock issued in</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connection with litigation</w:t>
            </w:r>
          </w:p>
        </w:tc>
        <w:tc>
          <w:tcPr>
            <w:tcW w:w="10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settlements</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106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2,663</w:t>
            </w:r>
          </w:p>
        </w:tc>
        <w:tc>
          <w:tcPr>
            <w:tcW w:w="10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68</w:t>
            </w:r>
          </w:p>
        </w:tc>
        <w:tc>
          <w:tcPr>
            <w:tcW w:w="1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w w:val="98"/>
              </w:rPr>
              <w:t>Common stock repurchases, net of</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settlements</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(38,250)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(982)</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Earned compensation related to</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restricted stock</w:t>
            </w:r>
          </w:p>
        </w:tc>
        <w:tc>
          <w:tcPr>
            <w:tcW w:w="640" w:type="dxa"/>
            <w:vAlign w:val="bottom"/>
            <w:gridSpan w:val="3"/>
            <w:shd w:val="clear" w:color="auto" w:fill="EEEEEE"/>
          </w:tcPr>
          <w:p>
            <w:pPr>
              <w:jc w:val="right"/>
              <w:ind w:right="60"/>
              <w:spacing w:after="0" w:line="159" w:lineRule="exact"/>
              <w:rPr>
                <w:sz w:val="20"/>
                <w:szCs w:val="20"/>
                <w:color w:val="auto"/>
              </w:rPr>
            </w:pPr>
            <w:r>
              <w:rPr>
                <w:rFonts w:ascii="Arial" w:cs="Arial" w:eastAsia="Arial" w:hAnsi="Arial"/>
                <w:sz w:val="14"/>
                <w:szCs w:val="14"/>
                <w:color w:val="auto"/>
              </w:rPr>
              <w:t>(38)</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106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(1)</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36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Unrealized loss resulting from</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changes in fair values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w w:val="99"/>
              </w:rPr>
              <w:t>derivative instruments, net of tax</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benefit of $27</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(42)</w:t>
            </w: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Realized losses on derivative</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instruments reclassified into</w:t>
            </w:r>
          </w:p>
        </w:tc>
        <w:tc>
          <w:tcPr>
            <w:tcW w:w="10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w w:val="99"/>
              </w:rPr>
              <w:t>earnings, net of tax benefit of $1</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3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Unrealized loss on marketable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securities, net of tax benefit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Translations adjustment of foreign</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currency statements</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17</w:t>
            </w:r>
          </w:p>
        </w:tc>
        <w:tc>
          <w:tcPr>
            <w:tcW w:w="3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17</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Arial" w:cs="Arial" w:eastAsia="Arial" w:hAnsi="Arial"/>
                <w:sz w:val="14"/>
                <w:szCs w:val="14"/>
                <w:color w:val="auto"/>
              </w:rPr>
              <w:t>Other</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2002</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630,282</w:t>
            </w:r>
          </w:p>
        </w:tc>
        <w:tc>
          <w:tcPr>
            <w:tcW w:w="100" w:type="dxa"/>
            <w:vAlign w:val="bottom"/>
            <w:shd w:val="clear" w:color="auto" w:fill="EEEEEE"/>
          </w:tcPr>
          <w:p>
            <w:pPr>
              <w:spacing w:after="0"/>
              <w:rPr>
                <w:sz w:val="12"/>
                <w:szCs w:val="12"/>
                <w:color w:val="auto"/>
              </w:rPr>
            </w:pPr>
          </w:p>
        </w:tc>
        <w:tc>
          <w:tcPr>
            <w:tcW w:w="540" w:type="dxa"/>
            <w:vAlign w:val="bottom"/>
            <w:gridSpan w:val="3"/>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EEEEEE"/>
          </w:tcPr>
          <w:p>
            <w:pPr>
              <w:spacing w:after="0"/>
              <w:rPr>
                <w:sz w:val="12"/>
                <w:szCs w:val="12"/>
                <w:color w:val="auto"/>
              </w:rPr>
            </w:pP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$4,513</w:t>
            </w:r>
          </w:p>
        </w:tc>
        <w:tc>
          <w:tcPr>
            <w:tcW w:w="200" w:type="dxa"/>
            <w:vAlign w:val="bottom"/>
            <w:shd w:val="clear" w:color="auto" w:fill="EEEEEE"/>
          </w:tcPr>
          <w:p>
            <w:pPr>
              <w:spacing w:after="0"/>
              <w:rPr>
                <w:sz w:val="12"/>
                <w:szCs w:val="12"/>
                <w:color w:val="auto"/>
              </w:rPr>
            </w:pPr>
          </w:p>
        </w:tc>
        <w:tc>
          <w:tcPr>
            <w:tcW w:w="7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$1,873</w:t>
            </w:r>
          </w:p>
        </w:tc>
        <w:tc>
          <w:tcPr>
            <w:tcW w:w="220" w:type="dxa"/>
            <w:vAlign w:val="bottom"/>
            <w:shd w:val="clear" w:color="auto" w:fill="EEEEEE"/>
          </w:tcPr>
          <w:p>
            <w:pPr>
              <w:spacing w:after="0"/>
              <w:rPr>
                <w:sz w:val="12"/>
                <w:szCs w:val="12"/>
                <w:color w:val="auto"/>
              </w:rPr>
            </w:pPr>
          </w:p>
        </w:tc>
        <w:tc>
          <w:tcPr>
            <w:tcW w:w="620" w:type="dxa"/>
            <w:vAlign w:val="bottom"/>
            <w:gridSpan w:val="2"/>
            <w:shd w:val="clear" w:color="auto" w:fill="EEEEEE"/>
          </w:tcPr>
          <w:p>
            <w:pPr>
              <w:ind w:left="56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w w:val="85"/>
              </w:rPr>
              <w:t>(177)</w:t>
            </w:r>
          </w:p>
        </w:tc>
        <w:tc>
          <w:tcPr>
            <w:tcW w:w="24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(35,682)</w:t>
            </w:r>
          </w:p>
        </w:tc>
        <w:tc>
          <w:tcPr>
            <w:tcW w:w="50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(905)</w:t>
            </w:r>
          </w:p>
        </w:tc>
        <w:tc>
          <w:tcPr>
            <w:tcW w:w="680" w:type="dxa"/>
            <w:vAlign w:val="bottom"/>
            <w:gridSpan w:val="2"/>
            <w:shd w:val="clear" w:color="auto" w:fill="EEEEEE"/>
          </w:tcPr>
          <w:p>
            <w:pPr>
              <w:ind w:left="620"/>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793</w:t>
            </w: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630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62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630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Common stock issued upon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exercise of stock options and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w w:val="99"/>
              </w:rPr>
              <w:t>warrants and grants of restricted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stock, including tax benefit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10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w w:val="98"/>
              </w:rPr>
              <w:t>Common stock repurchases, net of</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settlements</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EEEEEE"/>
          </w:tcPr>
          <w:p>
            <w:pPr>
              <w:jc w:val="right"/>
              <w:ind w:right="60"/>
              <w:spacing w:after="0" w:line="159" w:lineRule="exact"/>
              <w:rPr>
                <w:sz w:val="20"/>
                <w:szCs w:val="20"/>
                <w:color w:val="auto"/>
              </w:rPr>
            </w:pPr>
            <w:r>
              <w:rPr>
                <w:rFonts w:ascii="Arial" w:cs="Arial" w:eastAsia="Arial" w:hAnsi="Arial"/>
                <w:sz w:val="14"/>
                <w:szCs w:val="14"/>
                <w:color w:val="auto"/>
              </w:rPr>
              <w:t>(22,050)</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(574)</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Unrealized loss resulting from</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changes in fair values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w w:val="99"/>
              </w:rPr>
              <w:t>derivative instruments, net of tax</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benefit of $3</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Realized losses on derivative</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instruments reclassified into</w:t>
            </w:r>
          </w:p>
        </w:tc>
        <w:tc>
          <w:tcPr>
            <w:tcW w:w="10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earnings, net of taxes of $1</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3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Unrealized gain on marketable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securities, net of taxes of $0</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Minimum pension liability</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 of $1</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3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Translation adjustment of foreign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currency statements</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164</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164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220"/>
              <w:spacing w:after="0" w:line="149" w:lineRule="exact"/>
              <w:rPr>
                <w:sz w:val="20"/>
                <w:szCs w:val="20"/>
                <w:color w:val="auto"/>
              </w:rPr>
            </w:pPr>
            <w:r>
              <w:rPr>
                <w:rFonts w:ascii="Arial" w:cs="Arial" w:eastAsia="Arial" w:hAnsi="Arial"/>
                <w:sz w:val="14"/>
                <w:szCs w:val="14"/>
                <w:color w:val="auto"/>
              </w:rPr>
              <w:t>Other</w:t>
            </w:r>
          </w:p>
        </w:tc>
        <w:tc>
          <w:tcPr>
            <w:tcW w:w="1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106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789</w:t>
            </w: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00" w:type="dxa"/>
            <w:vAlign w:val="bottom"/>
            <w:gridSpan w:val="2"/>
          </w:tcPr>
          <w:p>
            <w:pPr>
              <w:spacing w:after="0"/>
              <w:rPr>
                <w:sz w:val="20"/>
                <w:szCs w:val="20"/>
                <w:color w:val="auto"/>
              </w:rPr>
            </w:pPr>
            <w:r>
              <w:rPr>
                <w:rFonts w:ascii="Arial" w:cs="Arial" w:eastAsia="Arial" w:hAnsi="Arial"/>
                <w:sz w:val="14"/>
                <w:szCs w:val="14"/>
                <w:color w:val="auto"/>
              </w:rPr>
              <w:t>Balance, December 31, 2003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630,282</w:t>
            </w:r>
          </w:p>
        </w:tc>
        <w:tc>
          <w:tcPr>
            <w:tcW w:w="100" w:type="dxa"/>
            <w:vAlign w:val="bottom"/>
          </w:tcPr>
          <w:p>
            <w:pPr>
              <w:spacing w:after="0"/>
              <w:rPr>
                <w:sz w:val="22"/>
                <w:szCs w:val="22"/>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$4,501</w:t>
            </w:r>
          </w:p>
        </w:tc>
        <w:tc>
          <w:tcPr>
            <w:tcW w:w="20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$2,497</w:t>
            </w:r>
          </w:p>
        </w:tc>
        <w:tc>
          <w:tcPr>
            <w:tcW w:w="220" w:type="dxa"/>
            <w:vAlign w:val="bottom"/>
          </w:tcPr>
          <w:p>
            <w:pPr>
              <w:spacing w:after="0"/>
              <w:rPr>
                <w:sz w:val="22"/>
                <w:szCs w:val="22"/>
                <w:color w:val="auto"/>
              </w:rPr>
            </w:pP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2"/>
                <w:szCs w:val="22"/>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4"/>
                <w:szCs w:val="14"/>
                <w:color w:val="auto"/>
              </w:rPr>
              <w:t>(54,164)</w:t>
            </w:r>
          </w:p>
        </w:tc>
        <w:tc>
          <w:tcPr>
            <w:tcW w:w="50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1"/>
              </w:rPr>
              <w:t>(1,388)</w:t>
            </w:r>
          </w:p>
        </w:tc>
        <w:tc>
          <w:tcPr>
            <w:tcW w:w="680" w:type="dxa"/>
            <w:vAlign w:val="bottom"/>
            <w:gridSpan w:val="2"/>
          </w:tcPr>
          <w:p>
            <w:pPr>
              <w:ind w:left="62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793</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2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939</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EEEEE"/>
          </w:tcPr>
          <w:p>
            <w:pPr>
              <w:ind w:left="620"/>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939</w:t>
            </w: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(432)</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gridSpan w:val="4"/>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Common stock issued upon</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exercise of stock options and</w:t>
            </w:r>
          </w:p>
        </w:tc>
        <w:tc>
          <w:tcPr>
            <w:tcW w:w="10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w w:val="99"/>
              </w:rPr>
              <w:t>warrants and grants of restricted</w:t>
            </w:r>
          </w:p>
        </w:tc>
        <w:tc>
          <w:tcPr>
            <w:tcW w:w="10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stock, including tax benefit of</w:t>
            </w:r>
          </w:p>
        </w:tc>
        <w:tc>
          <w:tcPr>
            <w:tcW w:w="10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$37</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106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(23)</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EEEEEE"/>
          </w:tcPr>
          <w:p>
            <w:pPr>
              <w:jc w:val="right"/>
              <w:ind w:right="300"/>
              <w:spacing w:after="0" w:line="159" w:lineRule="exact"/>
              <w:rPr>
                <w:sz w:val="20"/>
                <w:szCs w:val="20"/>
                <w:color w:val="auto"/>
              </w:rPr>
            </w:pPr>
            <w:r>
              <w:rPr>
                <w:rFonts w:ascii="Arial" w:cs="Arial" w:eastAsia="Arial" w:hAnsi="Arial"/>
                <w:sz w:val="14"/>
                <w:szCs w:val="14"/>
                <w:color w:val="auto"/>
              </w:rPr>
              <w:t>(5)</w:t>
            </w:r>
          </w:p>
        </w:tc>
        <w:tc>
          <w:tcPr>
            <w:tcW w:w="24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10,019</w:t>
            </w:r>
          </w:p>
        </w:tc>
        <w:tc>
          <w:tcPr>
            <w:tcW w:w="10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259</w:t>
            </w:r>
          </w:p>
        </w:tc>
        <w:tc>
          <w:tcPr>
            <w:tcW w:w="1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Earned compensation related to</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restricted stock</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220"/>
              <w:spacing w:after="0" w:line="149" w:lineRule="exact"/>
              <w:rPr>
                <w:sz w:val="20"/>
                <w:szCs w:val="20"/>
                <w:color w:val="auto"/>
              </w:rPr>
            </w:pPr>
            <w:r>
              <w:rPr>
                <w:rFonts w:ascii="Arial" w:cs="Arial" w:eastAsia="Arial" w:hAnsi="Arial"/>
                <w:sz w:val="14"/>
                <w:szCs w:val="14"/>
                <w:color w:val="auto"/>
              </w:rPr>
              <w:t>Common stock repurchases</w:t>
            </w:r>
          </w:p>
        </w:tc>
        <w:tc>
          <w:tcPr>
            <w:tcW w:w="1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(16,541)</w:t>
            </w: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(472)</w:t>
            </w: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Unrealized loss resulting from</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rPr>
              <w:t>changes in fair values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60"/>
              <w:spacing w:after="0" w:line="149" w:lineRule="exact"/>
              <w:rPr>
                <w:sz w:val="20"/>
                <w:szCs w:val="20"/>
                <w:color w:val="auto"/>
              </w:rPr>
            </w:pPr>
            <w:r>
              <w:rPr>
                <w:rFonts w:ascii="Arial" w:cs="Arial" w:eastAsia="Arial" w:hAnsi="Arial"/>
                <w:sz w:val="14"/>
                <w:szCs w:val="14"/>
                <w:color w:val="auto"/>
                <w:w w:val="99"/>
              </w:rPr>
              <w:t>derivative instruments, net of tax</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benefit of $11</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Realized losses on derivative</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instruments reclassified into</w:t>
            </w:r>
          </w:p>
        </w:tc>
        <w:tc>
          <w:tcPr>
            <w:tcW w:w="10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earnings, net of taxes of $6</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10</w:t>
            </w:r>
          </w:p>
        </w:tc>
        <w:tc>
          <w:tcPr>
            <w:tcW w:w="3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10</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20"/>
              <w:spacing w:after="0" w:line="138" w:lineRule="exact"/>
              <w:rPr>
                <w:sz w:val="20"/>
                <w:szCs w:val="20"/>
                <w:color w:val="auto"/>
              </w:rPr>
            </w:pPr>
            <w:r>
              <w:rPr>
                <w:rFonts w:ascii="Arial" w:cs="Arial" w:eastAsia="Arial" w:hAnsi="Arial"/>
                <w:sz w:val="14"/>
                <w:szCs w:val="14"/>
                <w:color w:val="auto"/>
              </w:rPr>
              <w:t>Unrealized gain on marketable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360"/>
              <w:spacing w:after="0" w:line="159" w:lineRule="exact"/>
              <w:rPr>
                <w:sz w:val="20"/>
                <w:szCs w:val="20"/>
                <w:color w:val="auto"/>
              </w:rPr>
            </w:pPr>
            <w:r>
              <w:rPr>
                <w:rFonts w:ascii="Arial" w:cs="Arial" w:eastAsia="Arial" w:hAnsi="Arial"/>
                <w:sz w:val="14"/>
                <w:szCs w:val="14"/>
                <w:color w:val="auto"/>
              </w:rPr>
              <w:t>securities, net of taxes of $2</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Translation adjustment of foreign</w:t>
            </w:r>
          </w:p>
        </w:tc>
        <w:tc>
          <w:tcPr>
            <w:tcW w:w="10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currency statements</w:t>
            </w:r>
          </w:p>
        </w:tc>
        <w:tc>
          <w:tcPr>
            <w:tcW w:w="1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88</w:t>
            </w:r>
          </w:p>
        </w:tc>
        <w:tc>
          <w:tcPr>
            <w:tcW w:w="3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88</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2004</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630,282</w:t>
            </w:r>
          </w:p>
        </w:tc>
        <w:tc>
          <w:tcPr>
            <w:tcW w:w="100" w:type="dxa"/>
            <w:vAlign w:val="bottom"/>
            <w:shd w:val="clear" w:color="auto" w:fill="EEEEEE"/>
          </w:tcPr>
          <w:p>
            <w:pPr>
              <w:spacing w:after="0"/>
              <w:rPr>
                <w:sz w:val="12"/>
                <w:szCs w:val="12"/>
                <w:color w:val="auto"/>
              </w:rPr>
            </w:pPr>
          </w:p>
        </w:tc>
        <w:tc>
          <w:tcPr>
            <w:tcW w:w="540" w:type="dxa"/>
            <w:vAlign w:val="bottom"/>
            <w:gridSpan w:val="3"/>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EEEEEE"/>
          </w:tcPr>
          <w:p>
            <w:pPr>
              <w:spacing w:after="0"/>
              <w:rPr>
                <w:sz w:val="12"/>
                <w:szCs w:val="12"/>
                <w:color w:val="auto"/>
              </w:rPr>
            </w:pP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$4,481</w:t>
            </w:r>
          </w:p>
        </w:tc>
        <w:tc>
          <w:tcPr>
            <w:tcW w:w="200" w:type="dxa"/>
            <w:vAlign w:val="bottom"/>
            <w:shd w:val="clear" w:color="auto" w:fill="EEEEEE"/>
          </w:tcPr>
          <w:p>
            <w:pPr>
              <w:spacing w:after="0"/>
              <w:rPr>
                <w:sz w:val="12"/>
                <w:szCs w:val="12"/>
                <w:color w:val="auto"/>
              </w:rPr>
            </w:pPr>
          </w:p>
        </w:tc>
        <w:tc>
          <w:tcPr>
            <w:tcW w:w="7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$3,004</w:t>
            </w:r>
          </w:p>
        </w:tc>
        <w:tc>
          <w:tcPr>
            <w:tcW w:w="220" w:type="dxa"/>
            <w:vAlign w:val="bottom"/>
            <w:shd w:val="clear" w:color="auto" w:fill="EEEEEE"/>
          </w:tcPr>
          <w:p>
            <w:pPr>
              <w:spacing w:after="0"/>
              <w:rPr>
                <w:sz w:val="12"/>
                <w:szCs w:val="12"/>
                <w:color w:val="auto"/>
              </w:rPr>
            </w:pPr>
          </w:p>
        </w:tc>
        <w:tc>
          <w:tcPr>
            <w:tcW w:w="620" w:type="dxa"/>
            <w:vAlign w:val="bottom"/>
            <w:gridSpan w:val="2"/>
            <w:shd w:val="clear" w:color="auto" w:fill="EEEEEE"/>
          </w:tcPr>
          <w:p>
            <w:pPr>
              <w:ind w:left="56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69</w:t>
            </w:r>
          </w:p>
        </w:tc>
        <w:tc>
          <w:tcPr>
            <w:tcW w:w="38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 (4)</w:t>
            </w:r>
          </w:p>
        </w:tc>
        <w:tc>
          <w:tcPr>
            <w:tcW w:w="240" w:type="dxa"/>
            <w:vAlign w:val="bottom"/>
            <w:shd w:val="clear" w:color="auto" w:fill="EEEEEE"/>
          </w:tcPr>
          <w:p>
            <w:pPr>
              <w:spacing w:after="0"/>
              <w:rPr>
                <w:sz w:val="12"/>
                <w:szCs w:val="12"/>
                <w:color w:val="auto"/>
              </w:rPr>
            </w:pPr>
          </w:p>
        </w:tc>
        <w:tc>
          <w:tcPr>
            <w:tcW w:w="62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(60,070)</w:t>
            </w:r>
          </w:p>
        </w:tc>
        <w:tc>
          <w:tcPr>
            <w:tcW w:w="50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w w:val="81"/>
              </w:rPr>
              <w:t>(1,585)</w:t>
            </w:r>
          </w:p>
        </w:tc>
        <w:tc>
          <w:tcPr>
            <w:tcW w:w="680" w:type="dxa"/>
            <w:vAlign w:val="bottom"/>
            <w:gridSpan w:val="2"/>
            <w:shd w:val="clear" w:color="auto" w:fill="EEEEEE"/>
          </w:tcPr>
          <w:p>
            <w:pPr>
              <w:ind w:left="620"/>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1,022</w:t>
            </w:r>
          </w:p>
        </w:tc>
        <w:tc>
          <w:tcPr>
            <w:tcW w:w="3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-38100</wp:posOffset>
            </wp:positionV>
            <wp:extent cx="9017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170" cy="3873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9" w:orient="portrait"/>
          <w:cols w:equalWidth="0" w:num="1">
            <w:col w:w="11420"/>
          </w:cols>
          <w:pgMar w:left="240" w:top="935" w:right="239" w:bottom="0"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2004, 2003 and 2002</w:t>
      </w:r>
    </w:p>
    <w:p>
      <w:pPr>
        <w:spacing w:after="0" w:line="25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our majority-owned subsidiaries and certain variable interest entities for which we have determined that we are the primary beneficiary (See Note 19). Waste Management, Inc. is a holding company that conducts all of its operations through its subsidiaries. When the terms “the Company,” “we,” “us” or “our” are used in this document, those terms refer to Waste Management, Inc. and all of its consolidated subsidiaries. When we use the term “WMI,” we are referring only to the parent holding company.</w:t>
      </w:r>
    </w:p>
    <w:p>
      <w:pPr>
        <w:spacing w:after="0" w:line="224" w:lineRule="exact"/>
        <w:rPr>
          <w:sz w:val="20"/>
          <w:szCs w:val="20"/>
          <w:color w:val="auto"/>
        </w:rPr>
      </w:pPr>
    </w:p>
    <w:p>
      <w:pPr>
        <w:jc w:val="both"/>
        <w:ind w:right="280" w:firstLine="324"/>
        <w:spacing w:after="0" w:line="306" w:lineRule="auto"/>
        <w:rPr>
          <w:sz w:val="20"/>
          <w:szCs w:val="20"/>
          <w:color w:val="auto"/>
        </w:rPr>
      </w:pPr>
      <w:r>
        <w:rPr>
          <w:rFonts w:ascii="Arial" w:cs="Arial" w:eastAsia="Arial" w:hAnsi="Arial"/>
          <w:sz w:val="16"/>
          <w:szCs w:val="16"/>
          <w:color w:val="auto"/>
        </w:rPr>
        <w:t>We are the leading provider of integrated waste services in North America.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39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 and Reclassifications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 — Consolidation of Variable Interest Entities</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January 2003, the Financial Accounting Standards Board (“FASB”) issued Interpretation No. 46, Consolidation of Variable Interest Entities (“FIN 46”), which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it applies to us, the effective dates for FIN 46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4660" w:type="dxa"/>
            <w:vAlign w:val="bottom"/>
            <w:gridSpan w:val="3"/>
          </w:tcPr>
          <w:p>
            <w:pPr>
              <w:ind w:left="420"/>
              <w:spacing w:after="0"/>
              <w:rPr>
                <w:sz w:val="20"/>
                <w:szCs w:val="20"/>
                <w:color w:val="auto"/>
              </w:rPr>
            </w:pPr>
            <w:r>
              <w:rPr>
                <w:rFonts w:ascii="Arial" w:cs="Arial" w:eastAsia="Arial" w:hAnsi="Arial"/>
                <w:sz w:val="14"/>
                <w:szCs w:val="14"/>
                <w:b w:val="1"/>
                <w:bCs w:val="1"/>
                <w:color w:val="auto"/>
              </w:rPr>
              <w:t>Entity Characteristics</w:t>
            </w: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95"/>
        </w:trPr>
        <w:tc>
          <w:tcPr>
            <w:tcW w:w="2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tcPr>
          <w:p>
            <w:pPr>
              <w:spacing w:after="0"/>
              <w:rPr>
                <w:sz w:val="8"/>
                <w:szCs w:val="8"/>
                <w:color w:val="auto"/>
              </w:rPr>
            </w:pPr>
          </w:p>
        </w:tc>
      </w:tr>
      <w:tr>
        <w:trPr>
          <w:trHeight w:val="263"/>
        </w:trPr>
        <w:tc>
          <w:tcPr>
            <w:tcW w:w="2560" w:type="dxa"/>
            <w:vAlign w:val="bottom"/>
          </w:tcPr>
          <w:p>
            <w:pPr>
              <w:spacing w:after="0"/>
              <w:rPr>
                <w:sz w:val="20"/>
                <w:szCs w:val="20"/>
                <w:color w:val="auto"/>
              </w:rPr>
            </w:pPr>
            <w:r>
              <w:rPr>
                <w:rFonts w:ascii="Arial" w:cs="Arial" w:eastAsia="Arial" w:hAnsi="Arial"/>
                <w:sz w:val="14"/>
                <w:szCs w:val="14"/>
                <w:b w:val="1"/>
                <w:bCs w:val="1"/>
                <w:color w:val="auto"/>
              </w:rPr>
              <w:t>Creation or Modification</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80" w:type="dxa"/>
            <w:vAlign w:val="bottom"/>
          </w:tcPr>
          <w:p>
            <w:pPr>
              <w:ind w:left="1640"/>
              <w:spacing w:after="0"/>
              <w:rPr>
                <w:sz w:val="20"/>
                <w:szCs w:val="20"/>
                <w:color w:val="auto"/>
              </w:rPr>
            </w:pPr>
            <w:r>
              <w:rPr>
                <w:rFonts w:ascii="Arial" w:cs="Arial" w:eastAsia="Arial" w:hAnsi="Arial"/>
                <w:sz w:val="14"/>
                <w:szCs w:val="14"/>
                <w:b w:val="1"/>
                <w:bCs w:val="1"/>
                <w:color w:val="auto"/>
              </w:rPr>
              <w:t>Entity Type</w:t>
            </w:r>
          </w:p>
        </w:tc>
        <w:tc>
          <w:tcPr>
            <w:tcW w:w="280" w:type="dxa"/>
            <w:vAlign w:val="bottom"/>
          </w:tcPr>
          <w:p>
            <w:pPr>
              <w:spacing w:after="0"/>
              <w:rPr>
                <w:sz w:val="22"/>
                <w:szCs w:val="22"/>
                <w:color w:val="auto"/>
              </w:rPr>
            </w:pPr>
          </w:p>
        </w:tc>
        <w:tc>
          <w:tcPr>
            <w:tcW w:w="2780" w:type="dxa"/>
            <w:vAlign w:val="bottom"/>
          </w:tcPr>
          <w:p>
            <w:pPr>
              <w:ind w:left="940"/>
              <w:spacing w:after="0"/>
              <w:rPr>
                <w:sz w:val="20"/>
                <w:szCs w:val="20"/>
                <w:color w:val="auto"/>
              </w:rPr>
            </w:pPr>
            <w:r>
              <w:rPr>
                <w:rFonts w:ascii="Arial" w:cs="Arial" w:eastAsia="Arial" w:hAnsi="Arial"/>
                <w:sz w:val="14"/>
                <w:szCs w:val="14"/>
                <w:b w:val="1"/>
                <w:bCs w:val="1"/>
                <w:color w:val="auto"/>
              </w:rPr>
              <w:t>Effective Dates</w:t>
            </w:r>
          </w:p>
        </w:tc>
      </w:tr>
      <w:tr>
        <w:trPr>
          <w:trHeight w:val="95"/>
        </w:trPr>
        <w:tc>
          <w:tcPr>
            <w:tcW w:w="2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r>
      <w:tr>
        <w:trPr>
          <w:trHeight w:val="309"/>
        </w:trPr>
        <w:tc>
          <w:tcPr>
            <w:tcW w:w="2560" w:type="dxa"/>
            <w:vAlign w:val="bottom"/>
          </w:tcPr>
          <w:p>
            <w:pPr>
              <w:spacing w:after="0"/>
              <w:rPr>
                <w:sz w:val="20"/>
                <w:szCs w:val="20"/>
                <w:color w:val="auto"/>
              </w:rPr>
            </w:pPr>
            <w:r>
              <w:rPr>
                <w:rFonts w:ascii="Arial" w:cs="Arial" w:eastAsia="Arial" w:hAnsi="Arial"/>
                <w:sz w:val="18"/>
                <w:szCs w:val="18"/>
                <w:color w:val="auto"/>
              </w:rPr>
              <w:t>After January 31, 2003</w:t>
            </w:r>
          </w:p>
        </w:tc>
        <w:tc>
          <w:tcPr>
            <w:tcW w:w="420" w:type="dxa"/>
            <w:vAlign w:val="bottom"/>
          </w:tcPr>
          <w:p>
            <w:pPr>
              <w:spacing w:after="0"/>
              <w:rPr>
                <w:sz w:val="24"/>
                <w:szCs w:val="24"/>
                <w:color w:val="auto"/>
              </w:rPr>
            </w:pPr>
          </w:p>
        </w:tc>
        <w:tc>
          <w:tcPr>
            <w:tcW w:w="4240" w:type="dxa"/>
            <w:vAlign w:val="bottom"/>
            <w:gridSpan w:val="2"/>
          </w:tcPr>
          <w:p>
            <w:pPr>
              <w:ind w:left="240"/>
              <w:spacing w:after="0"/>
              <w:rPr>
                <w:sz w:val="20"/>
                <w:szCs w:val="20"/>
                <w:color w:val="auto"/>
              </w:rPr>
            </w:pPr>
            <w:r>
              <w:rPr>
                <w:rFonts w:ascii="Arial" w:cs="Arial" w:eastAsia="Arial" w:hAnsi="Arial"/>
                <w:sz w:val="18"/>
                <w:szCs w:val="18"/>
                <w:color w:val="auto"/>
              </w:rPr>
              <w:t>All variable interest entities</w:t>
            </w:r>
          </w:p>
        </w:tc>
        <w:tc>
          <w:tcPr>
            <w:tcW w:w="28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Arial" w:cs="Arial" w:eastAsia="Arial" w:hAnsi="Arial"/>
                <w:sz w:val="18"/>
                <w:szCs w:val="18"/>
                <w:color w:val="auto"/>
              </w:rPr>
              <w:t>February 1, 2003</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On or before January 31, 2003</w:t>
            </w:r>
          </w:p>
        </w:tc>
        <w:tc>
          <w:tcPr>
            <w:tcW w:w="420" w:type="dxa"/>
            <w:vAlign w:val="bottom"/>
          </w:tcPr>
          <w:p>
            <w:pPr>
              <w:spacing w:after="0"/>
              <w:rPr>
                <w:sz w:val="18"/>
                <w:szCs w:val="18"/>
                <w:color w:val="auto"/>
              </w:rPr>
            </w:pPr>
          </w:p>
        </w:tc>
        <w:tc>
          <w:tcPr>
            <w:tcW w:w="4240" w:type="dxa"/>
            <w:vAlign w:val="bottom"/>
            <w:gridSpan w:val="2"/>
          </w:tcPr>
          <w:p>
            <w:pPr>
              <w:ind w:left="240"/>
              <w:spacing w:after="0"/>
              <w:rPr>
                <w:sz w:val="20"/>
                <w:szCs w:val="20"/>
                <w:color w:val="auto"/>
              </w:rPr>
            </w:pPr>
            <w:r>
              <w:rPr>
                <w:rFonts w:ascii="Arial" w:cs="Arial" w:eastAsia="Arial" w:hAnsi="Arial"/>
                <w:sz w:val="18"/>
                <w:szCs w:val="18"/>
                <w:color w:val="auto"/>
              </w:rPr>
              <w:t>Special purpose variable interest entities</w:t>
            </w:r>
          </w:p>
        </w:tc>
        <w:tc>
          <w:tcPr>
            <w:tcW w:w="280" w:type="dxa"/>
            <w:vAlign w:val="bottom"/>
          </w:tcPr>
          <w:p>
            <w:pPr>
              <w:spacing w:after="0"/>
              <w:rPr>
                <w:sz w:val="18"/>
                <w:szCs w:val="18"/>
                <w:color w:val="auto"/>
              </w:rPr>
            </w:pPr>
          </w:p>
        </w:tc>
        <w:tc>
          <w:tcPr>
            <w:tcW w:w="2780" w:type="dxa"/>
            <w:vAlign w:val="bottom"/>
          </w:tcPr>
          <w:p>
            <w:pPr>
              <w:ind w:left="680"/>
              <w:spacing w:after="0"/>
              <w:rPr>
                <w:sz w:val="20"/>
                <w:szCs w:val="20"/>
                <w:color w:val="auto"/>
              </w:rPr>
            </w:pPr>
            <w:r>
              <w:rPr>
                <w:rFonts w:ascii="Arial" w:cs="Arial" w:eastAsia="Arial" w:hAnsi="Arial"/>
                <w:sz w:val="18"/>
                <w:szCs w:val="18"/>
                <w:color w:val="auto"/>
              </w:rPr>
              <w:t>December 31, 2003</w:t>
            </w: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On or before January 31, 2003</w:t>
            </w:r>
          </w:p>
        </w:tc>
        <w:tc>
          <w:tcPr>
            <w:tcW w:w="420" w:type="dxa"/>
            <w:vAlign w:val="bottom"/>
          </w:tcPr>
          <w:p>
            <w:pPr>
              <w:spacing w:after="0"/>
              <w:rPr>
                <w:sz w:val="19"/>
                <w:szCs w:val="19"/>
                <w:color w:val="auto"/>
              </w:rPr>
            </w:pPr>
          </w:p>
        </w:tc>
        <w:tc>
          <w:tcPr>
            <w:tcW w:w="4240" w:type="dxa"/>
            <w:vAlign w:val="bottom"/>
            <w:gridSpan w:val="2"/>
          </w:tcPr>
          <w:p>
            <w:pPr>
              <w:ind w:left="240"/>
              <w:spacing w:after="0"/>
              <w:rPr>
                <w:sz w:val="20"/>
                <w:szCs w:val="20"/>
                <w:color w:val="auto"/>
              </w:rPr>
            </w:pPr>
            <w:r>
              <w:rPr>
                <w:rFonts w:ascii="Arial" w:cs="Arial" w:eastAsia="Arial" w:hAnsi="Arial"/>
                <w:sz w:val="18"/>
                <w:szCs w:val="18"/>
                <w:color w:val="auto"/>
              </w:rPr>
              <w:t>All other variable interest entities</w:t>
            </w:r>
          </w:p>
        </w:tc>
        <w:tc>
          <w:tcPr>
            <w:tcW w:w="280" w:type="dxa"/>
            <w:vAlign w:val="bottom"/>
          </w:tcPr>
          <w:p>
            <w:pPr>
              <w:spacing w:after="0"/>
              <w:rPr>
                <w:sz w:val="19"/>
                <w:szCs w:val="19"/>
                <w:color w:val="auto"/>
              </w:rPr>
            </w:pPr>
          </w:p>
        </w:tc>
        <w:tc>
          <w:tcPr>
            <w:tcW w:w="2780" w:type="dxa"/>
            <w:vAlign w:val="bottom"/>
          </w:tcPr>
          <w:p>
            <w:pPr>
              <w:ind w:left="680"/>
              <w:spacing w:after="0"/>
              <w:rPr>
                <w:sz w:val="20"/>
                <w:szCs w:val="20"/>
                <w:color w:val="auto"/>
              </w:rPr>
            </w:pPr>
            <w:r>
              <w:rPr>
                <w:rFonts w:ascii="Arial" w:cs="Arial" w:eastAsia="Arial" w:hAnsi="Arial"/>
                <w:sz w:val="18"/>
                <w:szCs w:val="18"/>
                <w:color w:val="auto"/>
              </w:rPr>
              <w:t>March 31, 2004</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 impact of our implementation of FIN 46 is summarized below.</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Special purpose variable interest entities </w:t>
      </w:r>
      <w:r>
        <w:rPr>
          <w:rFonts w:ascii="Arial" w:cs="Arial" w:eastAsia="Arial" w:hAnsi="Arial"/>
          <w:sz w:val="16"/>
          <w:szCs w:val="16"/>
          <w:color w:val="auto"/>
        </w:rPr>
        <w:t>— On December 31, 2003, we began consolidating two limited liability companies from which we lease three</w:t>
      </w:r>
      <w:r>
        <w:rPr>
          <w:rFonts w:ascii="Arial" w:cs="Arial" w:eastAsia="Arial" w:hAnsi="Arial"/>
          <w:sz w:val="16"/>
          <w:szCs w:val="16"/>
          <w:i w:val="1"/>
          <w:iCs w:val="1"/>
          <w:color w:val="auto"/>
        </w:rPr>
        <w:t xml:space="preserve"> </w:t>
      </w:r>
      <w:r>
        <w:rPr>
          <w:rFonts w:ascii="Arial" w:cs="Arial" w:eastAsia="Arial" w:hAnsi="Arial"/>
          <w:sz w:val="16"/>
          <w:szCs w:val="16"/>
          <w:color w:val="auto"/>
        </w:rPr>
        <w:t>waste-to-energy facilities. Prior to the consolidation of the entities, we accounted for the underlying leases as operating leases and accounted for our investment in the LLCs under the equity method of accounting. Upon consolidating these entities, we recorded a charge to cumulative effect of change in accounting principle of approximately $43 million, net of tax benefit, or $0.07 per diluted share. The consolidation of these variable interest entities increased income before cumulative effect of changes in accounting principles for the year ended December 31, 2004 by approximately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$4 million, net of taxes, or $0.01 per diluted share. The following table summarizes the balance sheet impact of consolidation of these entities as of December 31, 2003 (in millions):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6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10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1320" w:type="dxa"/>
            <w:vAlign w:val="bottom"/>
            <w:gridSpan w:val="3"/>
          </w:tcPr>
          <w:p>
            <w:pPr>
              <w:jc w:val="right"/>
              <w:ind w:right="9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 in variable interest entities</w:t>
            </w:r>
          </w:p>
        </w:tc>
        <w:tc>
          <w:tcPr>
            <w:tcW w:w="10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1060" w:type="dxa"/>
            <w:vAlign w:val="bottom"/>
          </w:tcPr>
          <w:p>
            <w:pPr>
              <w:spacing w:after="0"/>
              <w:rPr>
                <w:sz w:val="19"/>
                <w:szCs w:val="19"/>
                <w:color w:val="auto"/>
              </w:rPr>
            </w:pPr>
          </w:p>
        </w:tc>
        <w:tc>
          <w:tcPr>
            <w:tcW w:w="1320" w:type="dxa"/>
            <w:vAlign w:val="bottom"/>
            <w:gridSpan w:val="3"/>
          </w:tcPr>
          <w:p>
            <w:pPr>
              <w:jc w:val="right"/>
              <w:ind w:right="9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276</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Non-special purpose variable interest entities </w:t>
      </w:r>
      <w:r>
        <w:rPr>
          <w:rFonts w:ascii="Arial" w:cs="Arial" w:eastAsia="Arial" w:hAnsi="Arial"/>
          <w:sz w:val="16"/>
          <w:szCs w:val="16"/>
          <w:color w:val="auto"/>
        </w:rPr>
        <w:t>— On March 31, 2004, our application of FIN 46 to non-special purpose type variable interest entities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consolidation of certain trusts established to support the performance of closure, post-closure and environmental remediation activities. Upon consolidating these entities, we recorded an increase in our net assets and a credit of approximately $8 million, net of taxes, or $0.01 per diluted share, as a cumulative effect of a change in accounting principle. The consolidation of these variable interest entities has not materially affected our results of operations for the year ended December 31, 2004. Additionally, our results of operations for the years ended December 31, 2003 and 2002 would not have been significantly impacted by the consolidation of these entities as of the beginning of the earliest year presented. Therefore, the application of FIN 46 to these variable interest entities has been excluded from the pro forma disclosures provided below.</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19 for further discussion on these variable interest entities.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Repairs and Maintenance</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Through December 31, 2002, we accrued in advance for major repairs and maintenance expenditures and we deferred costs associated with annual plant outages at our waste-to-energy facilities and independent power production plants. Effective January 1, 2003, we changed our policy from this method to one that expenses these costs as they are incurred. In the first quarter of 2003, we recorded approximately $25 million, net of taxes, or $0.04 per diluted share, as a credit to cumulative effect of changes in accounting principles. Our current method of accounting is preferable because it (i) provides operating results that more clearly reflect the timing and amount of required expenditures, (ii) more clearly reflects our assets and liabilities, and (iii) reduces the need to make additional estimates and assumptions.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Contracts</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Through December 31, 2002, if our customer contracts were projected to have direct costs greater than revenues over the life of the contract, we accrued for those future losses. Effective January 1, 2003, we changed our policy from this method to one that expenses these losses as they are incurred. In the first quarter of 2003, we recorded approximately $30 million, net of taxes, or $0.05 per diluted share, as a credit to cumulative effect of changes in accounting principles. Our current method of accounting is preferable because it (i) provides operating results that more clearly reflect the timing and amount of contract losses generated; (ii) more clearly reflects our liabilities; and (iii) reduces the need to make additional estimates and assumptions.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Adoption of SFAS No. 143 — Accounting for Asset Retirement Obligations</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 xml:space="preserve">In the first quarter of 2003, we recorded approximately $101 million, including tax benefit, or $0.17 per diluted share, as a charge to cumulative effect of changes in accounting principles for the adoption of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Substantially all of this charge was related to changes in accounting for landfill final capping, closure and post-closure costs. The initial adoption of SFAS No. 143 resulted in a $96 million increase in net landfill assets and a $266 million increase in our landfill liabilities, of which $67 million related to our current liabilities.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See further discussion related to the impact of our adoption of SFAS No. 143 on our accounting policies under </w:t>
      </w:r>
      <w:r>
        <w:rPr>
          <w:rFonts w:ascii="Arial" w:cs="Arial" w:eastAsia="Arial" w:hAnsi="Arial"/>
          <w:sz w:val="16"/>
          <w:szCs w:val="16"/>
          <w:i w:val="1"/>
          <w:iCs w:val="1"/>
          <w:color w:val="auto"/>
        </w:rPr>
        <w:t>Landfill Accounting</w:t>
      </w:r>
      <w:r>
        <w:rPr>
          <w:rFonts w:ascii="Arial" w:cs="Arial" w:eastAsia="Arial" w:hAnsi="Arial"/>
          <w:sz w:val="16"/>
          <w:szCs w:val="16"/>
          <w:color w:val="auto"/>
        </w:rPr>
        <w:t xml:space="preserve"> within Note 3.</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the accounting changes we implemented during 2003 for special purpose variable interest entities, major repairs and maintenance, loss contracts and asset retirement obligations had been effective since 2002, the impact on income before cumulative effect of changes in accounting principles and earnings per common share (in millions, except per share amounts) would have been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1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9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83"/>
              </w:rPr>
              <w:t>2003</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w w:val="94"/>
              </w:rPr>
              <w:t>Reported income before cumulative effect of changes in accounting principles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$ 719</w:t>
            </w: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820</w:t>
            </w:r>
          </w:p>
        </w:tc>
        <w:tc>
          <w:tcPr>
            <w:tcW w:w="5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Special purpose variable interest entities, net of tax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Repairs and maintenance, net of tax</w:t>
            </w:r>
          </w:p>
        </w:tc>
        <w:tc>
          <w:tcPr>
            <w:tcW w:w="6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contracts, net of tax</w:t>
            </w:r>
          </w:p>
        </w:tc>
        <w:tc>
          <w:tcPr>
            <w:tcW w:w="62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Adoption of SFAS No. 143, net of tax</w:t>
            </w:r>
          </w:p>
        </w:tc>
        <w:tc>
          <w:tcPr>
            <w:tcW w:w="6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40" w:type="dxa"/>
            <w:vAlign w:val="bottom"/>
            <w:gridSpan w:val="2"/>
          </w:tcPr>
          <w:p>
            <w:pPr>
              <w:ind w:left="1140"/>
              <w:spacing w:after="0"/>
              <w:rPr>
                <w:sz w:val="20"/>
                <w:szCs w:val="20"/>
                <w:color w:val="auto"/>
              </w:rPr>
            </w:pPr>
            <w:r>
              <w:rPr>
                <w:rFonts w:ascii="Arial" w:cs="Arial" w:eastAsia="Arial" w:hAnsi="Arial"/>
                <w:sz w:val="18"/>
                <w:szCs w:val="18"/>
                <w:color w:val="auto"/>
              </w:rPr>
              <w:t>Pro forma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$ 723</w:t>
            </w:r>
          </w:p>
        </w:tc>
        <w:tc>
          <w:tcPr>
            <w:tcW w:w="5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777</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5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Basic earnings per common share:</w:t>
            </w: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4"/>
              </w:rPr>
              <w:t>Reported income before cumulative effect of changes in accounting principles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Special purpose variable interest entities, net of tax</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62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6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(0.03)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620" w:type="dxa"/>
            <w:vAlign w:val="bottom"/>
          </w:tcPr>
          <w:p>
            <w:pPr>
              <w:spacing w:after="0"/>
              <w:rPr>
                <w:sz w:val="19"/>
                <w:szCs w:val="19"/>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(0.05)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040" w:type="dxa"/>
            <w:vAlign w:val="bottom"/>
            <w:gridSpan w:val="2"/>
            <w:vMerge w:val="restart"/>
          </w:tcPr>
          <w:p>
            <w:pPr>
              <w:jc w:val="right"/>
              <w:ind w:right="1152"/>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0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1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94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83"/>
              </w:rPr>
              <w:t>2003</w:t>
            </w:r>
          </w:p>
        </w:tc>
        <w:tc>
          <w:tcPr>
            <w:tcW w:w="520" w:type="dxa"/>
            <w:vAlign w:val="bottom"/>
          </w:tcPr>
          <w:p>
            <w:pPr>
              <w:spacing w:after="0"/>
              <w:rPr>
                <w:sz w:val="15"/>
                <w:szCs w:val="15"/>
                <w:color w:val="auto"/>
              </w:rPr>
            </w:pPr>
          </w:p>
        </w:tc>
        <w:tc>
          <w:tcPr>
            <w:tcW w:w="1260" w:type="dxa"/>
            <w:vAlign w:val="bottom"/>
            <w:gridSpan w:val="3"/>
          </w:tcPr>
          <w:p>
            <w:pPr>
              <w:jc w:val="center"/>
              <w:ind w:left="696"/>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4"/>
              </w:rPr>
              <w:t>Reported income before cumulative effect of changes in accounting principles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$ 1.33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Special purpose variable interest entities, net of tax</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62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6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620" w:type="dxa"/>
            <w:vAlign w:val="bottom"/>
          </w:tcPr>
          <w:p>
            <w:pPr>
              <w:spacing w:after="0"/>
              <w:rPr>
                <w:sz w:val="19"/>
                <w:szCs w:val="19"/>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4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5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$ 1.26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2004, as a result of internal review processes, we identified certain items that required modification to our accounting and reporting. The following discussion provides information about each of the changes identified and the reclassifications made in the accompanying consolidated financial statements to conform our prior years’ presentation to the current year’s presentation.</w:t>
      </w:r>
    </w:p>
    <w:p>
      <w:pPr>
        <w:spacing w:after="0" w:line="194" w:lineRule="exact"/>
        <w:rPr>
          <w:sz w:val="20"/>
          <w:szCs w:val="20"/>
          <w:color w:val="auto"/>
        </w:rPr>
      </w:pPr>
    </w:p>
    <w:p>
      <w:pPr>
        <w:ind w:left="460" w:right="120" w:hanging="101"/>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January 1, 2004, we began recording all mandatory fees and taxes that create direct obligations for us as operating expenses and recording revenue when the fees and taxes are billed to our customers. In prior years, certain of these costs had been treated as pass-through costs for financial reporting purposes. We have conformed the prior years’ presentation of our revenues and expenses with the current year’s presentation by increasing both our revenue and our operating expenses by approximately $74 million for the year ended December 31, 2003 and by approximately $69 million for the year ended December 31, 2002.</w:t>
      </w:r>
    </w:p>
    <w:p>
      <w:pPr>
        <w:spacing w:after="0" w:line="223" w:lineRule="exact"/>
        <w:rPr>
          <w:rFonts w:ascii="Arial" w:cs="Arial" w:eastAsia="Arial" w:hAnsi="Arial"/>
          <w:sz w:val="18"/>
          <w:szCs w:val="18"/>
          <w:color w:val="auto"/>
        </w:rPr>
      </w:pPr>
    </w:p>
    <w:p>
      <w:pPr>
        <w:ind w:left="460" w:right="340" w:hanging="101"/>
        <w:spacing w:after="0" w:line="29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Certain cash accounts with negative balances and no legal right of offset had been included in cash and cash equivalents on our balance sheet in prior periods. Upon identification, we increased both our cash and cash equivalents and accounts payable balances at December 31, 2003, 2002 and 2001 by approximately $82 million, $95 million and $25 million, respectively. The changes in the accounts payable balances during each reporting period have been treated as a component of cash used in financing activities-other within the statements of cash flows.</w:t>
      </w:r>
    </w:p>
    <w:p>
      <w:pPr>
        <w:spacing w:after="0" w:line="193" w:lineRule="exact"/>
        <w:rPr>
          <w:rFonts w:ascii="Arial" w:cs="Arial" w:eastAsia="Arial" w:hAnsi="Arial"/>
          <w:sz w:val="16"/>
          <w:szCs w:val="16"/>
          <w:color w:val="auto"/>
        </w:rPr>
      </w:pPr>
    </w:p>
    <w:p>
      <w:pPr>
        <w:ind w:left="460" w:right="580" w:hanging="101"/>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amounts related to our consolidated Canadian operations required adjustment to fully capture the impact of accounting for foreign currency translation adjustments. We have decreased both our accrued liabilities balance and our accumulated other comprehensive loss by approximately $39 million at December 31, 2003 and by approximately $2 million at December 31, 2002.</w:t>
      </w:r>
    </w:p>
    <w:p>
      <w:pPr>
        <w:spacing w:after="0" w:line="221" w:lineRule="exact"/>
        <w:rPr>
          <w:rFonts w:ascii="Arial" w:cs="Arial" w:eastAsia="Arial" w:hAnsi="Arial"/>
          <w:sz w:val="18"/>
          <w:szCs w:val="18"/>
          <w:color w:val="auto"/>
        </w:rPr>
      </w:pPr>
    </w:p>
    <w:p>
      <w:pPr>
        <w:ind w:left="460" w:hanging="101"/>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fourth quarter of 2004, we completed a detailed review of our deferred tax balances and related tax-basis balance sheets. The culmination of this effort was a decrease in our net current deferred tax assets of approximately $310 million, and a decrease in our net long-term deferred tax liabilities of approximately $356 million as of December 31, 2003. The resultant over accrual of our net deferred tax liability of approximately $46 million was recorded as a reduction of goodwill as this adjustment is associated with our previous acquisition activity. Our deferred tax balances and goodwill as of December 31, 2003 have been adjusted to reflect this change.</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We have various investments in unconsolidated entities that we account for using the equity method. Our equity in the earnings of these entities has historically been presented as a component of other income in our statements of operations and the related cash flow impact has been reflected as a component of the change in other assets within our statements of cash flows. As a result of investments we made during 2004, as described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Note 8, this activity has become a more significant component of our net income and operating cash flow activity. Accordingly, we have shown equity in earnings and losses of unconsolidated entities as a separate component within our statement of operations and equity in earnings and losses of unconsolidated entities, net of distributions, as a separate component of cash provided by operating activities. Prior periods have been reclassified to conform to the current period’s presentation.</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March 2002, we adopted a new organizational structure to align collection, transportation, recycling and disposal resources into market areas, and we reduced the number of layers of management and consolidated certain administrative and support functions. After the adoption of the new organizational structure, we determined that certain employee costs and facility-related expenses previously recorded as selling, general and administrative expenses were more appropriately classified as operating expenses. These costs include certain maintenance and repairs, property taxes, insurance and claims, rent, utilities, permits and fees. Costs identified for reclassification are those costs incurred beginning in the second quarter of 2002, as this was the first full accounting period that these organizational changes were effective. As a result, operating and selling, general and administrative expenses for the first quarter of 2002 are not comparable to those of subsequent periods.</w:t>
      </w:r>
    </w:p>
    <w:p>
      <w:pPr>
        <w:spacing w:after="0" w:line="199"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Additionally, certain other minor reclassifications have been made to our prior period consolidated financial statements in order to conform to the current year presentation. The supplementary financial information included herein has been updated to reflect these changes.</w:t>
      </w:r>
    </w:p>
    <w:p>
      <w:pPr>
        <w:spacing w:after="0" w:line="37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WMI, its majority-owned subsidiaries and certain variable interest entities after elimination of all material intercompany balances and transactions. Investments in entities in which we do not have a controlling financial interest are accounted for under either the equity method or cost method of accounting, as appropriate. These investments are regularly reviewed for impairment and propriety of accounting treatment.</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that we make in preparing our financial statements relate to our accounting for landfills, environmental liabilities and asset impairments, as described below within Landfill accounting, Asset impairments and Contingent liabilities.</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Cash and cash equivalents consist primarily of cash on deposit, certificates of deposit, money market accounts, and investment grade commercial paper purchased with original maturities of three months or less. For discussion regarding the reclassification made to prior years’ balances to conform to the current year’s presentation, refer to Note 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investments held within our trust funds and escrow accounts, accounts receivable and derivative instruments. We control our exposure to credit risk associated with these instruments by</w:t>
      </w:r>
    </w:p>
    <w:p>
      <w:pPr>
        <w:ind w:right="60" w:firstLine="8"/>
        <w:spacing w:after="0" w:line="253" w:lineRule="auto"/>
        <w:tabs>
          <w:tab w:leader="none" w:pos="2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placing our assets and other financial interests with a diverse group of credit-worthy financial institutions; (ii) holding high quality financial instruments while limiting investments in any one instrument; and (iii) maintaining strict policies over credit extension that include credit evaluations, credit limits and monitoring procedures, although generally we do not have collateral requirements. In addition, our overall credit risk associated with trade receivables is limited due to the large number of geographically diverse customers we service. At December 31, 2004 and 2003, no single customer represented greater than 5% of total accounts receivable.</w:t>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Trade, notes and other receivables</w:t>
      </w:r>
    </w:p>
    <w:p>
      <w:pPr>
        <w:spacing w:after="0" w:line="252"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Our receivables are recorded when billed or advanced and represent claims against third parties that will be settled in cash. The carrying value of our receivables, net of the allowance for doubtful accounts, represents their estimated net realizable value. We estimate our allowance for doubtful accounts based on historical collection trends, type of customer, such as municipal or non-municipal, the age of outstanding receivables and existing economic conditions. If events or changes in circumstances indicate that specific receivable balances may be impaired, further consideration is given to the collectiblity of those balances and the allowance is adjusted accordingly. Past-due receivable balances are written-off when our internal collection efforts have been unsuccessful in collecting the amount due. Also, we generally recognize interest income on long-term interest-bearing notes receivable as the interest accrues under the terms of the notes.</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Property and equipment are recorded at cost. Expenditures for major additions and improvements are capitalized. Minor replacements, maintenance and repairs are charged to expense as incurred.</w:t>
      </w:r>
    </w:p>
    <w:p>
      <w:pPr>
        <w:spacing w:after="0" w:line="213"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Depreciation is provided over the estimated useful lives of the related assets using the straight-line method. We assume no salvage value for our depreciable property and equipment. The estimated useful lives for significant property and equipment categories are as follows (in years):</w:t>
      </w:r>
    </w:p>
    <w:p>
      <w:pPr>
        <w:spacing w:after="0" w:line="35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Useful Lives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82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Vehicles — excluding rail haul cars</w:t>
            </w:r>
          </w:p>
        </w:tc>
        <w:tc>
          <w:tcPr>
            <w:tcW w:w="18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3 to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1020" w:type="dxa"/>
            <w:vAlign w:val="bottom"/>
          </w:tcPr>
          <w:p>
            <w:pPr>
              <w:jc w:val="right"/>
              <w:spacing w:after="0"/>
              <w:rPr>
                <w:sz w:val="20"/>
                <w:szCs w:val="20"/>
                <w:color w:val="auto"/>
              </w:rPr>
            </w:pPr>
            <w:r>
              <w:rPr>
                <w:rFonts w:ascii="Arial" w:cs="Arial" w:eastAsia="Arial" w:hAnsi="Arial"/>
                <w:sz w:val="18"/>
                <w:szCs w:val="18"/>
                <w:color w:val="auto"/>
              </w:rPr>
              <w:t>10 to</w:t>
            </w:r>
          </w:p>
        </w:tc>
        <w:tc>
          <w:tcPr>
            <w:tcW w:w="800" w:type="dxa"/>
            <w:vAlign w:val="bottom"/>
          </w:tcPr>
          <w:p>
            <w:pPr>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 — excluding aircraft</w:t>
            </w:r>
          </w:p>
        </w:tc>
        <w:tc>
          <w:tcPr>
            <w:tcW w:w="18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3 to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Machinery and equipment — aircraft</w:t>
            </w:r>
          </w:p>
        </w:tc>
        <w:tc>
          <w:tcPr>
            <w:tcW w:w="1020" w:type="dxa"/>
            <w:vAlign w:val="bottom"/>
          </w:tcPr>
          <w:p>
            <w:pPr>
              <w:jc w:val="center"/>
              <w:ind w:left="715"/>
              <w:spacing w:after="0"/>
              <w:rPr>
                <w:sz w:val="20"/>
                <w:szCs w:val="20"/>
                <w:color w:val="auto"/>
              </w:rPr>
            </w:pPr>
            <w:r>
              <w:rPr>
                <w:rFonts w:ascii="Arial" w:cs="Arial" w:eastAsia="Arial" w:hAnsi="Arial"/>
                <w:sz w:val="18"/>
                <w:szCs w:val="18"/>
                <w:color w:val="auto"/>
                <w:w w:val="89"/>
              </w:rPr>
              <w:t>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Buildings and improvements — excluding waste-to-energy facilities</w:t>
            </w:r>
          </w:p>
        </w:tc>
        <w:tc>
          <w:tcPr>
            <w:tcW w:w="18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5 to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and improvements — waste-to-energy facilities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up to</w:t>
            </w:r>
          </w:p>
        </w:tc>
        <w:tc>
          <w:tcPr>
            <w:tcW w:w="800" w:type="dxa"/>
            <w:vAlign w:val="bottom"/>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Furniture, fixtures and office equipment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 to</w:t>
            </w:r>
          </w:p>
        </w:tc>
        <w:tc>
          <w:tcPr>
            <w:tcW w:w="800" w:type="dxa"/>
            <w:vAlign w:val="bottom"/>
            <w:shd w:val="clear" w:color="auto" w:fill="EEEEEE"/>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capitalize certain costs associated with developing or obtaining internal-use software. These costs include external direct costs of materials and services used in developing or obtaining the software and payroll and payroll-related costs for employees directly associated with the software development project. We depreciate software development costs over a period of up to five years once the related systems are placed in service. We are currently assessing our options with respect to the implementation of a revenue management system with an accumulated cost basis at December 31, 2004 of approximately $80 million. No impairment of this asset has been required through December 31, 2004, although there are certain reasonably possible implementation alternatives that could result in impairment.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When property and equipment are retired, sold or otherwise disposed of, the cost and accumulated depreciation are removed from our accounts and any resulting gain or loss is included in results of operations as increases or offsets to operating expense for the period.</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lease certain property, plant and equipment in the ordinary course of our business. Our leases have varying terms. Some may include renewal or purchase options, escalation clauses, restrictions, penalties or other obligations that we consider in determining minimum lease payments. The leases are classified as either capital leases or operating leases, as appropriate.</w:t>
      </w:r>
    </w:p>
    <w:p>
      <w:pPr>
        <w:spacing w:after="0" w:line="221"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Operating leases — Management expects that in the normal course of business, operating leases will be renewed or replaced by other leases. Our future operating lease payments, for which we are contractually obligated as of December 31, 2004, are disclosed in Note 10.</w:t>
      </w:r>
    </w:p>
    <w:p>
      <w:pPr>
        <w:spacing w:after="0" w:line="166"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Capital leases — Assets under capital leases are capitalized using interest rates appropriate at the inception of each lease and are amortized over either the useful life of the asset or the lease term on a straight-line basis. The present value of the related lease payments is recorded as a debt obligation. Our future minimum annual capital lease payments are included in our total future debt obligations as disclosed in Note 7.</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Effective January 1, 2003, our method of accounting for landfill final capping, closure and post-closure changed as a result of our adoption of SFAS No. 143. With the exception of the accounting for capitalized and future landfill final capping costs, SFAS No. 143 does not change basic life-cycle accounting. The table below compares our historical practices to the method prescribed by SFAS No.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Current Practice</w:t>
      </w:r>
    </w:p>
    <w:p>
      <w:pPr>
        <w:spacing w:after="0" w:line="1" w:lineRule="exact"/>
        <w:rPr>
          <w:sz w:val="20"/>
          <w:szCs w:val="20"/>
          <w:color w:val="auto"/>
        </w:rPr>
      </w:pPr>
    </w:p>
    <w:p>
      <w:pPr>
        <w:ind w:left="40"/>
        <w:spacing w:after="0"/>
        <w:tabs>
          <w:tab w:leader="none" w:pos="4660" w:val="left"/>
          <w:tab w:leader="none" w:pos="864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Historical Practice</w:t>
      </w:r>
      <w:r>
        <w:rPr>
          <w:sz w:val="20"/>
          <w:szCs w:val="20"/>
          <w:color w:val="auto"/>
        </w:rPr>
        <w:tab/>
      </w:r>
      <w:r>
        <w:rPr>
          <w:rFonts w:ascii="Arial" w:cs="Arial" w:eastAsia="Arial" w:hAnsi="Arial"/>
          <w:sz w:val="12"/>
          <w:szCs w:val="12"/>
          <w:b w:val="1"/>
          <w:bCs w:val="1"/>
          <w:color w:val="auto"/>
        </w:rPr>
        <w:t>(Effective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15" w:lineRule="exact"/>
        <w:rPr>
          <w:sz w:val="20"/>
          <w:szCs w:val="20"/>
          <w:color w:val="auto"/>
        </w:rPr>
      </w:pPr>
    </w:p>
    <w:p>
      <w:pPr>
        <w:ind w:left="3340" w:hanging="3119"/>
        <w:spacing w:after="0" w:line="292" w:lineRule="auto"/>
        <w:tabs>
          <w:tab w:leader="none" w:pos="332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6"/>
          <w:szCs w:val="16"/>
          <w:color w:val="auto"/>
        </w:rPr>
        <w:t>Capital asset related to installation of flexible membrane and geosynthetic clay liners, drainage and compacted soil layers and topsoil constructed over areas of landfill where total airspace capacity has been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40" w:hanging="134"/>
        <w:spacing w:after="0" w:line="256" w:lineRule="auto"/>
        <w:rPr>
          <w:sz w:val="20"/>
          <w:szCs w:val="20"/>
          <w:color w:val="auto"/>
        </w:rPr>
      </w:pPr>
      <w:r>
        <w:rPr>
          <w:rFonts w:ascii="Arial" w:cs="Arial" w:eastAsia="Arial" w:hAnsi="Arial"/>
          <w:sz w:val="18"/>
          <w:szCs w:val="18"/>
          <w:color w:val="auto"/>
        </w:rPr>
        <w:t>Reflected as an asset retirement obligation, on a discounted basis, rather than a capital asset; each final capping event is recorded on a units of consumption basis as airspace is consumed</w:t>
      </w:r>
    </w:p>
    <w:p>
      <w:pPr>
        <w:spacing w:after="0" w:line="426" w:lineRule="exact"/>
        <w:rPr>
          <w:sz w:val="20"/>
          <w:szCs w:val="20"/>
          <w:color w:val="auto"/>
        </w:rPr>
      </w:pPr>
    </w:p>
    <w:p>
      <w:pPr>
        <w:sectPr>
          <w:pgSz w:w="11900" w:h="16838" w:orient="portrait"/>
          <w:cols w:equalWidth="0" w:num="2">
            <w:col w:w="7020" w:space="560"/>
            <w:col w:w="3820"/>
          </w:cols>
          <w:pgMar w:left="240" w:top="935" w:right="259" w:bottom="1440" w:gutter="0" w:footer="0" w:header="0"/>
          <w:type w:val="continuous"/>
        </w:sectPr>
      </w:pPr>
    </w:p>
    <w:p>
      <w:pPr>
        <w:ind w:left="360"/>
        <w:spacing w:after="0"/>
        <w:tabs>
          <w:tab w:leader="none" w:pos="3320" w:val="left"/>
          <w:tab w:leader="none" w:pos="7420" w:val="left"/>
        </w:tabs>
        <w:rPr>
          <w:sz w:val="20"/>
          <w:szCs w:val="20"/>
          <w:color w:val="auto"/>
        </w:rPr>
      </w:pPr>
      <w:r>
        <w:rPr>
          <w:rFonts w:ascii="Arial" w:cs="Arial" w:eastAsia="Arial" w:hAnsi="Arial"/>
          <w:sz w:val="18"/>
          <w:szCs w:val="18"/>
          <w:color w:val="auto"/>
        </w:rPr>
        <w:t>Post-closure</w:t>
      </w:r>
      <w:r>
        <w:rPr>
          <w:sz w:val="20"/>
          <w:szCs w:val="20"/>
          <w:color w:val="auto"/>
        </w:rPr>
        <w:tab/>
      </w:r>
      <w:r>
        <w:rPr>
          <w:rFonts w:ascii="Arial" w:cs="Arial" w:eastAsia="Arial" w:hAnsi="Arial"/>
          <w:sz w:val="18"/>
          <w:szCs w:val="18"/>
          <w:color w:val="auto"/>
        </w:rPr>
        <w:t>Includes routine monitoring and maintenance of a</w:t>
      </w:r>
      <w:r>
        <w:rPr>
          <w:sz w:val="20"/>
          <w:szCs w:val="20"/>
          <w:color w:val="auto"/>
        </w:rPr>
        <w:tab/>
      </w:r>
      <w:r>
        <w:rPr>
          <w:rFonts w:ascii="Arial" w:cs="Arial" w:eastAsia="Arial" w:hAnsi="Arial"/>
          <w:sz w:val="15"/>
          <w:szCs w:val="15"/>
          <w:color w:val="auto"/>
        </w:rPr>
        <w:t>No change</w:t>
      </w:r>
    </w:p>
    <w:p>
      <w:pPr>
        <w:spacing w:after="0" w:line="1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landfill after it has closed, ceased to accept waste</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and been certified as closed by the applicable state</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p>
      <w:pPr>
        <w:spacing w:after="0" w:line="232" w:lineRule="exact"/>
        <w:rPr>
          <w:sz w:val="20"/>
          <w:szCs w:val="20"/>
          <w:color w:val="auto"/>
        </w:rPr>
      </w:pPr>
    </w:p>
    <w:p>
      <w:pPr>
        <w:ind w:left="360"/>
        <w:spacing w:after="0"/>
        <w:tabs>
          <w:tab w:leader="none" w:pos="3320" w:val="left"/>
        </w:tabs>
        <w:rPr>
          <w:sz w:val="20"/>
          <w:szCs w:val="20"/>
          <w:color w:val="auto"/>
        </w:rPr>
      </w:pPr>
      <w:r>
        <w:rPr>
          <w:rFonts w:ascii="Arial" w:cs="Arial" w:eastAsia="Arial" w:hAnsi="Arial"/>
          <w:sz w:val="16"/>
          <w:szCs w:val="16"/>
          <w:color w:val="auto"/>
        </w:rPr>
        <w:t>Closure</w:t>
      </w:r>
      <w:r>
        <w:rPr>
          <w:sz w:val="20"/>
          <w:szCs w:val="20"/>
          <w:color w:val="auto"/>
        </w:rPr>
        <w:tab/>
      </w:r>
      <w:r>
        <w:rPr>
          <w:rFonts w:ascii="Arial" w:cs="Arial" w:eastAsia="Arial" w:hAnsi="Arial"/>
          <w:sz w:val="16"/>
          <w:szCs w:val="16"/>
          <w:color w:val="auto"/>
        </w:rPr>
        <w:t>Includes last final capping event, final portion of</w:t>
      </w:r>
    </w:p>
    <w:p>
      <w:pPr>
        <w:spacing w:after="0" w:line="38"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methane gas collection system to be constructed,</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demobilization, and the routine maintenance costs</w:t>
      </w:r>
    </w:p>
    <w:p>
      <w:pPr>
        <w:spacing w:after="0" w:line="44"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incurred after a site ceases to accept waste, but</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prior to being certified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120" w:hanging="134"/>
        <w:spacing w:after="0" w:line="332" w:lineRule="auto"/>
        <w:rPr>
          <w:sz w:val="20"/>
          <w:szCs w:val="20"/>
          <w:color w:val="auto"/>
        </w:rPr>
      </w:pPr>
      <w:r>
        <w:rPr>
          <w:rFonts w:ascii="Arial" w:cs="Arial" w:eastAsia="Arial" w:hAnsi="Arial"/>
          <w:sz w:val="16"/>
          <w:szCs w:val="16"/>
          <w:color w:val="auto"/>
        </w:rPr>
        <w:t>No change, except that last final capping event of each landfill will be treated as a part of final capping</w:t>
      </w:r>
    </w:p>
    <w:p>
      <w:pPr>
        <w:spacing w:after="0" w:line="768" w:lineRule="exact"/>
        <w:rPr>
          <w:sz w:val="20"/>
          <w:szCs w:val="20"/>
          <w:color w:val="auto"/>
        </w:rPr>
      </w:pPr>
    </w:p>
    <w:p>
      <w:pPr>
        <w:sectPr>
          <w:pgSz w:w="11900" w:h="16838" w:orient="portrait"/>
          <w:cols w:equalWidth="0" w:num="2">
            <w:col w:w="7000" w:space="580"/>
            <w:col w:w="3820"/>
          </w:cols>
          <w:pgMar w:left="240" w:top="935" w:right="25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Current Practice</w:t>
      </w:r>
    </w:p>
    <w:p>
      <w:pPr>
        <w:spacing w:after="0" w:line="1" w:lineRule="exact"/>
        <w:rPr>
          <w:sz w:val="20"/>
          <w:szCs w:val="20"/>
          <w:color w:val="auto"/>
        </w:rPr>
      </w:pPr>
    </w:p>
    <w:p>
      <w:pPr>
        <w:ind w:left="40"/>
        <w:spacing w:after="0"/>
        <w:tabs>
          <w:tab w:leader="none" w:pos="4660" w:val="left"/>
          <w:tab w:leader="none" w:pos="864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Historical Practice</w:t>
      </w:r>
      <w:r>
        <w:rPr>
          <w:sz w:val="20"/>
          <w:szCs w:val="20"/>
          <w:color w:val="auto"/>
        </w:rPr>
        <w:tab/>
      </w:r>
      <w:r>
        <w:rPr>
          <w:rFonts w:ascii="Arial" w:cs="Arial" w:eastAsia="Arial" w:hAnsi="Arial"/>
          <w:sz w:val="12"/>
          <w:szCs w:val="12"/>
          <w:b w:val="1"/>
          <w:bCs w:val="1"/>
          <w:color w:val="auto"/>
        </w:rPr>
        <w:t>(Effective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08"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b w:val="1"/>
          <w:bCs w:val="1"/>
          <w:i w:val="1"/>
          <w:iCs w:val="1"/>
          <w:color w:val="auto"/>
        </w:rPr>
        <w:t>Discount Rate</w:t>
      </w:r>
      <w:r>
        <w:rPr>
          <w:sz w:val="20"/>
          <w:szCs w:val="20"/>
          <w:color w:val="auto"/>
        </w:rPr>
        <w:tab/>
      </w:r>
      <w:r>
        <w:rPr>
          <w:rFonts w:ascii="Arial" w:cs="Arial" w:eastAsia="Arial" w:hAnsi="Arial"/>
          <w:sz w:val="15"/>
          <w:szCs w:val="15"/>
          <w:color w:val="auto"/>
        </w:rPr>
        <w:t>Risk-free rate (5.0% at December 31, 2002);</w:t>
      </w:r>
    </w:p>
    <w:p>
      <w:pPr>
        <w:spacing w:after="0" w:line="15"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determined annually unless interim changes would</w:t>
      </w:r>
    </w:p>
    <w:p>
      <w:pPr>
        <w:spacing w:after="0" w:line="4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significantly impact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hanging="134"/>
        <w:spacing w:after="0" w:line="256" w:lineRule="auto"/>
        <w:rPr>
          <w:sz w:val="20"/>
          <w:szCs w:val="20"/>
          <w:color w:val="auto"/>
        </w:rPr>
      </w:pPr>
      <w:r>
        <w:rPr>
          <w:rFonts w:ascii="Arial" w:cs="Arial" w:eastAsia="Arial" w:hAnsi="Arial"/>
          <w:sz w:val="18"/>
          <w:szCs w:val="18"/>
          <w:color w:val="auto"/>
        </w:rPr>
        <w:t>Credit-adjusted, risk-free rate (7.25% during 2003 and 6.25% during 2004); determined annually unless interim changes would significantly impact results of operations</w:t>
      </w:r>
    </w:p>
    <w:p>
      <w:pPr>
        <w:spacing w:after="0" w:line="200" w:lineRule="exact"/>
        <w:rPr>
          <w:sz w:val="20"/>
          <w:szCs w:val="20"/>
          <w:color w:val="auto"/>
        </w:rPr>
      </w:pPr>
    </w:p>
    <w:p>
      <w:pPr>
        <w:sectPr>
          <w:pgSz w:w="11900" w:h="16838" w:orient="portrait"/>
          <w:cols w:equalWidth="0" w:num="2">
            <w:col w:w="7040" w:space="540"/>
            <w:col w:w="3840"/>
          </w:cols>
          <w:pgMar w:left="240" w:top="935" w:right="239" w:bottom="1440" w:gutter="0" w:footer="0" w:header="0"/>
          <w:type w:val="continuous"/>
        </w:sectPr>
      </w:pPr>
    </w:p>
    <w:p>
      <w:pPr>
        <w:spacing w:after="0" w:line="1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b w:val="1"/>
          <w:bCs w:val="1"/>
          <w:i w:val="1"/>
          <w:iCs w:val="1"/>
          <w:color w:val="auto"/>
        </w:rPr>
        <w:t>Cost Estimates</w:t>
      </w:r>
      <w:r>
        <w:rPr>
          <w:sz w:val="20"/>
          <w:szCs w:val="20"/>
          <w:color w:val="auto"/>
        </w:rPr>
        <w:tab/>
      </w:r>
      <w:r>
        <w:rPr>
          <w:rFonts w:ascii="Arial" w:cs="Arial" w:eastAsia="Arial" w:hAnsi="Arial"/>
          <w:sz w:val="15"/>
          <w:szCs w:val="15"/>
          <w:color w:val="auto"/>
        </w:rPr>
        <w:t>Costs were estimated based on performance,</w:t>
      </w:r>
    </w:p>
    <w:p>
      <w:pPr>
        <w:spacing w:after="0" w:line="1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principally by third parties, with a small portion</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performed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hanging="134"/>
        <w:spacing w:after="0" w:line="256" w:lineRule="auto"/>
        <w:rPr>
          <w:sz w:val="20"/>
          <w:szCs w:val="20"/>
          <w:color w:val="auto"/>
        </w:rPr>
      </w:pPr>
      <w:r>
        <w:rPr>
          <w:rFonts w:ascii="Arial" w:cs="Arial" w:eastAsia="Arial" w:hAnsi="Arial"/>
          <w:sz w:val="18"/>
          <w:szCs w:val="18"/>
          <w:color w:val="auto"/>
        </w:rPr>
        <w:t>No change, except that the cost of any activities performed internally must be increased to represent an estimate of the amount a third party would charge to perform such activity</w:t>
      </w:r>
    </w:p>
    <w:p>
      <w:pPr>
        <w:spacing w:after="0" w:line="200" w:lineRule="exact"/>
        <w:rPr>
          <w:sz w:val="20"/>
          <w:szCs w:val="20"/>
          <w:color w:val="auto"/>
        </w:rPr>
      </w:pPr>
    </w:p>
    <w:p>
      <w:pPr>
        <w:sectPr>
          <w:pgSz w:w="11900" w:h="16838" w:orient="portrait"/>
          <w:cols w:equalWidth="0" w:num="2">
            <w:col w:w="6860" w:space="720"/>
            <w:col w:w="3840"/>
          </w:cols>
          <w:pgMar w:left="240" w:top="935" w:right="239" w:bottom="1440" w:gutter="0" w:footer="0" w:header="0"/>
          <w:type w:val="continuous"/>
        </w:sectPr>
      </w:pPr>
    </w:p>
    <w:p>
      <w:pPr>
        <w:spacing w:after="0" w:line="11" w:lineRule="exact"/>
        <w:rPr>
          <w:sz w:val="20"/>
          <w:szCs w:val="20"/>
          <w:color w:val="auto"/>
        </w:rPr>
      </w:pPr>
    </w:p>
    <w:p>
      <w:pPr>
        <w:spacing w:after="0"/>
        <w:tabs>
          <w:tab w:leader="none" w:pos="3320" w:val="left"/>
        </w:tabs>
        <w:rPr>
          <w:sz w:val="20"/>
          <w:szCs w:val="20"/>
          <w:color w:val="auto"/>
        </w:rPr>
      </w:pPr>
      <w:r>
        <w:rPr>
          <w:rFonts w:ascii="Arial" w:cs="Arial" w:eastAsia="Arial" w:hAnsi="Arial"/>
          <w:sz w:val="16"/>
          <w:szCs w:val="16"/>
          <w:b w:val="1"/>
          <w:bCs w:val="1"/>
          <w:i w:val="1"/>
          <w:iCs w:val="1"/>
          <w:color w:val="auto"/>
        </w:rPr>
        <w:t>Inflation</w:t>
      </w:r>
      <w:r>
        <w:rPr>
          <w:sz w:val="20"/>
          <w:szCs w:val="20"/>
          <w:color w:val="auto"/>
        </w:rPr>
        <w:tab/>
      </w:r>
      <w:r>
        <w:rPr>
          <w:rFonts w:ascii="Arial" w:cs="Arial" w:eastAsia="Arial" w:hAnsi="Arial"/>
          <w:sz w:val="16"/>
          <w:szCs w:val="16"/>
          <w:color w:val="auto"/>
        </w:rPr>
        <w:t>Cost was inflated to period of performance (2.0% at</w:t>
      </w:r>
    </w:p>
    <w:p>
      <w:pPr>
        <w:spacing w:after="0" w:line="38"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December 31, 2002); determined annually unless</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interim changes would significantly impact results</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hanging="134"/>
        <w:spacing w:after="0" w:line="323" w:lineRule="auto"/>
        <w:rPr>
          <w:sz w:val="20"/>
          <w:szCs w:val="20"/>
          <w:color w:val="auto"/>
        </w:rPr>
      </w:pPr>
      <w:r>
        <w:rPr>
          <w:rFonts w:ascii="Arial" w:cs="Arial" w:eastAsia="Arial" w:hAnsi="Arial"/>
          <w:sz w:val="15"/>
          <w:szCs w:val="15"/>
          <w:color w:val="auto"/>
        </w:rPr>
        <w:t>Inflation rate changed to 2.5% effective January 1, 2003 (this inflation rate was used throughout 2003 and 2004); determined annually unless interim changes would significantly impact results of operations</w:t>
      </w:r>
    </w:p>
    <w:p>
      <w:pPr>
        <w:spacing w:after="0" w:line="165" w:lineRule="exact"/>
        <w:rPr>
          <w:sz w:val="20"/>
          <w:szCs w:val="20"/>
          <w:color w:val="auto"/>
        </w:rPr>
      </w:pPr>
    </w:p>
    <w:p>
      <w:pPr>
        <w:sectPr>
          <w:pgSz w:w="11900" w:h="16838" w:orient="portrait"/>
          <w:cols w:equalWidth="0" w:num="2">
            <w:col w:w="7020" w:space="560"/>
            <w:col w:w="3840"/>
          </w:cols>
          <w:pgMar w:left="240" w:top="935"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Recognition of Assets and Liabilities:</w:t>
      </w:r>
    </w:p>
    <w:p>
      <w:pPr>
        <w:spacing w:after="0" w:line="15" w:lineRule="exact"/>
        <w:rPr>
          <w:sz w:val="20"/>
          <w:szCs w:val="20"/>
          <w:color w:val="auto"/>
        </w:rPr>
      </w:pPr>
    </w:p>
    <w:p>
      <w:pPr>
        <w:ind w:left="360"/>
        <w:spacing w:after="0"/>
        <w:tabs>
          <w:tab w:leader="none" w:pos="332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5"/>
          <w:szCs w:val="15"/>
          <w:color w:val="auto"/>
        </w:rPr>
        <w:t>Costs were capitalized as spent, except for the last</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final capping event occurring after the landfill</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closed, which was accounted for as part of closure;</w:t>
      </w:r>
    </w:p>
    <w:p>
      <w:pPr>
        <w:spacing w:after="0" w:line="44"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spending was included in capital expenditures</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within investing activities in the statement of cash</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hanging="134"/>
        <w:spacing w:after="0" w:line="312" w:lineRule="auto"/>
        <w:rPr>
          <w:sz w:val="20"/>
          <w:szCs w:val="20"/>
          <w:color w:val="auto"/>
        </w:rPr>
      </w:pPr>
      <w:r>
        <w:rPr>
          <w:rFonts w:ascii="Arial" w:cs="Arial" w:eastAsia="Arial" w:hAnsi="Arial"/>
          <w:sz w:val="15"/>
          <w:szCs w:val="15"/>
          <w:color w:val="auto"/>
        </w:rPr>
        <w:t>Each final capping event is accounted for as a discrete obligation; all final capping is recorded as a liability and asset, based on the discounted cash flow associated with each final capping event, as airspace is consumed related to the specific final capping event; spending is reflected as a change in liabilities within operating activities in the statement of cash flows</w:t>
      </w:r>
    </w:p>
    <w:p>
      <w:pPr>
        <w:spacing w:after="0" w:line="173" w:lineRule="exact"/>
        <w:rPr>
          <w:sz w:val="20"/>
          <w:szCs w:val="20"/>
          <w:color w:val="auto"/>
        </w:rPr>
      </w:pPr>
    </w:p>
    <w:p>
      <w:pPr>
        <w:sectPr>
          <w:pgSz w:w="11900" w:h="16838" w:orient="portrait"/>
          <w:cols w:equalWidth="0" w:num="2">
            <w:col w:w="7060" w:space="520"/>
            <w:col w:w="3840"/>
          </w:cols>
          <w:pgMar w:left="240" w:top="935" w:right="239" w:bottom="1440" w:gutter="0" w:footer="0" w:header="0"/>
          <w:type w:val="continuous"/>
        </w:sectPr>
      </w:pPr>
    </w:p>
    <w:p>
      <w:pPr>
        <w:ind w:left="360"/>
        <w:spacing w:after="0"/>
        <w:tabs>
          <w:tab w:leader="none" w:pos="3320" w:val="left"/>
        </w:tabs>
        <w:rPr>
          <w:sz w:val="20"/>
          <w:szCs w:val="20"/>
          <w:color w:val="auto"/>
        </w:rPr>
      </w:pPr>
      <w:r>
        <w:rPr>
          <w:rFonts w:ascii="Arial" w:cs="Arial" w:eastAsia="Arial" w:hAnsi="Arial"/>
          <w:sz w:val="18"/>
          <w:szCs w:val="18"/>
          <w:color w:val="auto"/>
        </w:rPr>
        <w:t>Closure and post-closure</w:t>
      </w:r>
      <w:r>
        <w:rPr>
          <w:sz w:val="20"/>
          <w:szCs w:val="20"/>
          <w:color w:val="auto"/>
        </w:rPr>
        <w:tab/>
      </w:r>
      <w:r>
        <w:rPr>
          <w:rFonts w:ascii="Arial" w:cs="Arial" w:eastAsia="Arial" w:hAnsi="Arial"/>
          <w:sz w:val="16"/>
          <w:szCs w:val="16"/>
          <w:color w:val="auto"/>
        </w:rPr>
        <w:t>Accrued over the life of the landfill; the discounted</w:t>
      </w:r>
    </w:p>
    <w:p>
      <w:pPr>
        <w:spacing w:after="0" w:line="1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cash flow associated with such liabilities was</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recorded to accrued liabilities, with a</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corresponding charge to cost of operations as</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airspace is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hanging="134"/>
        <w:spacing w:after="0" w:line="298" w:lineRule="auto"/>
        <w:rPr>
          <w:sz w:val="20"/>
          <w:szCs w:val="20"/>
          <w:color w:val="auto"/>
        </w:rPr>
      </w:pPr>
      <w:r>
        <w:rPr>
          <w:rFonts w:ascii="Arial" w:cs="Arial" w:eastAsia="Arial" w:hAnsi="Arial"/>
          <w:sz w:val="16"/>
          <w:szCs w:val="16"/>
          <w:color w:val="auto"/>
        </w:rPr>
        <w:t>Accrued over the life of the landfill; the discounted cash flow associated with such liabilities is recorded to accrued liabilities, with a corresponding increase in landfill assets as airspace is consumed</w:t>
      </w:r>
    </w:p>
    <w:p>
      <w:pPr>
        <w:spacing w:after="0" w:line="363" w:lineRule="exact"/>
        <w:rPr>
          <w:sz w:val="20"/>
          <w:szCs w:val="20"/>
          <w:color w:val="auto"/>
        </w:rPr>
      </w:pPr>
    </w:p>
    <w:p>
      <w:pPr>
        <w:sectPr>
          <w:pgSz w:w="11900" w:h="16838" w:orient="portrait"/>
          <w:cols w:equalWidth="0" w:num="2">
            <w:col w:w="6940" w:space="640"/>
            <w:col w:w="3840"/>
          </w:cols>
          <w:pgMar w:left="240" w:top="935" w:right="2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Current Practice</w:t>
      </w:r>
    </w:p>
    <w:p>
      <w:pPr>
        <w:spacing w:after="0" w:line="1" w:lineRule="exact"/>
        <w:rPr>
          <w:sz w:val="20"/>
          <w:szCs w:val="20"/>
          <w:color w:val="auto"/>
        </w:rPr>
      </w:pPr>
    </w:p>
    <w:p>
      <w:pPr>
        <w:ind w:left="40"/>
        <w:spacing w:after="0"/>
        <w:tabs>
          <w:tab w:leader="none" w:pos="4660" w:val="left"/>
          <w:tab w:leader="none" w:pos="864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Historical Practice</w:t>
      </w:r>
      <w:r>
        <w:rPr>
          <w:sz w:val="20"/>
          <w:szCs w:val="20"/>
          <w:color w:val="auto"/>
        </w:rPr>
        <w:tab/>
      </w:r>
      <w:r>
        <w:rPr>
          <w:rFonts w:ascii="Arial" w:cs="Arial" w:eastAsia="Arial" w:hAnsi="Arial"/>
          <w:sz w:val="12"/>
          <w:szCs w:val="12"/>
          <w:b w:val="1"/>
          <w:bCs w:val="1"/>
          <w:color w:val="auto"/>
        </w:rPr>
        <w:t>(Effective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Operations Expense:</w:t>
      </w:r>
    </w:p>
    <w:p>
      <w:pPr>
        <w:spacing w:after="0" w:line="15" w:lineRule="exact"/>
        <w:rPr>
          <w:sz w:val="20"/>
          <w:szCs w:val="20"/>
          <w:color w:val="auto"/>
        </w:rPr>
      </w:pPr>
    </w:p>
    <w:p>
      <w:pPr>
        <w:jc w:val="both"/>
        <w:ind w:left="3340" w:right="200" w:hanging="3119"/>
        <w:spacing w:after="0" w:line="255" w:lineRule="auto"/>
        <w:tabs>
          <w:tab w:leader="none" w:pos="3320" w:val="left"/>
        </w:tabs>
        <w:rPr>
          <w:sz w:val="20"/>
          <w:szCs w:val="20"/>
          <w:color w:val="auto"/>
        </w:rPr>
      </w:pPr>
      <w:r>
        <w:rPr>
          <w:rFonts w:ascii="Arial" w:cs="Arial" w:eastAsia="Arial" w:hAnsi="Arial"/>
          <w:sz w:val="18"/>
          <w:szCs w:val="18"/>
          <w:color w:val="auto"/>
        </w:rPr>
        <w:t>Liability accrual</w:t>
      </w:r>
      <w:r>
        <w:rPr>
          <w:sz w:val="20"/>
          <w:szCs w:val="20"/>
          <w:color w:val="auto"/>
        </w:rPr>
        <w:tab/>
      </w:r>
      <w:r>
        <w:rPr>
          <w:rFonts w:ascii="Arial" w:cs="Arial" w:eastAsia="Arial" w:hAnsi="Arial"/>
          <w:sz w:val="18"/>
          <w:szCs w:val="18"/>
          <w:color w:val="auto"/>
        </w:rPr>
        <w:t>Expense charged to cost of operations at same amount accrued to liability for both open and closed landfills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20" w:hanging="134"/>
        <w:spacing w:after="0" w:line="298" w:lineRule="auto"/>
        <w:rPr>
          <w:sz w:val="20"/>
          <w:szCs w:val="20"/>
          <w:color w:val="auto"/>
        </w:rPr>
      </w:pPr>
      <w:r>
        <w:rPr>
          <w:rFonts w:ascii="Arial" w:cs="Arial" w:eastAsia="Arial" w:hAnsi="Arial"/>
          <w:sz w:val="16"/>
          <w:szCs w:val="16"/>
          <w:color w:val="auto"/>
        </w:rPr>
        <w:t>Revisions in liability estimates result in a corresponding change in the asset; changes in fully accrued obligations and gains or losses on settlements of liabilities are reflected in results of operations</w:t>
      </w:r>
    </w:p>
    <w:p>
      <w:pPr>
        <w:spacing w:after="0" w:line="180" w:lineRule="exact"/>
        <w:rPr>
          <w:sz w:val="20"/>
          <w:szCs w:val="20"/>
          <w:color w:val="auto"/>
        </w:rPr>
      </w:pPr>
    </w:p>
    <w:p>
      <w:pPr>
        <w:sectPr>
          <w:pgSz w:w="11900" w:h="16838" w:orient="portrait"/>
          <w:cols w:equalWidth="0" w:num="2">
            <w:col w:w="6860" w:space="720"/>
            <w:col w:w="3820"/>
          </w:cols>
          <w:pgMar w:left="240" w:top="936" w:right="259" w:bottom="1440" w:gutter="0" w:footer="0" w:header="0"/>
          <w:type w:val="continuous"/>
        </w:sectPr>
      </w:pPr>
    </w:p>
    <w:p>
      <w:pPr>
        <w:ind w:left="360"/>
        <w:spacing w:after="0"/>
        <w:tabs>
          <w:tab w:leader="none" w:pos="3320" w:val="left"/>
        </w:tabs>
        <w:rPr>
          <w:sz w:val="20"/>
          <w:szCs w:val="20"/>
          <w:color w:val="auto"/>
        </w:rPr>
      </w:pPr>
      <w:r>
        <w:rPr>
          <w:rFonts w:ascii="Arial" w:cs="Arial" w:eastAsia="Arial" w:hAnsi="Arial"/>
          <w:sz w:val="18"/>
          <w:szCs w:val="18"/>
          <w:color w:val="auto"/>
        </w:rPr>
        <w:t>Landfill asset amortization</w:t>
      </w:r>
      <w:r>
        <w:rPr>
          <w:sz w:val="20"/>
          <w:szCs w:val="20"/>
          <w:color w:val="auto"/>
        </w:rPr>
        <w:tab/>
      </w:r>
      <w:r>
        <w:rPr>
          <w:rFonts w:ascii="Arial" w:cs="Arial" w:eastAsia="Arial" w:hAnsi="Arial"/>
          <w:sz w:val="16"/>
          <w:szCs w:val="16"/>
          <w:color w:val="auto"/>
        </w:rPr>
        <w:t>Not applicable for landfill closure and post closure</w:t>
      </w:r>
    </w:p>
    <w:p>
      <w:pPr>
        <w:spacing w:after="0" w:line="1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obligations; for final capping, the capitalized and</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expected future costs (on an undiscounted basis)</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were amortized as airspace was consumed over the</w:t>
      </w:r>
    </w:p>
    <w:p>
      <w:pPr>
        <w:spacing w:after="0" w:line="4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life of the landfill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hanging="134"/>
        <w:spacing w:after="0" w:line="256" w:lineRule="auto"/>
        <w:rPr>
          <w:sz w:val="20"/>
          <w:szCs w:val="20"/>
          <w:color w:val="auto"/>
        </w:rPr>
      </w:pPr>
      <w:r>
        <w:rPr>
          <w:rFonts w:ascii="Arial" w:cs="Arial" w:eastAsia="Arial" w:hAnsi="Arial"/>
          <w:sz w:val="18"/>
          <w:szCs w:val="18"/>
          <w:color w:val="auto"/>
        </w:rPr>
        <w:t>Landfill asset is amortized to depreciation and amortization expense as airspace is consumed over the life of the specific final capping event or life of landfill for closure and post-closure</w:t>
      </w:r>
    </w:p>
    <w:p>
      <w:pPr>
        <w:spacing w:after="0" w:line="394" w:lineRule="exact"/>
        <w:rPr>
          <w:sz w:val="20"/>
          <w:szCs w:val="20"/>
          <w:color w:val="auto"/>
        </w:rPr>
      </w:pPr>
    </w:p>
    <w:p>
      <w:pPr>
        <w:sectPr>
          <w:pgSz w:w="11900" w:h="16838" w:orient="portrait"/>
          <w:cols w:equalWidth="0" w:num="2">
            <w:col w:w="7060" w:space="520"/>
            <w:col w:w="3820"/>
          </w:cols>
          <w:pgMar w:left="240" w:top="936" w:right="259" w:bottom="1440" w:gutter="0" w:footer="0" w:header="0"/>
          <w:type w:val="continuous"/>
        </w:sectPr>
      </w:pPr>
    </w:p>
    <w:p>
      <w:pPr>
        <w:spacing w:after="0" w:line="32" w:lineRule="exact"/>
        <w:rPr>
          <w:sz w:val="20"/>
          <w:szCs w:val="20"/>
          <w:color w:val="auto"/>
        </w:rPr>
      </w:pPr>
    </w:p>
    <w:p>
      <w:pPr>
        <w:ind w:left="360"/>
        <w:spacing w:after="0"/>
        <w:tabs>
          <w:tab w:leader="none" w:pos="3320" w:val="left"/>
        </w:tabs>
        <w:rPr>
          <w:sz w:val="20"/>
          <w:szCs w:val="20"/>
          <w:color w:val="auto"/>
        </w:rPr>
      </w:pPr>
      <w:r>
        <w:rPr>
          <w:rFonts w:ascii="Arial" w:cs="Arial" w:eastAsia="Arial" w:hAnsi="Arial"/>
          <w:sz w:val="15"/>
          <w:szCs w:val="15"/>
          <w:color w:val="auto"/>
        </w:rPr>
        <w:t>Accretion</w:t>
      </w:r>
      <w:r>
        <w:rPr>
          <w:sz w:val="20"/>
          <w:szCs w:val="20"/>
          <w:color w:val="auto"/>
        </w:rPr>
        <w:tab/>
      </w:r>
      <w:r>
        <w:rPr>
          <w:rFonts w:ascii="Arial" w:cs="Arial" w:eastAsia="Arial" w:hAnsi="Arial"/>
          <w:sz w:val="15"/>
          <w:szCs w:val="15"/>
          <w:color w:val="auto"/>
        </w:rPr>
        <w:t>Expense, charged to cost of operations, was accrued</w:t>
      </w:r>
    </w:p>
    <w:p>
      <w:pPr>
        <w:spacing w:after="0" w:line="50"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at risk-free rate over the life of the landfill as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airspace was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hanging="134"/>
        <w:spacing w:after="0" w:line="256" w:lineRule="auto"/>
        <w:rPr>
          <w:sz w:val="20"/>
          <w:szCs w:val="20"/>
          <w:color w:val="auto"/>
        </w:rPr>
      </w:pPr>
      <w:r>
        <w:rPr>
          <w:rFonts w:ascii="Arial" w:cs="Arial" w:eastAsia="Arial" w:hAnsi="Arial"/>
          <w:sz w:val="18"/>
          <w:szCs w:val="18"/>
          <w:color w:val="auto"/>
        </w:rPr>
        <w:t>Expense, charged to cost of operations, is accreted at credit- adjusted, risk-free rate (7.25% during 2003 and 6.25% during 2004) under the effective interest method</w:t>
      </w:r>
    </w:p>
    <w:p>
      <w:pPr>
        <w:spacing w:after="0" w:line="200" w:lineRule="exact"/>
        <w:rPr>
          <w:sz w:val="20"/>
          <w:szCs w:val="20"/>
          <w:color w:val="auto"/>
        </w:rPr>
      </w:pPr>
    </w:p>
    <w:p>
      <w:pPr>
        <w:sectPr>
          <w:pgSz w:w="11900" w:h="16838" w:orient="portrait"/>
          <w:cols w:equalWidth="0" w:num="2">
            <w:col w:w="7000" w:space="580"/>
            <w:col w:w="3820"/>
          </w:cols>
          <w:pgMar w:left="240" w:top="936" w:right="259" w:bottom="1440" w:gutter="0" w:footer="0" w:header="0"/>
          <w:type w:val="continuous"/>
        </w:sectPr>
      </w:pPr>
    </w:p>
    <w:p>
      <w:pPr>
        <w:spacing w:after="0" w:line="25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cost estimates for final capping, closure and post-closure activities at landfills for which we have responsibility are estimated based on our interpretations of current requirements and proposed or anticipated regulatory changes. We also estimate additional costs, pursuant to the requirements of SFAS No. 143, based on the amount a third party would charge us to perform such activities even when we expect to perform these activities internally. Additionally, we estimate the airspace to be consumed related to each final capping event and the timing of each final capping event and closure and post-closure activities. Because landfill final capping, closure and post-closure obligations are measured at estimated fair value using present value techniques, changes in the estimated timing of future landfill final capping and closure and post-closure activities would have an effect on these liabilities, related assets and results of operations.</w:t>
      </w:r>
    </w:p>
    <w:p>
      <w:pPr>
        <w:spacing w:after="0" w:line="22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Landfill Costs — We estimate the total cost to develop each of our landfill sites to its final capacity.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and on-site road construction and other capital infrastructure costs. Additionally, landfill development includes all land purchases for landfill footprint and required landfill buffer property. The projection of these landfill costs are dependent, in part, on future events. The remaining amortizable basis related to costs to develop a site to its final capacity includes amounts previously expended and capitalized, net of accumulated airspace amortization, and projections of future purchase and development costs.</w:t>
      </w:r>
    </w:p>
    <w:p>
      <w:pPr>
        <w:spacing w:after="0" w:line="20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Final Capping Costs — We estimate the cost for each final capping event based on the area to be finally capped and the capping materials and activities required. The estimates also consider when these costs would actually be paid and factor in inflation and discount rates. Our engineering personnel allocate final landfill capping costs to specific capping events. They then quantify the landfill capacity associated with each final capping event and the final capping costs for each event are amortized over the related capacity associated with the event as waste is disposed of at the landfill. We review these costs annually or more often, 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type w:val="continuous"/>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significant facts change. Changes in estimates, such as timing or cost of construction, for final capping events where the associated capacity is fully consumed immediately impact the required liability and the corresponding asset. However, as the change in estimate relates to a fully consumed asset, the adjustment to the asset must be amortized immediately through expense.</w:t>
      </w:r>
    </w:p>
    <w:p>
      <w:pPr>
        <w:spacing w:after="0" w:line="22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Closure and Post-Closure Costs — We base our estimates for closure and post-closure costs on our interpretations of permit and regulatory requirements for closure and post-closure maintenance and monitoring. The estimates for landfill closure and post-closure costs also consider when the costs would actually be paid and factor in, where appropriate, inflation and discount rates. The possibility of changing legal and regulatory requirements and the forward-looking nature of these types of costs make any estimation or assumption uncertain.</w:t>
      </w:r>
    </w:p>
    <w:p>
      <w:pPr>
        <w:spacing w:after="0" w:line="2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Available Airspace — Our engineers are responsible for determining available airspace at our landfills. This is done by using surveys and other methods to calculate, based on permit mandated height restrictions and other factors, how much airspace is left to fill and how much waste can be disposed of at a landfill before it has reached its final capacity.</w:t>
      </w:r>
    </w:p>
    <w:p>
      <w:pPr>
        <w:spacing w:after="0" w:line="221"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Expansion Airspace — We also include currently unpermitted airspace in our estimate of available airspace in certain circumstances. First, to include airspace associated with an expansion effort, we must generally expect the initial expansion permit application to be submitted within one year, and the expansion permit to be received within five years. Second, we must believe the success of obtaining the final expansion permit is likely, using the following criteria:</w:t>
      </w:r>
    </w:p>
    <w:p>
      <w:pPr>
        <w:spacing w:after="0" w:line="142" w:lineRule="exact"/>
        <w:rPr>
          <w:sz w:val="20"/>
          <w:szCs w:val="20"/>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Personnel are actively working to obtain land use and local, state or provincial approvals for an expansion of an existing landfill;</w:t>
      </w:r>
    </w:p>
    <w:p>
      <w:pPr>
        <w:spacing w:after="0" w:line="279"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we or the respective landfill owners have a legal right to use or obtain land to be included in the expansion plan;</w:t>
      </w:r>
    </w:p>
    <w:p>
      <w:pPr>
        <w:spacing w:after="0" w:line="279" w:lineRule="exact"/>
        <w:rPr>
          <w:rFonts w:ascii="Arial" w:cs="Arial" w:eastAsia="Arial" w:hAnsi="Arial"/>
          <w:sz w:val="18"/>
          <w:szCs w:val="18"/>
          <w:color w:val="auto"/>
        </w:rPr>
      </w:pPr>
    </w:p>
    <w:p>
      <w:pPr>
        <w:ind w:left="460" w:right="560" w:hanging="101"/>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27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5"/>
          <w:szCs w:val="15"/>
          <w:color w:val="auto"/>
        </w:rPr>
        <w:t>These criteria are initially evaluated by our field-based engineers, accountants, managers and others to identify potential obstacles to obtaining the permits. However, our policy provides that, based on the facts and circumstances of a specific landfill, if these criteria are not met, inclusion of unpermitted airspace may still be allowed. In these circumstances, inclusion must be approved through a landfill-specific review process that includes approval of the Chief Financial Officer and a review by the Audit Committee of the Board of Directors on a quarterly basis. Of the 73 landfill sites with expansions at December 31, 2004,</w:t>
      </w:r>
    </w:p>
    <w:p>
      <w:pPr>
        <w:spacing w:after="0" w:line="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19 landfills required the Chief Financial Officer to approve the inclusion of the unpermitted airspace. Approximately three-fourths of these landfills required approval by the Chief Financial Officer because legal, community, or other issues could impede the expansion process, while the remaining were primarily because the permit application processes would not meet the one and five year requirement, which in many cases were due to state-specific permitting procedures. When we include the expansion airspace in our calculations of available airspace, we also include the projected costs for development, as well as the projected asset retirement cost related to final capping, and closure and post-closure of the expansion in the amortization basis of the landfill.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After determining the costs at our landfills, we determine the per ton rates that will be expensed. We look at factors such as the waste stream, geography and rate of compaction, among others, to determine the number of tons necessary to fill the available and likely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possible that actual results could ultimately turn out to be significantly different from our estimates and assumptions. To the extent that such estimates, or related assumptions, prove to be significantly different than actual results, or our belief that we will receive an expansion permit changes adversely in a significant manner, the costs of the landfill, including the costs incurred in the pursuit of the expansion, may be subject to impairment testing, as described below. Lower profitability may be experienced due to higher amortization rates, higher closure and post-closure rates, and higher expenses or asset impairments related to the removal of previously included expansion airspace. Additionally, if it is determined that the likelihood of receiving the expansion permit has become remote, the capitalized costs related to the expansion effort are expensed immediately.</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All acquisitions since January 1, 2000 have been accounted for using the purchase method of accounting. We allocate the cost of the acquired business to the assets acquired and the liabilities assumed based on estimates of fair values thereof.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We do not believe potential differences between our fair value estimates and actual fair values are material.</w:t>
      </w:r>
    </w:p>
    <w:p>
      <w:pPr>
        <w:spacing w:after="0" w:line="199"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certain business combinations, we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All amortization of goodwill ceased January 1, 2002 in accordance with SFAS No. 142, </w:t>
      </w:r>
      <w:r>
        <w:rPr>
          <w:rFonts w:ascii="Arial" w:cs="Arial" w:eastAsia="Arial" w:hAnsi="Arial"/>
          <w:sz w:val="18"/>
          <w:szCs w:val="18"/>
          <w:i w:val="1"/>
          <w:iCs w:val="1"/>
          <w:color w:val="auto"/>
        </w:rPr>
        <w:t>Accounting for Goodwill and Other Intangible Assets</w:t>
      </w:r>
      <w:r>
        <w:rPr>
          <w:rFonts w:ascii="Arial" w:cs="Arial" w:eastAsia="Arial" w:hAnsi="Arial"/>
          <w:sz w:val="18"/>
          <w:szCs w:val="18"/>
          <w:color w:val="auto"/>
        </w:rPr>
        <w:t>. For discussion regarding the reclassification made to prior year’s balance, refer to Note 2.</w:t>
      </w:r>
    </w:p>
    <w:p>
      <w:pPr>
        <w:spacing w:after="0" w:line="22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Other intangible assets consist primarily of customer contracts, customer lists, covenants not-to-compete, licenses and permits (other than landfill permits, as all landfill related intangible assets are combined with landfill tangible assets and amortized using our landfill amortization policy). Other intangible assets are recorded at cost and are amortized using either a 150% declining balance approach or on a straight-line basis as we determine appropriate. Customer contracts and customer lists are generally amortized over seven to ten years. Covenants not-to-compete are amortized over the term of the noncompete covenant, which is generally two to five years. Licenses, permits and other contracts are amortized over the definitive terms of the related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agreements. If the underlying agreement does not contain definitive terms and the useful life is determined to be indefinite, the asset is not amortized.</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52"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Long-lived assets consist primarily of property and equipment, goodwill and other intangible assets. Property, equipment and intangible assets other than goodwill are recorded in our balance sheets based on their cost less accumulated depreciation or amortization. The recoverability of long-lived assets is tested whenever events or changes in circumstances indicate that their carrying amounts may not be recoverable. Typical indicators that an asset may be impaired include:</w:t>
      </w:r>
    </w:p>
    <w:p>
      <w:pPr>
        <w:spacing w:after="0" w:line="197" w:lineRule="exact"/>
        <w:rPr>
          <w:sz w:val="20"/>
          <w:szCs w:val="20"/>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279"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279" w:lineRule="exact"/>
        <w:rPr>
          <w:rFonts w:ascii="Arial" w:cs="Arial" w:eastAsia="Arial" w:hAnsi="Arial"/>
          <w:sz w:val="18"/>
          <w:szCs w:val="18"/>
          <w:color w:val="auto"/>
        </w:rPr>
      </w:pPr>
    </w:p>
    <w:p>
      <w:pPr>
        <w:ind w:left="460" w:right="660" w:hanging="101"/>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212"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w:t>
      </w:r>
    </w:p>
    <w:p>
      <w:pPr>
        <w:spacing w:after="0" w:line="213" w:lineRule="exact"/>
        <w:rPr>
          <w:sz w:val="20"/>
          <w:szCs w:val="20"/>
          <w:color w:val="auto"/>
        </w:rPr>
      </w:pPr>
    </w:p>
    <w:p>
      <w:pPr>
        <w:ind w:firstLine="324"/>
        <w:spacing w:after="0" w:line="307" w:lineRule="auto"/>
        <w:rPr>
          <w:sz w:val="20"/>
          <w:szCs w:val="20"/>
          <w:color w:val="auto"/>
        </w:rPr>
      </w:pPr>
      <w:r>
        <w:rPr>
          <w:rFonts w:ascii="Arial" w:cs="Arial" w:eastAsia="Arial" w:hAnsi="Arial"/>
          <w:sz w:val="15"/>
          <w:szCs w:val="15"/>
          <w:color w:val="auto"/>
        </w:rPr>
        <w:t>If any of these or other indicators occur, the asset is reviewed to determine whether there has been an impairment. An impairment loss is recorded as the difference between the carrying amount and fair value of the asset. If significant events or changes in circumstances indicate that the carrying value of an asset or asset group may not be recoverable, we perform a test of recoverability by comparing the carrying value of the asset or asset group to its undiscounted expected future cash flows. Cash flow projections are sometimes based on a group of assets, rather than a single asset. If cash flows cannot be separately and independently identified for a single asset, we will determine whether an impairment has occurred for the group of assets for which we can identify the projected cash flow. If the carrying values are in excess of undiscounted expected future cash flows, we measure any impairment by comparing the fair value of the asset or asset group to its carrying value. Fair value is determined by either an actual third-party valuation or an internally developed discounted projected cash flow analysis of the asset or asset group. If the fair value of an asset or asset group is determined to be less than the carrying amount of the asset or asset group, an impairment in the amount of the difference is recorded in the period that the impairment indicator occurs to asset impairments and unusual items. Several impairment indicators are beyond our control, and cannot be predicted with any certainty whether or not they will occur. Estimating future cash flows requires significant judgment and projections may vary from cash flows eventually realized. There are other considerations for impairments of landfills and goodwill, as described below.</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Landfills — Certain of the indicators listed above require significant judgment and understanding of the waste industry when applied to landfill development or expansion projects.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Goodwill — At least annually, we assess whether goodwill is impaired. Upon determining the existence of goodwill impairment, we measure that impairment based on the amount by which the book value of goodwill exceeds its implied fair value. The implied fair value of goodwill is determined by deducting the fair value of a reporting unit’s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25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Restricted trust and escrow accounts consist principally of (i) funds held in trust for the construction of various facilities; (ii) funds deposited in connection with landfill closure, post-closure and remedial obligations; and (iii) funds held in trust for the repayment of our debt obligations. As of December 31, 2004 and 2003, we had approximately $647 million and $752 million, respectively, of restricted trust and escrow accounts, which are generally included in other non-current assets in our consolidated balance sheets.</w:t>
      </w:r>
    </w:p>
    <w:p>
      <w:pPr>
        <w:spacing w:after="0" w:line="22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Tax-exempt bond funds </w:t>
      </w:r>
      <w:r>
        <w:rPr>
          <w:rFonts w:ascii="Arial" w:cs="Arial" w:eastAsia="Arial" w:hAnsi="Arial"/>
          <w:sz w:val="16"/>
          <w:szCs w:val="16"/>
          <w:color w:val="auto"/>
        </w:rPr>
        <w:t>— We obtain funds from the issuance of industrial revenue bonds for the construction of collection and disposal facilities and for</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necessary to provide waste management services. Proceeds from these arrangements are directly deposited into trust accounts, and we do not have the ability to use the funds in regular operating activities. Accordingly, these borrowings are excluded from financing activities in our statement of cash flows. At the time our construction and equipment expenditures have been documented and approved by the applicable bond trustee, the funds are released and we receive cash. These amounts are reported in the statement of cash flows as an investing activity when the cash is released from the trust funds. Generally, the funds are fully expended within a few years of the debt issuance. When the debt matures, we repay our obligation with cash on hand and the debt repayments are included as a financing activity in the statement of cash flows.</w:t>
      </w:r>
    </w:p>
    <w:p>
      <w:pPr>
        <w:spacing w:after="0" w:line="1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trust fund assets funded by industrial revenue bonds and held for future capital expenditures are invested in U.S. government agency debt securities with maturities ranging from less than one year to three years. For the years ended December 31, 2004 and 2003, our realized and unrealized gains on these investments have not been material to our results of operations and financial position.</w:t>
      </w:r>
    </w:p>
    <w:p>
      <w:pPr>
        <w:spacing w:after="0" w:line="22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i w:val="1"/>
          <w:iCs w:val="1"/>
          <w:color w:val="auto"/>
        </w:rPr>
        <w:t xml:space="preserve">Closure, post-closure and remedial funds </w:t>
      </w:r>
      <w:r>
        <w:rPr>
          <w:rFonts w:ascii="Arial" w:cs="Arial" w:eastAsia="Arial" w:hAnsi="Arial"/>
          <w:sz w:val="16"/>
          <w:szCs w:val="16"/>
          <w:color w:val="auto"/>
        </w:rPr>
        <w:t>— At several of our landfills, we provide financial assurance by depositing cash into escrow accounts or trust funds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legally restricted for purposes of settling closure, post-closure and remedial obligations. Balances maintained in these trust funds and escrow accounts will fluctuate based on (i) changes in statutory requirements; (ii) the ongoing use of funds for qualifying closure, post-closure and remedial activities;</w:t>
      </w:r>
    </w:p>
    <w:p>
      <w:pPr>
        <w:spacing w:after="0" w:line="1" w:lineRule="exact"/>
        <w:rPr>
          <w:sz w:val="20"/>
          <w:szCs w:val="20"/>
          <w:color w:val="auto"/>
        </w:rPr>
      </w:pPr>
    </w:p>
    <w:p>
      <w:pPr>
        <w:ind w:right="600" w:firstLine="8"/>
        <w:spacing w:after="0" w:line="323" w:lineRule="auto"/>
        <w:tabs>
          <w:tab w:leader="none" w:pos="3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acquisitions or divestitures of landfills; and (iv) changes in the fair value of the underlying financial instruments. The balance of these trusts has been increased as of March 31, 2004 as a result of our implementation of FIN 46 as discussed in 2004 Accounting Changes, above, and in Notes 2 and 19.</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Debt service funds </w:t>
      </w:r>
      <w:r>
        <w:rPr>
          <w:rFonts w:ascii="Arial" w:cs="Arial" w:eastAsia="Arial" w:hAnsi="Arial"/>
          <w:sz w:val="16"/>
          <w:szCs w:val="16"/>
          <w:color w:val="auto"/>
        </w:rPr>
        <w:t>— Funds are held in trust to meet future principal and interest payments required under certain of our tax-exempt project bonds.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We use derivative financial instruments to manage our interest rate, commodity price and foreign currency exposure. We estimate the future prices of commodity fiber products to derive the current fair value of commodity derivatives and obtain current valuations of interest rate and foreign currency hedging instruments from third-party pricing models to obtain these fair values. The estimated fair values of derivatives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used to hedge risks fluctuate over time and should be viewed in relation to the underlying hedging transaction and the overall management of our exposure to fluctuations in the underlying risks.</w:t>
      </w:r>
    </w:p>
    <w:p>
      <w:pPr>
        <w:spacing w:after="0" w:line="213"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2004, 2003 or 2002.</w:t>
      </w:r>
    </w:p>
    <w:p>
      <w:pPr>
        <w:spacing w:after="0" w:line="194" w:lineRule="exact"/>
        <w:rPr>
          <w:sz w:val="20"/>
          <w:szCs w:val="20"/>
          <w:color w:val="auto"/>
        </w:rPr>
      </w:pPr>
    </w:p>
    <w:p>
      <w:pPr>
        <w:ind w:left="460" w:right="680" w:hanging="101"/>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flow hedges — The offsetting amounts for those derivatives designated as cash flow hedges for accounting purposes are recorded in other comprehensive income within the equity section of our balance sheet. Upon termination, the associated balance in other comprehensive income is amortized to earnings as the hedged cash flows occur.</w:t>
      </w:r>
    </w:p>
    <w:p>
      <w:pPr>
        <w:spacing w:after="0" w:line="221" w:lineRule="exact"/>
        <w:rPr>
          <w:rFonts w:ascii="Arial" w:cs="Arial" w:eastAsia="Arial" w:hAnsi="Arial"/>
          <w:sz w:val="18"/>
          <w:szCs w:val="18"/>
          <w:color w:val="auto"/>
        </w:rPr>
      </w:pPr>
    </w:p>
    <w:p>
      <w:pPr>
        <w:jc w:val="both"/>
        <w:ind w:left="460" w:right="200" w:hanging="101"/>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Fair value hedges — The offsetting amounts for those derivatives designated as fair value hedges for accounting purposes are recorded as adjustments to the carrying values of the hedged items. Upon termination, this carrying value adjustment is amortized to earnings over the remaining life of the hedged item.</w:t>
      </w:r>
    </w:p>
    <w:p>
      <w:pPr>
        <w:spacing w:after="0" w:line="221"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As of December 31, 2004, 2003 and 2002, the net fair value and earnings impact of our commodity and foreign currency derivatives were immaterial to our financial position and results of operations. As further discussed in Note 7, our use of interest rate derivatives to manage our fixed to floating rate position has had a material impact on our operating cash flows, carrying value of debt and interest expense during these periods.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Self-insurance reserves and recoveries</w:t>
      </w:r>
    </w:p>
    <w:p>
      <w:pPr>
        <w:spacing w:after="0" w:line="25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have retained a portion of the risks related to our automobile, general liability and workers’ compensation insurance programs. The exposure for unpaid claims and associated expenses, including incurred but not reported losses, is estimated with the assistance of external actuaries. The gross estimated liability associated with settling unpaid claims is included in accrued liabilities if expected to be settled within one year, or otherwise is included in other long-term liabilities. Estimated insurance recoveries related to recorded liabilities are reflected as current notes and other receivables or other long-term assets, when we believe that the receipt of such amounts is highly probable.</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jc w:val="both"/>
        <w:ind w:right="180" w:firstLine="324"/>
        <w:spacing w:after="0" w:line="298" w:lineRule="auto"/>
        <w:rPr>
          <w:sz w:val="20"/>
          <w:szCs w:val="20"/>
          <w:color w:val="auto"/>
        </w:rPr>
      </w:pPr>
      <w:r>
        <w:rPr>
          <w:rFonts w:ascii="Arial" w:cs="Arial" w:eastAsia="Arial" w:hAnsi="Arial"/>
          <w:sz w:val="16"/>
          <w:szCs w:val="16"/>
          <w:color w:val="auto"/>
        </w:rPr>
        <w:t>The functional currency of our subsidiaries outside the United States is the local currency of the country. The assets and liabilities of foreign operations are translated to U.S. dollars using the exchange rate at the balance sheet date. Revenues and expenses are translated to U.S. dollars using an average exchange rate during the period. The resulting translation difference is reflected as a component of other comprehensive income. For discussion regarding the reclassification made to prior years’ foreign currency translation balances, refer to Note 2.</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revenues are generated from the fees we charge for waste collection, transfer, disposal and recycling services and the sale of recycled commodities, electricity and steam. The fees charged for our services are generally defined in our service agreements and vary based on contract specific terms such as frequency of service, volume and the general market factors influencing a region’s rates. We generally recognize revenue as services are performed or products are delivered. For example, revenue typically is recognized as waste is collected, tons are received at our landfills or transfer stations or as kilowatts are delivered to a customer by a waste-to-energy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regarding the reclassification made to prior year amounts to conform to the current year’s presentation, refer to Note 2.</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ind w:right="300" w:firstLine="324"/>
        <w:spacing w:after="0" w:line="284" w:lineRule="auto"/>
        <w:rPr>
          <w:sz w:val="20"/>
          <w:szCs w:val="20"/>
          <w:color w:val="auto"/>
        </w:rPr>
      </w:pPr>
      <w:r>
        <w:rPr>
          <w:rFonts w:ascii="Arial" w:cs="Arial" w:eastAsia="Arial" w:hAnsi="Arial"/>
          <w:sz w:val="16"/>
          <w:szCs w:val="16"/>
          <w:color w:val="auto"/>
        </w:rPr>
        <w:t>We capitalize interest on certain projects under development, including landfill projects and likely landfill expansion projects, and on certain assets under construction, including internal-use software, operating landfills and waste-to-energy facilities. During 2004, 2003 and 2002, total interest costs were approximately $477 million, $461 million and $487 million, respectively, of which approximately $22 million for both 2004 and 2003 and approximately</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 million for 2002, were capitalized, primarily for landfill construction costs. The capitalization of interest for operating landfills is based on the costs incurred on discrete landfill cell construction projects that are expected to exceed $500,000 and require over 60 days to construct. In addition to the direct cost of the cell construction project, the calculation of capitalized interest includes an allocated portion of the common landfill site costs. The common site costs include the development costs of a landfill project or the purchase price of an operating landfill, and the ongoing infrastructure costs benefiting the landfill over its useful life. Under our current accounting practices, cell construction costs include the construction of cell liners during the operating life of the site.</w:t>
      </w:r>
    </w:p>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For discussion regarding the reclassification made to prior year’s net deferred tax liability balance, refer to Note 2.</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stock options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have accounted for our stock-based compensation, as discussed in detail in Note 15, using the intrinsic value method prescribed by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as amended. Pursuant to APB Opinion No. 25, we have not recognized compensation cost for our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because the number of shares potentially issuable and the exercise price, which is equal to the fair market value of the underlying stock on the date of grant, are fixed. In accordance with SFAS No. 123(revised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we will begin to recognize compensation expense for stock options in the third quarter of 2005, as discussed in Note 23.</w:t>
      </w:r>
    </w:p>
    <w:p>
      <w:pPr>
        <w:spacing w:after="0" w:line="224"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common share of accounting for our stock option grants using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would result in the recognition of compensation expense for the fair value of stock option grants (in millions, except per share amounts):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7"/>
          </w:tcPr>
          <w:p>
            <w:pPr>
              <w:ind w:left="220"/>
              <w:spacing w:after="0"/>
              <w:rPr>
                <w:sz w:val="20"/>
                <w:szCs w:val="20"/>
                <w:color w:val="auto"/>
              </w:rPr>
            </w:pPr>
            <w:r>
              <w:rPr>
                <w:rFonts w:ascii="Arial" w:cs="Arial" w:eastAsia="Arial" w:hAnsi="Arial"/>
                <w:sz w:val="14"/>
                <w:szCs w:val="14"/>
                <w:b w:val="1"/>
                <w:bCs w:val="1"/>
                <w:color w:val="auto"/>
                <w:w w:val="86"/>
              </w:rPr>
              <w:t>Years Ended December 31,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10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$ 939</w:t>
            </w: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$ 630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$ 882</w:t>
            </w: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$ 562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$1.63</w:t>
            </w: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$1.53</w:t>
            </w: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$0.95</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$1.61</w:t>
            </w: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$1.51</w:t>
            </w: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$0.95</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8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1080" w:type="dxa"/>
            <w:vAlign w:val="bottom"/>
            <w:gridSpan w:val="4"/>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gridSpan w:val="3"/>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rPr>
              <w:t>Stock options and warrants outstanding (in millions)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w w:val="96"/>
              </w:rPr>
              <w:t>Weighted average fair value per share of stock options granted during related</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year</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$7.23</w:t>
            </w: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12.16</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fair value of our stock option grants in the table above was estimated utilizing the Black-Scholes option pricing model. The following weighted average assumptions were used: dividend yield of from zero to 2.79%; risk-free interest rates, which vary for each grant, ranging from 1.34% to 4.94%; expected life of six years for all grants; and stock price volatility ranging from 26.41% to 41.50%. Black-Scholes is a formula that calculates an estimated value of stock options based on appreciation and interest rate assumptions. Therefore, the fair value calculation of a stock option using Black-Scholes is not necessarily indicative of the actual value of a stock option.</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We estimate the amount of potential exposure we may have with respect to claims, assessments and litigation in accordance with SFAS No.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We are subject to an array of laws and regulations relating to the protection of the environment. Under current laws and regulations, we may have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w:t>
      </w:r>
    </w:p>
    <w:p>
      <w:pPr>
        <w:spacing w:after="0" w:line="20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estimations are based on several factors. 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information with respect to other named and unnamed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PRPs. Estimates of the cost for the likely remedy are then either developed using our internal resources or by third party environmental engineers or other service providers. Internally developed estimates are based on:</w:t>
      </w:r>
    </w:p>
    <w:p>
      <w:pPr>
        <w:spacing w:after="0" w:line="186" w:lineRule="exact"/>
        <w:rPr>
          <w:sz w:val="20"/>
          <w:szCs w:val="20"/>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for further discussion.</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are also party to pending or threatened legal proceedings covering a wide range of matters in various jurisdictions. It is not always possible to predict the outcome of litigation, as it is subject to many uncertainties. Additionally, it is not always possible for management to make a meaningful estimate of the potential loss or range of loss associated with such litigation.</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Non-cash investing and financing activities are excluded from the consolidated statements of cash flows. For the years ended December 31, 2004, 2003 and 2002, non-cash activities included proceeds from tax-exempt borrowings, net of principal payments made directly from trust funds, of $283 million, $456 million and $424 million, respectively. During the year ended December 31, 2004, we also had increases in our debt obligations as a result of acquisitions and non-cash borrowings. The primary component of our non-cash financings was the issuance of approximately $118.5 million of debt in return for our equity investment in two synthetic fuel production facilities. These investments are discussed in detail in Note 8. We treated these transactions as non-cash financing activities in our statements of cash flows.</w:t>
      </w: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material financial commitments for final capping, closure and post-closure obligations with respect to our landfills. 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Absent quoted market prices, the estimate of fair value should be based on the best available information, including the results of present value techniques. In general, we contract with third parties to fulfill most of our obligations for final capping, closure and post-closure. Accordingly, the fair value of these obligations is based upon quoted and actual prices paid for similar work. However, we intend to perform some of these activities using internal resources. Where internal resources are expected to be used to fulfill an asset retirement obligation, we add a profit margin to the estimated cost of such services to better reflect the fair value of the obligation. When we then perform these services internally, the added profit margin is recognized as a component of operating income in the period earned. An estimate of fair value should include the price that marketplace participants are able to receive for bearing the uncertainties in cash flows. However, when using discounted cash flow techniques, reliable estimates of market premiums may not be obtainable. In the waste industry, there is no market for selling the responsibility for final capping, closure and post-closure obligations independent of selling the landfill in its entirety. Accordingly, we do not believe that it is possible to develop a methodology to reliably estimate a market risk premium and have therefore excluded any such market risk premium from our determination of expected cash flows for landfill asset retirement obligations.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Once we have determined the final capping, closure and post-closure costs, we inflate those costs to the expected time of payment and discount those expected future costs back to present value. During 2004 and 2003, we have inflated these costs in current dollars until the expected time of payment using an inflation rate of 2.5%. We discounted these costs to present value using a credit-adjusted, risk-free discount rate of 6.25% and 7.25% during 2004 and 2003, respectively. The credit-adjusted, risk-free rate is based on the risk-free interest rate on obligations of similar maturity adjusted for our own credit rating. Changes in our credit-adjusted, risk-free rate do not change recorded liabilities, but subsequently recognized obligations are measured using the revised credit-adjusted, risk-free rate.</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The liability and corresponding asset are recorded on a per-ton basis as waste is accepted and deposited at our landfills. We assess the appropriateness of our recorded balances annually, unless there are indications that a more frequent review is appropriate. Significant changes in inflation rates or the amount or timing of future final capping, closure and post-closure cost estimates associated with airspace to be consumed in future periods typically result in both (i) a current adjustment to the recorded liability (and corresponding adjustment to the landfill asset) based on the landfill’s capacity consumed to date and (ii) a change in liability and asset amounts to be recorded prospectively over the remaining capacity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a corresponding adjustment to landfill airspace amortization expense. During the year ended December 31, 2004, adjustments associated with changes in our expectations for the timing and cost of future final capping, closure and post-closure of fully utilized airspace resulted in a $20 million credit to landfill airspace amortization expense, with the majority of the credit resulting from final capping changes. In managing our landfills, our engineers look for ways to reduce or defer our construction costs, including final capping costs. Most of the benefit recognized in 2004 is the result of concerted efforts to obtain landfill permit modifications to allow us to final cap a landfill using more cost effective methods, landfill expansions that result in reduced or deferred final capping costs, or completed final capping construction that cost less than the accrual. Such adjustments to final capping, closure and post-closure were not significant in the prior year.</w:t>
      </w:r>
    </w:p>
    <w:p>
      <w:pPr>
        <w:spacing w:after="0" w:line="207"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costs and expenses on the income statement.</w:t>
      </w:r>
    </w:p>
    <w:p>
      <w:pPr>
        <w:spacing w:after="0" w:line="21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the United States, the final capping, closure and post-closure requirements are established by the EPA and applied on a state-by-state basis. The costs to comply with these requirements could change materially as a result of legislation or regulation.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routinely review and evaluate sites that require remediation and determine our estimated cost for the likely remedy based on several estimates and assumptions as described in Note 3.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and its interpretations. If we used the high ends of such ranges, our aggregate potential liability would be approximately $175 million higher on a discounted basis than the $324 million recorded in the consolidated financial statements as of December 31, 2004.</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As of December 31, 2004, we had been notified that we are a PRP in connection with 71 locations listed on the EPA’s National Priorities List (“NPL”). Of the 71 sites at which claims have been made against us, 16 are sites we own that were initially developed by others as land disposal facilities. At each of the 16 owned facilities, we are working in conjunction with the government to characterize or remediate identified site problems. In addition, at these 16 owned facilities,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55 NPL sites at which claims have been made against us and that we do not own are at different procedural stages under the Comprehensive Environmental Response, Compensation and Liability Act of 1980, as amended, which is known as CERCLA or Superfund. At some of these sites, our liability is well defined as a consequence of a governmental decision as to the appropriate remedy and an agreement among liable parties as to the share each will pay for implementing that remedy. At other sites, where no remedy has been selected or the liable parties have been unable to agree on an appropriate allocation, our future costs are uncertain. Any of these matters could potentially have a material adverse effect on our consolidated financial statements.</w:t>
      </w:r>
    </w:p>
    <w:p>
      <w:pPr>
        <w:spacing w:after="0" w:line="20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be material in any given period.</w:t>
      </w:r>
    </w:p>
    <w:p>
      <w:pPr>
        <w:spacing w:after="0" w:line="22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Where we believe that both the amount of a particular environmental remediation liability and the timing of the payments are reliably determinable, we inflate the cost in current dollars (2.5% at both December 31, 2004 and December 31, 2003) until the expected time of payment and discount the cost to present value using a risk-free discount rate, which is based on the rate for United States treasury bonds with a term approximating the weighted average period until settlement of the underlying obligation (4.25% at both December 31, 2004 and December 31, 2003).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The portion of our recorded environmental remedial liabilities that has never been subject to inflation or discounting as the amounts and timing of payments is not readily determinable was approximately $63 million and $60 million at December 31, 2004 and 2003, respectively. Had we not discounted any portion of our environmental remedial liability, the amount recorded would have been increased by approximately $40 million at December 31, 2004 and $44 million at December 31, 2003.</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Statement Impact of Landfill and Environmental Remediation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2004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 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Environmental</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Environmental</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0" w:type="dxa"/>
            <w:vAlign w:val="bottom"/>
            <w:gridSpan w:val="3"/>
          </w:tcPr>
          <w:p>
            <w:pPr>
              <w:ind w:left="28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Remediation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020" w:type="dxa"/>
            <w:vAlign w:val="bottom"/>
            <w:gridSpan w:val="3"/>
          </w:tcPr>
          <w:p>
            <w:pPr>
              <w:ind w:left="28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Current (in accrued liabilities)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6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6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Long-term</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262</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1,141</w:t>
            </w: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849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275</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324</w:t>
            </w:r>
          </w:p>
        </w:tc>
        <w:tc>
          <w:tcPr>
            <w:tcW w:w="6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1,303</w:t>
            </w:r>
          </w:p>
        </w:tc>
        <w:tc>
          <w:tcPr>
            <w:tcW w:w="2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$958</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332</w:t>
            </w:r>
          </w:p>
        </w:tc>
        <w:tc>
          <w:tcPr>
            <w:tcW w:w="6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1,290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to landfill and environmental remediation liabilities for the years ended December 31, 2003 and 2004 are as follows (in millions):</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2002</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Obligations incurred and capitalized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Obligations settled</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(92)</w:t>
            </w:r>
          </w:p>
        </w:tc>
        <w:tc>
          <w:tcPr>
            <w:tcW w:w="1780" w:type="dxa"/>
            <w:vAlign w:val="bottom"/>
            <w:gridSpan w:val="4"/>
          </w:tcPr>
          <w:p>
            <w:pPr>
              <w:jc w:val="right"/>
              <w:ind w:right="5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Interest accretion</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Revisions in estimates</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Acquisitions, divestitures and other adjustments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80" w:type="dxa"/>
            <w:vAlign w:val="bottom"/>
            <w:gridSpan w:val="2"/>
          </w:tcPr>
          <w:p>
            <w:pPr>
              <w:spacing w:after="0"/>
              <w:rPr>
                <w:sz w:val="20"/>
                <w:szCs w:val="20"/>
                <w:color w:val="auto"/>
              </w:rPr>
            </w:pPr>
            <w:r>
              <w:rPr>
                <w:rFonts w:ascii="Arial" w:cs="Arial" w:eastAsia="Arial" w:hAnsi="Arial"/>
                <w:sz w:val="18"/>
                <w:szCs w:val="18"/>
                <w:color w:val="auto"/>
              </w:rPr>
              <w:t>December 31, 2003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332</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Obligations incurred and capitalized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Obligations settled</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(83)</w:t>
            </w:r>
          </w:p>
        </w:tc>
        <w:tc>
          <w:tcPr>
            <w:tcW w:w="1780" w:type="dxa"/>
            <w:vAlign w:val="bottom"/>
            <w:gridSpan w:val="4"/>
          </w:tcPr>
          <w:p>
            <w:pPr>
              <w:jc w:val="right"/>
              <w:ind w:right="5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Interest accretion</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Revisions in estimates</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Acquisitions, divestitures and other adjustments</w:t>
            </w:r>
          </w:p>
        </w:tc>
        <w:tc>
          <w:tcPr>
            <w:tcW w:w="10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80" w:type="dxa"/>
            <w:vAlign w:val="bottom"/>
            <w:gridSpan w:val="2"/>
          </w:tcPr>
          <w:p>
            <w:pPr>
              <w:spacing w:after="0"/>
              <w:rPr>
                <w:sz w:val="20"/>
                <w:szCs w:val="20"/>
                <w:color w:val="auto"/>
              </w:rPr>
            </w:pPr>
            <w:r>
              <w:rPr>
                <w:rFonts w:ascii="Arial" w:cs="Arial" w:eastAsia="Arial" w:hAnsi="Arial"/>
                <w:sz w:val="18"/>
                <w:szCs w:val="18"/>
                <w:color w:val="auto"/>
              </w:rPr>
              <w:t>December 31, 2004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$324</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Anticipated payments of currently identified environmental remediation liabilities for the next five years and thereafter as measured in current dollars are reflected below (in millions). Our recorded liabilities as of December 31, 2004 include the impact of inflating these costs based on our expectations for cash settlement and discounting these costs to present value.</w:t>
      </w:r>
    </w:p>
    <w:p>
      <w:pPr>
        <w:spacing w:after="0" w:line="200" w:lineRule="exact"/>
        <w:rPr>
          <w:sz w:val="20"/>
          <w:szCs w:val="20"/>
          <w:color w:val="auto"/>
        </w:rPr>
      </w:pPr>
    </w:p>
    <w:p>
      <w:pPr>
        <w:spacing w:after="0" w:line="206"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480" w:type="dxa"/>
            <w:vAlign w:val="bottom"/>
          </w:tcPr>
          <w:p>
            <w:pPr>
              <w:jc w:val="right"/>
              <w:ind w:right="42"/>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r>
      <w:tr>
        <w:trPr>
          <w:trHeight w:val="95"/>
        </w:trPr>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316"/>
        </w:trPr>
        <w:tc>
          <w:tcPr>
            <w:tcW w:w="480" w:type="dxa"/>
            <w:vAlign w:val="bottom"/>
          </w:tcPr>
          <w:p>
            <w:pPr>
              <w:jc w:val="right"/>
              <w:ind w:right="82"/>
              <w:spacing w:after="0"/>
              <w:rPr>
                <w:sz w:val="20"/>
                <w:szCs w:val="20"/>
                <w:color w:val="auto"/>
              </w:rPr>
            </w:pPr>
            <w:r>
              <w:rPr>
                <w:rFonts w:ascii="Arial" w:cs="Arial" w:eastAsia="Arial" w:hAnsi="Arial"/>
                <w:sz w:val="18"/>
                <w:szCs w:val="18"/>
                <w:color w:val="auto"/>
                <w:w w:val="99"/>
              </w:rPr>
              <w:t>$62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372"/>
              <w:spacing w:after="0"/>
              <w:rPr>
                <w:sz w:val="20"/>
                <w:szCs w:val="20"/>
                <w:color w:val="auto"/>
              </w:rPr>
            </w:pPr>
            <w:r>
              <w:rPr>
                <w:rFonts w:ascii="Arial" w:cs="Arial" w:eastAsia="Arial" w:hAnsi="Arial"/>
                <w:sz w:val="18"/>
                <w:szCs w:val="18"/>
                <w:color w:val="auto"/>
              </w:rPr>
              <w:t>$194</w:t>
            </w:r>
          </w:p>
        </w:tc>
      </w:tr>
    </w:tbl>
    <w:p>
      <w:pPr>
        <w:spacing w:after="0" w:line="237"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At several of our landfills, we provide financial assurance by depositing cash into restricted escrow accounts or trust funds for purposes of settling closure, post-closure and environmental remediation obligations. The fair value of these escrow accounts and trust funds was approximately $213 million at December 31, 2004, and is primarily included as other long-term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underlying financial instruments.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at December 31 consisted of the following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Landfills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Vehicles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3,496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Containers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2,152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Furniture, fixtures and office equipment(a)</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22,303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20,964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5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Less accumulated depreciation on tangible property and equipment</w:t>
            </w: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1"/>
              </w:rPr>
              <w:t>(5,971)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1"/>
              </w:rPr>
              <w:t>(5,451)</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Less accumulated landfill airspace amortization</w:t>
            </w:r>
          </w:p>
        </w:tc>
        <w:tc>
          <w:tcPr>
            <w:tcW w:w="2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(4,856)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(4,102)</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11,476</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11,411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80" w:right="2580" w:hanging="272"/>
        <w:spacing w:after="0" w:line="708" w:lineRule="auto"/>
        <w:tabs>
          <w:tab w:leader="none" w:pos="361"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These amounts include our information technology assets, including computer hardware and capitalized software costs. Depreciation and amortization expense was comprised of the following for the years ended December 31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on tangible property and equipment(a)</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840</w:t>
            </w: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Amortization of landfill airspace</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1,298</w:t>
            </w: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1,227</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1,187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These amounts include amortization expense for assets recorded as capital leases.</w:t>
      </w: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incurred no impairment of goodwill upon our initial adoption of SFAS No. 142 in 2002, or as a result of our annual goodwill impairment tests in 2004, 2003 and 2002. However, there can be no assurance that goodwill will not be impaired at any time in the future. Additionally, adopting SFAS No. 141, </w:t>
      </w:r>
      <w:r>
        <w:rPr>
          <w:rFonts w:ascii="Arial" w:cs="Arial" w:eastAsia="Arial" w:hAnsi="Arial"/>
          <w:sz w:val="18"/>
          <w:szCs w:val="18"/>
          <w:i w:val="1"/>
          <w:iCs w:val="1"/>
          <w:color w:val="auto"/>
        </w:rPr>
        <w:t>Accounting for Business Combinations</w:t>
      </w:r>
      <w:r>
        <w:rPr>
          <w:rFonts w:ascii="Arial" w:cs="Arial" w:eastAsia="Arial" w:hAnsi="Arial"/>
          <w:sz w:val="18"/>
          <w:szCs w:val="18"/>
          <w:color w:val="auto"/>
        </w:rPr>
        <w:t>, required us to write off net negative goodwill of approximately $2 million, which was recorded as a credit to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change in accounting principle in the first quarter of 2002. We did not encounter any events or changes in circumstances that indicated that impairment was more likely than not during interim periods in 2004, 2003 or 2002.</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For discussion regarding the adjustment made to our December 31, 2003 goodwill balance as a result of our review of deferred tax balances, refer to Note 2.</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intangible assets as of December 31, 2004 and 2003 were comprised of the following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Customer</w:t>
            </w:r>
          </w:p>
        </w:tc>
        <w:tc>
          <w:tcPr>
            <w:tcW w:w="28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Covenants</w:t>
            </w:r>
          </w:p>
        </w:tc>
        <w:tc>
          <w:tcPr>
            <w:tcW w:w="2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Licenses,</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Contracts and</w:t>
            </w:r>
          </w:p>
        </w:tc>
        <w:tc>
          <w:tcPr>
            <w:tcW w:w="28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Not-to-</w:t>
            </w:r>
          </w:p>
        </w:tc>
        <w:tc>
          <w:tcPr>
            <w:tcW w:w="2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Permits</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Customer Lists</w:t>
            </w:r>
          </w:p>
        </w:tc>
        <w:tc>
          <w:tcPr>
            <w:tcW w:w="28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Compete</w:t>
            </w:r>
          </w:p>
        </w:tc>
        <w:tc>
          <w:tcPr>
            <w:tcW w:w="2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and Other</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2004</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151</w:t>
            </w:r>
          </w:p>
        </w:tc>
        <w:tc>
          <w:tcPr>
            <w:tcW w:w="6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$ 70</w:t>
            </w: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$ 281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 accumulated amortization</w:t>
            </w:r>
          </w:p>
        </w:tc>
        <w:tc>
          <w:tcPr>
            <w:tcW w:w="7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3"/>
              </w:rPr>
              <w:t>(85)</w:t>
            </w:r>
          </w:p>
        </w:tc>
        <w:tc>
          <w:tcPr>
            <w:tcW w:w="14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w:t>
            </w:r>
          </w:p>
        </w:tc>
        <w:tc>
          <w:tcPr>
            <w:tcW w:w="14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6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$ 35</w:t>
            </w:r>
          </w:p>
        </w:tc>
        <w:tc>
          <w:tcPr>
            <w:tcW w:w="3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$ 152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w:t>
            </w: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167</w:t>
            </w:r>
          </w:p>
        </w:tc>
        <w:tc>
          <w:tcPr>
            <w:tcW w:w="6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$ 86</w:t>
            </w: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$ 304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 accumulated amortization</w:t>
            </w:r>
          </w:p>
        </w:tc>
        <w:tc>
          <w:tcPr>
            <w:tcW w:w="7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93"/>
              </w:rPr>
              <w:t>(90)</w:t>
            </w:r>
          </w:p>
        </w:tc>
        <w:tc>
          <w:tcPr>
            <w:tcW w:w="14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w:t>
            </w:r>
          </w:p>
        </w:tc>
        <w:tc>
          <w:tcPr>
            <w:tcW w:w="14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77</w:t>
            </w:r>
          </w:p>
        </w:tc>
        <w:tc>
          <w:tcPr>
            <w:tcW w:w="6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$ 35</w:t>
            </w:r>
          </w:p>
        </w:tc>
        <w:tc>
          <w:tcPr>
            <w:tcW w:w="3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$ 156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Landfill operating permits are not presented above and are recognized on a combined basis with other landfill assets and amortized using our landfill amortization method. Amortization expense for other intangible assets was approximately $38 million for both 2004 and 2003 and was approximately $35 million for 2002. At December 31, 2004, we have approximately $5 million of other intangible assets that are not subject to amortization. The intangible asset amortization expense estimated as of December 31, 2004, for the five years following 2004 is as follows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3980" w:type="dxa"/>
            <w:vAlign w:val="bottom"/>
            <w:gridSpan w:val="4"/>
          </w:tcPr>
          <w:p>
            <w:pPr>
              <w:ind w:left="344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3980" w:type="dxa"/>
            <w:vAlign w:val="bottom"/>
            <w:gridSpan w:val="4"/>
          </w:tcPr>
          <w:p>
            <w:pPr>
              <w:ind w:left="34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880" w:type="dxa"/>
            <w:vAlign w:val="bottom"/>
          </w:tcPr>
          <w:p>
            <w:pPr>
              <w:jc w:val="right"/>
              <w:ind w:right="282"/>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7.</w:t>
            </w:r>
          </w:p>
        </w:tc>
        <w:tc>
          <w:tcPr>
            <w:tcW w:w="4260" w:type="dxa"/>
            <w:vAlign w:val="bottom"/>
            <w:gridSpan w:val="6"/>
          </w:tcPr>
          <w:p>
            <w:pPr>
              <w:ind w:left="220"/>
              <w:spacing w:after="0"/>
              <w:rPr>
                <w:sz w:val="20"/>
                <w:szCs w:val="20"/>
                <w:color w:val="auto"/>
              </w:rPr>
            </w:pPr>
            <w:r>
              <w:rPr>
                <w:rFonts w:ascii="Arial" w:cs="Arial" w:eastAsia="Arial" w:hAnsi="Arial"/>
                <w:sz w:val="18"/>
                <w:szCs w:val="18"/>
                <w:b w:val="1"/>
                <w:bCs w:val="1"/>
                <w:color w:val="auto"/>
              </w:rPr>
              <w:t>Debt and Interest Rate Derivatives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4260" w:type="dxa"/>
            <w:vAlign w:val="bottom"/>
            <w:gridSpan w:val="6"/>
          </w:tcPr>
          <w:p>
            <w:pPr>
              <w:ind w:left="120"/>
              <w:spacing w:after="0"/>
              <w:rPr>
                <w:sz w:val="20"/>
                <w:szCs w:val="20"/>
                <w:color w:val="auto"/>
              </w:rPr>
            </w:pPr>
            <w:r>
              <w:rPr>
                <w:rFonts w:ascii="Arial" w:cs="Arial" w:eastAsia="Arial" w:hAnsi="Arial"/>
                <w:sz w:val="18"/>
                <w:szCs w:val="18"/>
                <w:b w:val="1"/>
                <w:bCs w:val="1"/>
                <w:i w:val="1"/>
                <w:iCs w:val="1"/>
                <w:color w:val="auto"/>
              </w:rPr>
              <w:t>Debt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5120" w:type="dxa"/>
            <w:vAlign w:val="bottom"/>
            <w:gridSpan w:val="8"/>
          </w:tcPr>
          <w:p>
            <w:pPr>
              <w:ind w:left="100"/>
              <w:spacing w:after="0"/>
              <w:rPr>
                <w:sz w:val="20"/>
                <w:szCs w:val="20"/>
                <w:color w:val="auto"/>
              </w:rPr>
            </w:pPr>
            <w:r>
              <w:rPr>
                <w:rFonts w:ascii="Arial" w:cs="Arial" w:eastAsia="Arial" w:hAnsi="Arial"/>
                <w:sz w:val="18"/>
                <w:szCs w:val="18"/>
                <w:color w:val="auto"/>
              </w:rPr>
              <w:t>Debt at December 31 consisted of the following (in millions):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20" w:type="dxa"/>
            <w:vAlign w:val="bottom"/>
            <w:gridSpan w:val="4"/>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7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Revolving credit facilities(a),(b)</w:t>
            </w:r>
          </w:p>
        </w:tc>
        <w:tc>
          <w:tcPr>
            <w:tcW w:w="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88"/>
              </w:rPr>
              <w:t>Senior notes and debentures, maturing through 2032, interest rates ranging from</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80" w:type="dxa"/>
            <w:vAlign w:val="bottom"/>
            <w:gridSpan w:val="11"/>
          </w:tcPr>
          <w:p>
            <w:pPr>
              <w:ind w:left="140"/>
              <w:spacing w:after="0"/>
              <w:rPr>
                <w:sz w:val="20"/>
                <w:szCs w:val="20"/>
                <w:color w:val="auto"/>
              </w:rPr>
            </w:pPr>
            <w:r>
              <w:rPr>
                <w:rFonts w:ascii="Arial" w:cs="Arial" w:eastAsia="Arial" w:hAnsi="Arial"/>
                <w:sz w:val="18"/>
                <w:szCs w:val="18"/>
                <w:color w:val="auto"/>
                <w:w w:val="87"/>
              </w:rPr>
              <w:t>5.00% to 8.75% (weighted average interest rate of 7.0% at December 31, 2004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80" w:type="dxa"/>
            <w:vAlign w:val="bottom"/>
            <w:gridSpan w:val="5"/>
          </w:tcPr>
          <w:p>
            <w:pPr>
              <w:ind w:left="140"/>
              <w:spacing w:after="0"/>
              <w:rPr>
                <w:sz w:val="20"/>
                <w:szCs w:val="20"/>
                <w:color w:val="auto"/>
              </w:rPr>
            </w:pPr>
            <w:r>
              <w:rPr>
                <w:rFonts w:ascii="Arial" w:cs="Arial" w:eastAsia="Arial" w:hAnsi="Arial"/>
                <w:sz w:val="18"/>
                <w:szCs w:val="18"/>
                <w:color w:val="auto"/>
                <w:w w:val="91"/>
              </w:rPr>
              <w:t>and 7.2% at December 31, 2003)(c)</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5,344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5,662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80" w:type="dxa"/>
            <w:vAlign w:val="bottom"/>
            <w:gridSpan w:val="11"/>
            <w:shd w:val="clear" w:color="auto" w:fill="EEEEEE"/>
          </w:tcPr>
          <w:p>
            <w:pPr>
              <w:spacing w:after="0"/>
              <w:rPr>
                <w:sz w:val="20"/>
                <w:szCs w:val="20"/>
                <w:color w:val="auto"/>
              </w:rPr>
            </w:pPr>
            <w:r>
              <w:rPr>
                <w:rFonts w:ascii="Arial" w:cs="Arial" w:eastAsia="Arial" w:hAnsi="Arial"/>
                <w:sz w:val="18"/>
                <w:szCs w:val="18"/>
                <w:color w:val="auto"/>
                <w:w w:val="95"/>
              </w:rPr>
              <w:t>Tax-exempt bonds maturing through 2039, fixed and variable interest rates</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80" w:type="dxa"/>
            <w:vAlign w:val="bottom"/>
            <w:gridSpan w:val="11"/>
            <w:shd w:val="clear" w:color="auto" w:fill="EEEEEE"/>
          </w:tcPr>
          <w:p>
            <w:pPr>
              <w:ind w:left="140"/>
              <w:spacing w:after="0"/>
              <w:rPr>
                <w:sz w:val="20"/>
                <w:szCs w:val="20"/>
                <w:color w:val="auto"/>
              </w:rPr>
            </w:pPr>
            <w:r>
              <w:rPr>
                <w:rFonts w:ascii="Arial" w:cs="Arial" w:eastAsia="Arial" w:hAnsi="Arial"/>
                <w:sz w:val="18"/>
                <w:szCs w:val="18"/>
                <w:color w:val="auto"/>
                <w:w w:val="99"/>
              </w:rPr>
              <w:t>ranging from 1.8% to 7.4% (weighted average interest rate of 3.6% at</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520" w:type="dxa"/>
            <w:vAlign w:val="bottom"/>
            <w:gridSpan w:val="8"/>
            <w:shd w:val="clear" w:color="auto" w:fill="EEEEEE"/>
          </w:tcPr>
          <w:p>
            <w:pPr>
              <w:ind w:left="140"/>
              <w:spacing w:after="0"/>
              <w:rPr>
                <w:sz w:val="20"/>
                <w:szCs w:val="20"/>
                <w:color w:val="auto"/>
              </w:rPr>
            </w:pPr>
            <w:r>
              <w:rPr>
                <w:rFonts w:ascii="Arial" w:cs="Arial" w:eastAsia="Arial" w:hAnsi="Arial"/>
                <w:sz w:val="18"/>
                <w:szCs w:val="18"/>
                <w:color w:val="auto"/>
                <w:w w:val="96"/>
              </w:rPr>
              <w:t>December 31, 2004 and 2.9% at December 31, 2003)(d)</w:t>
            </w: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2,047</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1,762</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Tax-exempt project bonds, principal payable in periodic installments, maturing</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80" w:type="dxa"/>
            <w:vAlign w:val="bottom"/>
            <w:gridSpan w:val="11"/>
          </w:tcPr>
          <w:p>
            <w:pPr>
              <w:ind w:left="140"/>
              <w:spacing w:after="0"/>
              <w:rPr>
                <w:sz w:val="20"/>
                <w:szCs w:val="20"/>
                <w:color w:val="auto"/>
              </w:rPr>
            </w:pPr>
            <w:r>
              <w:rPr>
                <w:rFonts w:ascii="Arial" w:cs="Arial" w:eastAsia="Arial" w:hAnsi="Arial"/>
                <w:sz w:val="18"/>
                <w:szCs w:val="18"/>
                <w:color w:val="auto"/>
                <w:w w:val="94"/>
              </w:rPr>
              <w:t>through 2027, fixed and variable interest rates ranging from 2.0% to 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80" w:type="dxa"/>
            <w:vAlign w:val="bottom"/>
            <w:gridSpan w:val="11"/>
          </w:tcPr>
          <w:p>
            <w:pPr>
              <w:ind w:left="140"/>
              <w:spacing w:after="0"/>
              <w:rPr>
                <w:sz w:val="20"/>
                <w:szCs w:val="20"/>
                <w:color w:val="auto"/>
              </w:rPr>
            </w:pPr>
            <w:r>
              <w:rPr>
                <w:rFonts w:ascii="Arial" w:cs="Arial" w:eastAsia="Arial" w:hAnsi="Arial"/>
                <w:sz w:val="18"/>
                <w:szCs w:val="18"/>
                <w:color w:val="auto"/>
                <w:w w:val="92"/>
              </w:rPr>
              <w:t>(weighted average interest rate of 5.2% at December 31, 2004 and 5.1% at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80" w:type="dxa"/>
            <w:vAlign w:val="bottom"/>
            <w:gridSpan w:val="5"/>
          </w:tcPr>
          <w:p>
            <w:pPr>
              <w:ind w:left="140"/>
              <w:spacing w:after="0"/>
              <w:rPr>
                <w:sz w:val="20"/>
                <w:szCs w:val="20"/>
                <w:color w:val="auto"/>
              </w:rPr>
            </w:pPr>
            <w:r>
              <w:rPr>
                <w:rFonts w:ascii="Arial" w:cs="Arial" w:eastAsia="Arial" w:hAnsi="Arial"/>
                <w:sz w:val="18"/>
                <w:szCs w:val="18"/>
                <w:color w:val="auto"/>
              </w:rPr>
              <w:t>December 31, 2003)(e)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40" w:type="dxa"/>
            <w:vAlign w:val="bottom"/>
            <w:gridSpan w:val="7"/>
            <w:shd w:val="clear" w:color="auto" w:fill="EEEEEE"/>
          </w:tcPr>
          <w:p>
            <w:pPr>
              <w:spacing w:after="0"/>
              <w:rPr>
                <w:sz w:val="20"/>
                <w:szCs w:val="20"/>
                <w:color w:val="auto"/>
              </w:rPr>
            </w:pPr>
            <w:r>
              <w:rPr>
                <w:rFonts w:ascii="Arial" w:cs="Arial" w:eastAsia="Arial" w:hAnsi="Arial"/>
                <w:sz w:val="18"/>
                <w:szCs w:val="18"/>
                <w:color w:val="auto"/>
                <w:w w:val="90"/>
              </w:rPr>
              <w:t>5.75% convertible subordinated notes due 2005(f)</w:t>
            </w: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6"/>
              </w:rPr>
              <w:t>Capital leases and other, maturing through 2027, interest rates up to 12%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8,566</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8,511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4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December 31, 2003, we had a three-year, $650 million syndicated revolving credit facility and a five-year, $1.75 billion syndicated revolving credit facility. On October 15, 2004, we renegotiated these facilities, replacing them with a single, five-year, $2.4 billion syndicated revolving credit facility. Our revolving credit facilities generally have been used to issue letters of credit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support our bonding and financial assurance needs. As of December 31, 2004, no borrowings were outstanding under our facility, and we had unused and available credit capacity of $1,034 million. As of December 31, 2003, no borrowings were outstanding under either facility, and we had unused and available capacity of $792 million.</w:t>
      </w:r>
    </w:p>
    <w:p>
      <w:pPr>
        <w:spacing w:after="0" w:line="221" w:lineRule="exact"/>
        <w:rPr>
          <w:sz w:val="20"/>
          <w:szCs w:val="20"/>
          <w:color w:val="auto"/>
        </w:rPr>
      </w:pPr>
    </w:p>
    <w:p>
      <w:pPr>
        <w:ind w:left="460" w:right="120" w:hanging="452"/>
        <w:spacing w:after="0" w:line="289"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 of December 31, 2004, we were required to maintain the following financial covenants under our revolving credit facility: (i) an interest coverage ratio in excess of 2.75 to 1 and (ii) total debt to EBITDA ratio of less than 3.5 to 1. As calculated per the terms of the revolving credit facility, at December 31, 2004 our interest coverage ratio was 3.5 to 1 and our total debt to EDITDA ratio was 2.8 to 1. As of December 31, 2003, we were required to maintain the following financial covenants under our revolving credit facilities: (i) an interest coverage ratio in excess of 3 to 1; (ii) total debt to EBITDA ratio of less than 3.25 to 1; and (iii) minimum net worth of at least $3.5 billion plus 75% of cumulative consolidated net income beginning with the quarter ended March 31, 2001. All of the terms used in describing the covenants are defined in the facilities for the purpose of determining compliance with the covenants. As of December 31, 2004 and December 31, 2003, we were in compliance with all covenants under the revolving credit facilities active on the respective dates as well as all other debt instruments.</w:t>
      </w:r>
    </w:p>
    <w:p>
      <w:pPr>
        <w:spacing w:after="0" w:line="199"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March 2004, we issued $350 million of 5.0% senior notes due March 15, 2014. Interest on the notes is payable on March 15 and September 15 of each year. The net proceeds of the offering were approximately $346 million after deducting underwriters’ discounts and expenses. These proceeds were used to repay $150 million of 8.0% senior notes due April 30, 2004 and $200 million of 6.5% senior notes due May 15, 2004. In the fourth quarter of 2004, we paid, with cash on hand, $295 million of 7.0% senior notes due October 1, 2004. As discussed in further detail below, there has been a $33 million decrease in the carrying value of our senior notes from December 31, 2003 as a result of hedge accounting for our interest rate derivatives.</w:t>
      </w:r>
    </w:p>
    <w:p>
      <w:pPr>
        <w:spacing w:after="0" w:line="196" w:lineRule="exact"/>
        <w:rPr>
          <w:rFonts w:ascii="Arial" w:cs="Arial" w:eastAsia="Arial" w:hAnsi="Arial"/>
          <w:sz w:val="16"/>
          <w:szCs w:val="16"/>
          <w:color w:val="auto"/>
        </w:rPr>
      </w:pPr>
    </w:p>
    <w:p>
      <w:pPr>
        <w:ind w:left="460" w:right="60" w:hanging="452"/>
        <w:spacing w:after="0" w:line="294"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actively issue tax-exempt bonds as a means of accessing low-cost financing. These bonds are used to finance expenditures for landfill construction and development, equipment, vehicles and facilities in support of our operations. We have increased our utilization of tax-exempt financing and plan to continue this trend due to the attractive rates offered for these instruments. Proceeds from bond issues are held in trust until such time as we incur qualified expenditures, at which time we are reimbursed from the trust funds. We issue both fixed and floating rate obligations. Interest rates on floating rate bonds are re-set on a weekly basis and the underlying bonds are supported by letters of credit.</w:t>
      </w:r>
    </w:p>
    <w:p>
      <w:pPr>
        <w:spacing w:after="0" w:line="196"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Tax-exempt project bonds have been used by our Wheelabrator Group to finance the development of waste-to-energy facilities. These facilities are integral to the local communities they serve, and, as such, are supported by long-term contracts with multiple municipalities. The bonds generally have periodic amortizations that are supported by the cash flow of each specific facility being financed.</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5.75% convertible subordinated notes were paid, with cash on hand, upon maturity at January 24, 2005.</w:t>
      </w:r>
    </w:p>
    <w:p>
      <w:pPr>
        <w:spacing w:after="0" w:line="252"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The schedule of anticipated debt repayments (including the current portion) for the next five years is presented below (in millions). Our recorded debt obligations include non-cash adjustments associated with discounts, premiums and fair value adjustments for interest rate hedging activities. These amounts have been excluded here because they will not result in cash payments. In addition, approximately $83 million of the following future debt payments will be made with debt service funds held in trust and included as other assets within our December 31, 2004 balance sheet.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8"/>
              </w:rPr>
              <w:t>2005(a),(b)</w:t>
            </w:r>
          </w:p>
        </w:tc>
        <w:tc>
          <w:tcPr>
            <w:tcW w:w="24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2006</w:t>
            </w:r>
          </w:p>
        </w:tc>
        <w:tc>
          <w:tcPr>
            <w:tcW w:w="23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2007</w:t>
            </w:r>
          </w:p>
        </w:tc>
        <w:tc>
          <w:tcPr>
            <w:tcW w:w="24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2008</w:t>
            </w: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2009</w:t>
            </w:r>
          </w:p>
        </w:tc>
      </w:tr>
      <w:tr>
        <w:trPr>
          <w:trHeight w:val="95"/>
        </w:trPr>
        <w:tc>
          <w:tcPr>
            <w:tcW w:w="2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r>
        <w:trPr>
          <w:trHeight w:val="102"/>
        </w:trPr>
        <w:tc>
          <w:tcPr>
            <w:tcW w:w="2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16"/>
        </w:trPr>
        <w:tc>
          <w:tcPr>
            <w:tcW w:w="2520" w:type="dxa"/>
            <w:vAlign w:val="bottom"/>
            <w:shd w:val="clear" w:color="auto" w:fill="EEEEEE"/>
          </w:tcPr>
          <w:p>
            <w:pPr>
              <w:jc w:val="right"/>
              <w:ind w:right="1002"/>
              <w:spacing w:after="0"/>
              <w:rPr>
                <w:sz w:val="20"/>
                <w:szCs w:val="20"/>
                <w:color w:val="auto"/>
              </w:rPr>
            </w:pPr>
            <w:r>
              <w:rPr>
                <w:rFonts w:ascii="Arial" w:cs="Arial" w:eastAsia="Arial" w:hAnsi="Arial"/>
                <w:sz w:val="18"/>
                <w:szCs w:val="18"/>
                <w:color w:val="auto"/>
              </w:rPr>
              <w:t>$382</w:t>
            </w:r>
          </w:p>
        </w:tc>
        <w:tc>
          <w:tcPr>
            <w:tcW w:w="2420" w:type="dxa"/>
            <w:vAlign w:val="bottom"/>
            <w:gridSpan w:val="2"/>
            <w:shd w:val="clear" w:color="auto" w:fill="EEEEEE"/>
          </w:tcPr>
          <w:p>
            <w:pPr>
              <w:jc w:val="right"/>
              <w:ind w:right="860"/>
              <w:spacing w:after="0"/>
              <w:rPr>
                <w:sz w:val="20"/>
                <w:szCs w:val="20"/>
                <w:color w:val="auto"/>
              </w:rPr>
            </w:pPr>
            <w:r>
              <w:rPr>
                <w:rFonts w:ascii="Arial" w:cs="Arial" w:eastAsia="Arial" w:hAnsi="Arial"/>
                <w:sz w:val="18"/>
                <w:szCs w:val="18"/>
                <w:color w:val="auto"/>
              </w:rPr>
              <w:t>$491</w:t>
            </w:r>
          </w:p>
        </w:tc>
        <w:tc>
          <w:tcPr>
            <w:tcW w:w="2380" w:type="dxa"/>
            <w:vAlign w:val="bottom"/>
            <w:gridSpan w:val="2"/>
            <w:shd w:val="clear" w:color="auto" w:fill="EEEEEE"/>
          </w:tcPr>
          <w:p>
            <w:pPr>
              <w:jc w:val="right"/>
              <w:ind w:right="840"/>
              <w:spacing w:after="0"/>
              <w:rPr>
                <w:sz w:val="20"/>
                <w:szCs w:val="20"/>
                <w:color w:val="auto"/>
              </w:rPr>
            </w:pPr>
            <w:r>
              <w:rPr>
                <w:rFonts w:ascii="Arial" w:cs="Arial" w:eastAsia="Arial" w:hAnsi="Arial"/>
                <w:sz w:val="18"/>
                <w:szCs w:val="18"/>
                <w:color w:val="auto"/>
              </w:rPr>
              <w:t>$526</w:t>
            </w:r>
          </w:p>
        </w:tc>
        <w:tc>
          <w:tcPr>
            <w:tcW w:w="2400" w:type="dxa"/>
            <w:vAlign w:val="bottom"/>
            <w:gridSpan w:val="2"/>
            <w:shd w:val="clear" w:color="auto" w:fill="EEEEEE"/>
          </w:tcPr>
          <w:p>
            <w:pPr>
              <w:jc w:val="right"/>
              <w:ind w:right="860"/>
              <w:spacing w:after="0"/>
              <w:rPr>
                <w:sz w:val="20"/>
                <w:szCs w:val="20"/>
                <w:color w:val="auto"/>
              </w:rPr>
            </w:pPr>
            <w:r>
              <w:rPr>
                <w:rFonts w:ascii="Arial" w:cs="Arial" w:eastAsia="Arial" w:hAnsi="Arial"/>
                <w:sz w:val="18"/>
                <w:szCs w:val="18"/>
                <w:color w:val="auto"/>
              </w:rPr>
              <w:t>$535</w:t>
            </w:r>
          </w:p>
        </w:tc>
        <w:tc>
          <w:tcPr>
            <w:tcW w:w="17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ind w:left="460" w:right="60" w:hanging="452"/>
        <w:spacing w:after="0" w:line="253"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debt obligations as of December 31, 2004 include approximately $380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consolidated balance sheet as of December 31, 2004.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228"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December 31, 2004, we have $590 million of tax-exempt bonds and $46 million of tax-exempt project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2004 because the borrowings are supported by letters of credit primarily issued under our five-year revolving credit facility, which is long-term.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Our debt balances are generally unsecured, except for approximately $405 million of the tax-exempt project bonds outstanding at December 31, 2004 that were issued by certain subsidiaries within our Wheelabrator Group. These bonds are secured by the related subsidiaries’ assets that have a carrying value of approximately $652 million and the related subsidiaries’ future revenue. Additionally, our consolidated variable interest entities have approximately $130 million of outstanding borrowings that are collateralized by certain of their assets. These assets have a carrying value of approximately $418 million as of December 31, 2004. See Note 19 for further discussion.</w:t>
      </w:r>
    </w:p>
    <w:p>
      <w:pPr>
        <w:spacing w:after="0" w:line="224" w:lineRule="exact"/>
        <w:rPr>
          <w:sz w:val="20"/>
          <w:szCs w:val="20"/>
          <w:color w:val="auto"/>
        </w:rPr>
      </w:pPr>
    </w:p>
    <w:p>
      <w:pPr>
        <w:ind w:right="440" w:firstLine="324"/>
        <w:spacing w:after="0" w:line="370" w:lineRule="auto"/>
        <w:rPr>
          <w:sz w:val="20"/>
          <w:szCs w:val="20"/>
          <w:color w:val="auto"/>
        </w:rPr>
      </w:pPr>
      <w:r>
        <w:rPr>
          <w:rFonts w:ascii="Arial" w:cs="Arial" w:eastAsia="Arial" w:hAnsi="Arial"/>
          <w:sz w:val="15"/>
          <w:szCs w:val="15"/>
          <w:color w:val="auto"/>
        </w:rPr>
        <w:t>As part of our operations, and in connection with issuances of tax-exempt bonds, we use letters of credit to support our bonding and financial assurance needs. The following table summarizes our outstanding letters of credit (in millions) categorized by each major facility outstanding at December 31:</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$1,366</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$1,608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Letter of credit and term loan agreements(a)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Letter of credit facility(b)</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$2,085</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$2,387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3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June 2003, we entered into a five-year, $15 million letter of credit and term loan agreement, a seven-year, $175 million letter of credit and term loan agreement, and a ten-year, $105 million letter of credit and term loan agreement.</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December 2003, we entered into a five-year, $350 million letter of credit facility.</w:t>
      </w:r>
    </w:p>
    <w:p>
      <w:pPr>
        <w:spacing w:after="0" w:line="252" w:lineRule="exact"/>
        <w:rPr>
          <w:sz w:val="20"/>
          <w:szCs w:val="20"/>
          <w:color w:val="auto"/>
        </w:rPr>
      </w:pPr>
    </w:p>
    <w:p>
      <w:pPr>
        <w:ind w:right="440" w:firstLine="270"/>
        <w:spacing w:after="0" w:line="259" w:lineRule="auto"/>
        <w:rPr>
          <w:sz w:val="20"/>
          <w:szCs w:val="20"/>
          <w:color w:val="auto"/>
        </w:rPr>
      </w:pPr>
      <w:r>
        <w:rPr>
          <w:rFonts w:ascii="Arial" w:cs="Arial" w:eastAsia="Arial" w:hAnsi="Arial"/>
          <w:sz w:val="18"/>
          <w:szCs w:val="18"/>
          <w:color w:val="auto"/>
        </w:rPr>
        <w:t>Our letters of credit generally have terms providing for automatic renewal after one year. In the event of an unreimbursed draw on a letter of credit, the amount of the draw paid by the letter of credit provider generally converts into a term loan for the remaining term under the respective agreement or facility. Through December 31, 2004, we had not experienced any unreimbursed draws on letters of credit.</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manage the interest rate risk of our debt portfolio principally by using interest rate derivatives to achieve a desired position of fixed and floating rate debt, which was approximately 63% fixed and 37% floating at December 31, 2004. We do not use interest rate derivatives for trading or speculative purposes. Our significant interest rate swap agreements that were outstanding as of December 31, 2004 and 2003 are set forth in the table below (dollars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17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Receive</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ind w:right="712"/>
              <w:spacing w:after="0"/>
              <w:rPr>
                <w:sz w:val="20"/>
                <w:szCs w:val="20"/>
                <w:color w:val="auto"/>
              </w:rPr>
            </w:pPr>
            <w:r>
              <w:rPr>
                <w:rFonts w:ascii="Arial" w:cs="Arial" w:eastAsia="Arial" w:hAnsi="Arial"/>
                <w:sz w:val="14"/>
                <w:szCs w:val="14"/>
                <w:b w:val="1"/>
                <w:bCs w:val="1"/>
                <w:color w:val="auto"/>
              </w:rPr>
              <w:t>Pay</w:t>
            </w:r>
          </w:p>
        </w:tc>
        <w:tc>
          <w:tcPr>
            <w:tcW w:w="220" w:type="dxa"/>
            <w:vAlign w:val="bottom"/>
          </w:tcPr>
          <w:p>
            <w:pPr>
              <w:spacing w:after="0"/>
              <w:rPr>
                <w:sz w:val="15"/>
                <w:szCs w:val="15"/>
                <w:color w:val="auto"/>
              </w:rPr>
            </w:pPr>
          </w:p>
        </w:tc>
        <w:tc>
          <w:tcPr>
            <w:tcW w:w="2600" w:type="dxa"/>
            <w:vAlign w:val="bottom"/>
          </w:tcPr>
          <w:p>
            <w:pPr>
              <w:ind w:left="880"/>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Net Liability(a)</w:t>
            </w:r>
          </w:p>
        </w:tc>
      </w:tr>
      <w:tr>
        <w:trPr>
          <w:trHeight w:val="95"/>
        </w:trPr>
        <w:tc>
          <w:tcPr>
            <w:tcW w:w="2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r>
      <w:tr>
        <w:trPr>
          <w:trHeight w:val="239"/>
        </w:trPr>
        <w:tc>
          <w:tcPr>
            <w:tcW w:w="2300" w:type="dxa"/>
            <w:vAlign w:val="bottom"/>
            <w:gridSpan w:val="2"/>
          </w:tcPr>
          <w:p>
            <w:pPr>
              <w:spacing w:after="0"/>
              <w:rPr>
                <w:sz w:val="20"/>
                <w:szCs w:val="20"/>
                <w:color w:val="auto"/>
              </w:rPr>
            </w:pPr>
            <w:r>
              <w:rPr>
                <w:rFonts w:ascii="Arial" w:cs="Arial" w:eastAsia="Arial" w:hAnsi="Arial"/>
                <w:sz w:val="14"/>
                <w:szCs w:val="14"/>
                <w:color w:val="auto"/>
              </w:rPr>
              <w:t>December 31, 2004</w:t>
            </w:r>
          </w:p>
        </w:tc>
        <w:tc>
          <w:tcPr>
            <w:tcW w:w="940" w:type="dxa"/>
            <w:vAlign w:val="bottom"/>
            <w:gridSpan w:val="2"/>
          </w:tcPr>
          <w:p>
            <w:pPr>
              <w:ind w:left="360"/>
              <w:spacing w:after="0"/>
              <w:rPr>
                <w:sz w:val="20"/>
                <w:szCs w:val="20"/>
                <w:color w:val="auto"/>
              </w:rPr>
            </w:pPr>
            <w:r>
              <w:rPr>
                <w:rFonts w:ascii="Arial" w:cs="Arial" w:eastAsia="Arial" w:hAnsi="Arial"/>
                <w:sz w:val="14"/>
                <w:szCs w:val="14"/>
                <w:color w:val="auto"/>
              </w:rPr>
              <w:t>$2,550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Fixed</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5.00%-7.65%</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Floating</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2.36%-6.95%</w:t>
            </w:r>
          </w:p>
        </w:tc>
        <w:tc>
          <w:tcPr>
            <w:tcW w:w="220" w:type="dxa"/>
            <w:vAlign w:val="bottom"/>
          </w:tcPr>
          <w:p>
            <w:pPr>
              <w:spacing w:after="0"/>
              <w:rPr>
                <w:sz w:val="20"/>
                <w:szCs w:val="20"/>
                <w:color w:val="auto"/>
              </w:rPr>
            </w:pPr>
          </w:p>
        </w:tc>
        <w:tc>
          <w:tcPr>
            <w:tcW w:w="2600" w:type="dxa"/>
            <w:vAlign w:val="bottom"/>
          </w:tcPr>
          <w:p>
            <w:pPr>
              <w:ind w:left="540"/>
              <w:spacing w:after="0"/>
              <w:rPr>
                <w:sz w:val="20"/>
                <w:szCs w:val="20"/>
                <w:color w:val="auto"/>
              </w:rPr>
            </w:pPr>
            <w:r>
              <w:rPr>
                <w:rFonts w:ascii="Arial" w:cs="Arial" w:eastAsia="Arial" w:hAnsi="Arial"/>
                <w:sz w:val="14"/>
                <w:szCs w:val="14"/>
                <w:color w:val="auto"/>
              </w:rPr>
              <w:t>Through December 15, 2017</w:t>
            </w:r>
          </w:p>
        </w:tc>
        <w:tc>
          <w:tcPr>
            <w:tcW w:w="240" w:type="dxa"/>
            <w:vAlign w:val="bottom"/>
          </w:tcPr>
          <w:p>
            <w:pPr>
              <w:spacing w:after="0"/>
              <w:rPr>
                <w:sz w:val="20"/>
                <w:szCs w:val="20"/>
                <w:color w:val="auto"/>
              </w:rPr>
            </w:pPr>
          </w:p>
        </w:tc>
        <w:tc>
          <w:tcPr>
            <w:tcW w:w="1260" w:type="dxa"/>
            <w:vAlign w:val="bottom"/>
          </w:tcPr>
          <w:p>
            <w:pPr>
              <w:ind w:left="520"/>
              <w:spacing w:after="0"/>
              <w:rPr>
                <w:sz w:val="20"/>
                <w:szCs w:val="20"/>
                <w:color w:val="auto"/>
              </w:rPr>
            </w:pPr>
            <w:r>
              <w:rPr>
                <w:rFonts w:ascii="Arial" w:cs="Arial" w:eastAsia="Arial" w:hAnsi="Arial"/>
                <w:sz w:val="14"/>
                <w:szCs w:val="14"/>
                <w:color w:val="auto"/>
              </w:rPr>
              <w:t>$(84)(b)</w:t>
            </w:r>
          </w:p>
        </w:tc>
      </w:tr>
      <w:tr>
        <w:trPr>
          <w:trHeight w:val="172"/>
        </w:trPr>
        <w:tc>
          <w:tcPr>
            <w:tcW w:w="2300" w:type="dxa"/>
            <w:vAlign w:val="bottom"/>
            <w:gridSpan w:val="2"/>
          </w:tcPr>
          <w:p>
            <w:pPr>
              <w:spacing w:after="0"/>
              <w:rPr>
                <w:sz w:val="20"/>
                <w:szCs w:val="20"/>
                <w:color w:val="auto"/>
              </w:rPr>
            </w:pPr>
            <w:r>
              <w:rPr>
                <w:rFonts w:ascii="Arial" w:cs="Arial" w:eastAsia="Arial" w:hAnsi="Arial"/>
                <w:sz w:val="14"/>
                <w:szCs w:val="14"/>
                <w:color w:val="auto"/>
              </w:rPr>
              <w:t>December 31, 2003</w:t>
            </w:r>
          </w:p>
        </w:tc>
        <w:tc>
          <w:tcPr>
            <w:tcW w:w="940" w:type="dxa"/>
            <w:vAlign w:val="bottom"/>
            <w:gridSpan w:val="2"/>
          </w:tcPr>
          <w:p>
            <w:pPr>
              <w:ind w:left="360"/>
              <w:spacing w:after="0"/>
              <w:rPr>
                <w:sz w:val="20"/>
                <w:szCs w:val="20"/>
                <w:color w:val="auto"/>
              </w:rPr>
            </w:pPr>
            <w:r>
              <w:rPr>
                <w:rFonts w:ascii="Arial" w:cs="Arial" w:eastAsia="Arial" w:hAnsi="Arial"/>
                <w:sz w:val="14"/>
                <w:szCs w:val="14"/>
                <w:color w:val="auto"/>
              </w:rPr>
              <w:t>$2,250</w:t>
            </w:r>
          </w:p>
        </w:tc>
        <w:tc>
          <w:tcPr>
            <w:tcW w:w="2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Fixed</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6.38%-7.65%</w:t>
            </w: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Floating</w:t>
            </w: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3.74%-5.54%</w:t>
            </w:r>
          </w:p>
        </w:tc>
        <w:tc>
          <w:tcPr>
            <w:tcW w:w="220" w:type="dxa"/>
            <w:vAlign w:val="bottom"/>
          </w:tcPr>
          <w:p>
            <w:pPr>
              <w:spacing w:after="0"/>
              <w:rPr>
                <w:sz w:val="14"/>
                <w:szCs w:val="14"/>
                <w:color w:val="auto"/>
              </w:rPr>
            </w:pPr>
          </w:p>
        </w:tc>
        <w:tc>
          <w:tcPr>
            <w:tcW w:w="2600" w:type="dxa"/>
            <w:vAlign w:val="bottom"/>
          </w:tcPr>
          <w:p>
            <w:pPr>
              <w:ind w:left="540"/>
              <w:spacing w:after="0"/>
              <w:rPr>
                <w:sz w:val="20"/>
                <w:szCs w:val="20"/>
                <w:color w:val="auto"/>
              </w:rPr>
            </w:pPr>
            <w:r>
              <w:rPr>
                <w:rFonts w:ascii="Arial" w:cs="Arial" w:eastAsia="Arial" w:hAnsi="Arial"/>
                <w:sz w:val="14"/>
                <w:szCs w:val="14"/>
                <w:color w:val="auto"/>
              </w:rPr>
              <w:t>Through December 15, 2017</w:t>
            </w:r>
          </w:p>
        </w:tc>
        <w:tc>
          <w:tcPr>
            <w:tcW w:w="240" w:type="dxa"/>
            <w:vAlign w:val="bottom"/>
          </w:tcPr>
          <w:p>
            <w:pPr>
              <w:spacing w:after="0"/>
              <w:rPr>
                <w:sz w:val="14"/>
                <w:szCs w:val="14"/>
                <w:color w:val="auto"/>
              </w:rPr>
            </w:pPr>
          </w:p>
        </w:tc>
        <w:tc>
          <w:tcPr>
            <w:tcW w:w="1260" w:type="dxa"/>
            <w:vAlign w:val="bottom"/>
          </w:tcPr>
          <w:p>
            <w:pPr>
              <w:ind w:left="520"/>
              <w:spacing w:after="0"/>
              <w:rPr>
                <w:sz w:val="20"/>
                <w:szCs w:val="20"/>
                <w:color w:val="auto"/>
              </w:rPr>
            </w:pPr>
            <w:r>
              <w:rPr>
                <w:rFonts w:ascii="Arial" w:cs="Arial" w:eastAsia="Arial" w:hAnsi="Arial"/>
                <w:sz w:val="14"/>
                <w:szCs w:val="14"/>
                <w:color w:val="auto"/>
              </w:rPr>
              <w:t>$(99)(c)</w:t>
            </w:r>
          </w:p>
        </w:tc>
      </w:tr>
      <w:tr>
        <w:trPr>
          <w:trHeight w:val="203"/>
        </w:trPr>
        <w:tc>
          <w:tcPr>
            <w:tcW w:w="2080" w:type="dxa"/>
            <w:vAlign w:val="bottom"/>
            <w:tcBorders>
              <w:bottom w:val="single" w:sz="8" w:color="808080"/>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343" w:lineRule="exact"/>
        <w:rPr>
          <w:sz w:val="20"/>
          <w:szCs w:val="20"/>
          <w:color w:val="auto"/>
        </w:rPr>
      </w:pPr>
    </w:p>
    <w:p>
      <w:pPr>
        <w:ind w:left="460" w:right="8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the fair value of each interest rate derivative is included in our balance sheets as either a component of other long-term assets or other long-term liabilities, and fair value adjustments to the underlying debt are deferred and recognized as an adjustment to interest expense over the remaining term of the hedged instrument.</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fair value for these interest rate derivatives is comprised of $7 million of long-term assets and $91 million of long-term liabilities.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fair value for these interest rate derivatives is comprised of $2 million of long-term assets and $101 million of long-term liabilities.</w:t>
      </w:r>
    </w:p>
    <w:p>
      <w:pPr>
        <w:spacing w:after="0" w:line="252"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No terminations of interest rate swaps were experienced in 2004. In 2003, we elected to terminate several interest rate swap agreements with a notional amount of $2.35 billion prior to the scheduled maturities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received cash of $117 million (which was comprised of $109 million for the fair value of the swaps terminated and $8 million of interest receivable) from the counterparties to the interest rate swaps. In 2002, we elected to terminate several interest rate swap agreements with a notional amount of $2.95 billion prior to the scheduled maturities and received cash of $200 million (which was comprised of $166 million for the fair value of the swaps that were terminated and</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$34 million of accrued but unpaid interest receivable) from the counterparties to the interest rate swaps. We designated these swap agreements as fair value hedges, and as such the unamortized adjustment to long-term debt for the change in fair value of the swaps remains classified as long-term debt and will be amortized over the remaining life of the underlying debt. The proceeds received from the termination of the interest rate swap agreements have been classified as a change in other assets or other liabilities within operating activities in the accompanying consolidated statements of cash flows.</w:t>
      </w:r>
    </w:p>
    <w:p>
      <w:pPr>
        <w:spacing w:after="0" w:line="19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$135 million as of December 31, 2004 and $168 million as of December 31, 2003. The following table summarizes the accumulated fair value adjustments from interest rate swap agreements by underlying debt instrument category at December 31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jc w:val="center"/>
              <w:ind w:right="272"/>
              <w:spacing w:after="0"/>
              <w:rPr>
                <w:sz w:val="20"/>
                <w:szCs w:val="20"/>
                <w:color w:val="auto"/>
              </w:rPr>
            </w:pPr>
            <w:r>
              <w:rPr>
                <w:rFonts w:ascii="Arial" w:cs="Arial" w:eastAsia="Arial" w:hAnsi="Arial"/>
                <w:sz w:val="14"/>
                <w:szCs w:val="14"/>
                <w:b w:val="1"/>
                <w:bCs w:val="1"/>
                <w:color w:val="auto"/>
                <w:w w:val="85"/>
              </w:rPr>
              <w:t>Increase (decrease) in carrying value of debt due to</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tcPr>
          <w:p>
            <w:pPr>
              <w:jc w:val="center"/>
              <w:ind w:right="292"/>
              <w:spacing w:after="0"/>
              <w:rPr>
                <w:sz w:val="20"/>
                <w:szCs w:val="20"/>
                <w:color w:val="auto"/>
              </w:rPr>
            </w:pPr>
            <w:r>
              <w:rPr>
                <w:rFonts w:ascii="Arial" w:cs="Arial" w:eastAsia="Arial" w:hAnsi="Arial"/>
                <w:sz w:val="14"/>
                <w:szCs w:val="14"/>
                <w:b w:val="1"/>
                <w:bCs w:val="1"/>
                <w:color w:val="auto"/>
                <w:w w:val="84"/>
              </w:rPr>
              <w:t>hedge accounting for interest rate swaps</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Active swap agreements</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 (84)</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 (99)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Terminated swap agreements(a)</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Tax-exempt and project bonds: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Terminated swap agreements(a)</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16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December 31, 2004, $42 million (on a pre-tax basis) of the carrying value of debt associated with terminated swap agreements is scheduled to be reclassified as a credit to interest expense over the next twelve months. Approximately $48 million (on a pre-tax basis) of the December 31, 2003 balance was reclassified into earnings during 2004.</w:t>
      </w:r>
    </w:p>
    <w:p>
      <w:pPr>
        <w:spacing w:after="0" w:line="221" w:lineRule="exact"/>
        <w:rPr>
          <w:sz w:val="20"/>
          <w:szCs w:val="20"/>
          <w:color w:val="auto"/>
        </w:rPr>
      </w:pPr>
    </w:p>
    <w:p>
      <w:pPr>
        <w:jc w:val="both"/>
        <w:ind w:right="180" w:firstLine="270"/>
        <w:spacing w:after="0" w:line="306" w:lineRule="auto"/>
        <w:rPr>
          <w:sz w:val="20"/>
          <w:szCs w:val="20"/>
          <w:color w:val="auto"/>
        </w:rPr>
      </w:pPr>
      <w:r>
        <w:rPr>
          <w:rFonts w:ascii="Arial" w:cs="Arial" w:eastAsia="Arial" w:hAnsi="Arial"/>
          <w:sz w:val="16"/>
          <w:szCs w:val="16"/>
          <w:color w:val="auto"/>
        </w:rPr>
        <w:t>Interest rate swap agreements reduced net interest expense by approximately $90 million for the year ended December 31, 2004, approximately $96 million for the year ended December 31, 2003 and approximately $86 million for the year ended December 31, 2002. The significant terms of the interest rate contracts and the underlying debt instruments are identical and therefore no ineffectiveness has been realized.</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locks</w:t>
      </w:r>
    </w:p>
    <w:p>
      <w:pPr>
        <w:spacing w:after="0" w:line="252"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We have entered into cash flow hedges to secure underlying interest rates in anticipation of senior note issuances. These hedging agreements resulted in a deferred loss, net of taxes, of approximately $36 million at December 31, 2003 and approximately $35 million at December 31, 2004, which is included in accumulated other comprehensive income. As of December 31, 2004, approximately $6 million (on a pre-tax basis) is scheduled to be reclassified into interest expense over the next twelve months.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jc w:val="center"/>
        <w:ind w:right="-19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For financial reporting purposes, income before income taxes and cumulative effect of changes in accounting principles, showing domestic and foreign sources, was as follows (in millions):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gridSpan w:val="6"/>
          </w:tcPr>
          <w:p>
            <w:pPr>
              <w:ind w:left="160"/>
              <w:spacing w:after="0"/>
              <w:rPr>
                <w:sz w:val="20"/>
                <w:szCs w:val="20"/>
                <w:color w:val="auto"/>
              </w:rPr>
            </w:pPr>
            <w:r>
              <w:rPr>
                <w:rFonts w:ascii="Arial" w:cs="Arial" w:eastAsia="Arial" w:hAnsi="Arial"/>
                <w:sz w:val="14"/>
                <w:szCs w:val="14"/>
                <w:b w:val="1"/>
                <w:bCs w:val="1"/>
                <w:color w:val="auto"/>
                <w:w w:val="84"/>
              </w:rPr>
              <w:t>Years Ended December 31,</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Domestic</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$1,088</w:t>
            </w: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$1,033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w w:val="94"/>
              </w:rPr>
              <w:t>Income before income taxes and cumulative effect of changes in accounting</w:t>
            </w: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$1,178</w:t>
            </w: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taxes on income before cumulative effect of changes in accounting principles consisted of the following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6"/>
          </w:tcPr>
          <w:p>
            <w:pPr>
              <w:ind w:left="120"/>
              <w:spacing w:after="0"/>
              <w:rPr>
                <w:sz w:val="20"/>
                <w:szCs w:val="20"/>
                <w:color w:val="auto"/>
              </w:rPr>
            </w:pPr>
            <w:r>
              <w:rPr>
                <w:rFonts w:ascii="Arial" w:cs="Arial" w:eastAsia="Arial" w:hAnsi="Arial"/>
                <w:sz w:val="14"/>
                <w:szCs w:val="14"/>
                <w:b w:val="1"/>
                <w:bCs w:val="1"/>
                <w:color w:val="auto"/>
                <w:w w:val="86"/>
              </w:rPr>
              <w:t>Years Ended December 31,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136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308</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259</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156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363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247</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404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422</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federal statutory income tax rate is reconciled to the effective rate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4"/>
                <w:szCs w:val="14"/>
                <w:b w:val="1"/>
                <w:bCs w:val="1"/>
                <w:color w:val="auto"/>
                <w:w w:val="86"/>
              </w:rPr>
              <w:t>Years Ended December 31,</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at U.S. federal statutory rate</w:t>
            </w:r>
          </w:p>
        </w:tc>
        <w:tc>
          <w:tcPr>
            <w:tcW w:w="1040" w:type="dxa"/>
            <w:vAlign w:val="bottom"/>
            <w:gridSpan w:val="3"/>
            <w:shd w:val="clear" w:color="auto" w:fill="EEEEEE"/>
          </w:tcPr>
          <w:p>
            <w:pPr>
              <w:jc w:val="right"/>
              <w:ind w:right="52"/>
              <w:spacing w:after="0"/>
              <w:rPr>
                <w:sz w:val="20"/>
                <w:szCs w:val="20"/>
                <w:color w:val="auto"/>
              </w:rPr>
            </w:pPr>
            <w:r>
              <w:rPr>
                <w:rFonts w:ascii="Arial" w:cs="Arial" w:eastAsia="Arial" w:hAnsi="Arial"/>
                <w:sz w:val="18"/>
                <w:szCs w:val="18"/>
                <w:color w:val="auto"/>
              </w:rPr>
              <w:t>35.00%</w:t>
            </w:r>
          </w:p>
        </w:tc>
        <w:tc>
          <w:tcPr>
            <w:tcW w:w="11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Nonconventional fuel tax credits</w:t>
            </w:r>
          </w:p>
        </w:tc>
        <w:tc>
          <w:tcPr>
            <w:tcW w:w="10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(10.21)</w:t>
            </w:r>
          </w:p>
        </w:tc>
        <w:tc>
          <w:tcPr>
            <w:tcW w:w="114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1040" w:type="dxa"/>
            <w:vAlign w:val="bottom"/>
            <w:gridSpan w:val="3"/>
          </w:tcPr>
          <w:p>
            <w:pPr>
              <w:jc w:val="right"/>
              <w:ind w:right="152"/>
              <w:spacing w:after="0"/>
              <w:rPr>
                <w:sz w:val="20"/>
                <w:szCs w:val="20"/>
                <w:color w:val="auto"/>
              </w:rPr>
            </w:pPr>
            <w:r>
              <w:rPr>
                <w:rFonts w:ascii="Arial" w:cs="Arial" w:eastAsia="Arial" w:hAnsi="Arial"/>
                <w:sz w:val="18"/>
                <w:szCs w:val="18"/>
                <w:color w:val="auto"/>
              </w:rPr>
              <w:t>(7.05)</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Nondeductible costs relating to acquired intangibles</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2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0.81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Sale of subsidiaries</w:t>
            </w:r>
          </w:p>
        </w:tc>
        <w:tc>
          <w:tcPr>
            <w:tcW w:w="320" w:type="dxa"/>
            <w:vAlign w:val="bottom"/>
          </w:tcPr>
          <w:p>
            <w:pPr>
              <w:spacing w:after="0"/>
              <w:rPr>
                <w:sz w:val="18"/>
                <w:szCs w:val="18"/>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Tax rate differential on foreign income</w:t>
            </w:r>
          </w:p>
        </w:tc>
        <w:tc>
          <w:tcPr>
            <w:tcW w:w="10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(1.39)</w:t>
            </w:r>
          </w:p>
        </w:tc>
        <w:tc>
          <w:tcPr>
            <w:tcW w:w="114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Provision for income taxes</w:t>
            </w:r>
          </w:p>
        </w:tc>
        <w:tc>
          <w:tcPr>
            <w:tcW w:w="1040" w:type="dxa"/>
            <w:vAlign w:val="bottom"/>
            <w:gridSpan w:val="3"/>
            <w:shd w:val="clear" w:color="auto" w:fill="EEEEEE"/>
          </w:tcPr>
          <w:p>
            <w:pPr>
              <w:jc w:val="right"/>
              <w:ind w:right="52"/>
              <w:spacing w:after="0"/>
              <w:rPr>
                <w:sz w:val="20"/>
                <w:szCs w:val="20"/>
                <w:color w:val="auto"/>
              </w:rPr>
            </w:pPr>
            <w:r>
              <w:rPr>
                <w:rFonts w:ascii="Arial" w:cs="Arial" w:eastAsia="Arial" w:hAnsi="Arial"/>
                <w:sz w:val="18"/>
                <w:szCs w:val="18"/>
                <w:color w:val="auto"/>
              </w:rPr>
              <w:t>20.97%</w:t>
            </w:r>
          </w:p>
        </w:tc>
        <w:tc>
          <w:tcPr>
            <w:tcW w:w="11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35.98%</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During 2004, the favorable impact of non-conventional fuel tax credits has been derived from our landfills and our investments in two coal-based synthetic fuel production facilities (the “Facilities”), which are</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discussed in more detail below. The fuel generated from our landfills and the Facilities qualifies for tax credits through 2007 pursuant to section 29 of the Internal Revenue Code, and may be phased-out when the price of oil exceeds a threshold annual average price determined by the U.S. Internal Revenue Service.</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first and second quarters of 2004, we acquired minority ownership interests in the two Facilities for approximately $119.7 million, which is comprised primarily of notes payable of $118.5 million and commitments to fund our pro-rata share of the operations of the Facilities. We have also agreed to make additional payments to the seller based on our pro-rata allocation of the tax credits generated by each Facility. We have been granted private letter rulings from the IRS confirming that the synthetic fuel produced by the Facilities is a “qualified fuel” under Section 29 of the Internal Revenue Code and that the resulting tax credits may be allocated among the owners of the interests in the Facilities.</w:t>
      </w:r>
    </w:p>
    <w:p>
      <w:pPr>
        <w:spacing w:after="0" w:line="2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account for our investment in the Facilities using the equity method of accounting, which results in the recognition of our pro-rata share of the Facilities’ losses, the amortization of our initial investments and other estimated obligations being recorded as equity in losses of unconsolidated entities within our statement of operations which totaled approximately $102 million during 2004. We also recognized interest expense related to these investments of approximately $8 million during 2004, resulting in total losses of approximately $110 million for 2004. These impacts would not have been incurred if we had not acquired the minority ownership interest in the Facilities, and if the tax credits generated by the Facilities were no longer allowable under Section 29 of the Internal Revenue Code, we would no longer incur these losses.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tax benefits that we realize as a result of our investments in the Facilities have been reflected as a reduction to our provision for income taxes. This resulted in a decrease in our tax provision of approximately $131 million (including $88 million of tax credits) for 2004, which more than offset the equity losses and interest expense recognized during the year.</w:t>
      </w:r>
    </w:p>
    <w:p>
      <w:pPr>
        <w:spacing w:after="0" w:line="221"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In 2004, and to a lesser extent in 2003, we settled several tax audits. In 2004 and 2003 we realized approximately $101 million and $6 million, respectively, in tax benefits related to these settlements, and in 2004 we also realized $46 million in interest income related to these settlements.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assets (liabilities) at December 31 are as follows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Net operating loss, capital loss and tax credit carryforwards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Landfill and environmental remediation liabilities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Miscellaneous and other reserves</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(1,150)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Goodwill and other intangibles</w:t>
            </w: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Net deferred tax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(1,322)</w:t>
            </w:r>
          </w:p>
        </w:tc>
        <w:tc>
          <w:tcPr>
            <w:tcW w:w="60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(1,196)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Refer to Note 2 for disclosure associated with the net deferred tax liability reclassification associated with the completion of our review of our tax-basis balance sheets during 2004.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At December 31, 2004 we had approximately $11 million of federal net operating loss (“NOL”) carryforwards, $4.3 billion of state NOL carryforwards, and $100 million of Canadian NOL carryforwards. The federal and state NOL carryforwards have expiration dates through the year 2024. The Canadian NOL carryforwards have the following expiry: $34 million in 2005, $8 million in 2006, $27 million in 2007, $30 million in 2009 and $1 million in 2010. We have approximately $1 million of alternative minimum tax credit carryforwards that may be used indefinitely and state tax credit carryforwards of $14 million.</w:t>
      </w:r>
    </w:p>
    <w:p>
      <w:pPr>
        <w:spacing w:after="0" w:line="194"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have established valuation allowances for uncertainties in realizing the benefit of tax loss and credit carryforwards and other deferred tax assets. While we expect to realize the deferred tax assets, net of the valuation allowances, changes in estimates of future taxable income or in tax laws may alter this expectation. The valuation allowance increased approximately $27 million in both 2004 and 2003 primarily due to the uncertainty of realizing federal and state NOL carryforwards and tax credits.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Unremitted earnings in foreign subsidiaries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Unremitted earnings in foreign operations were approximately $350 million at December 31, 2004. On October 22, 2004, the President of the United States signed the American Jobs Creation Act of 2004 (the “Act”) into law. A provision of the Act allows companies to repatriate funds in the form of an 85% deduction of foreign earnings repatriated at a reduced tax rate under certain circumstances. We may elect to apply this provision to qualifying earnings repatriations made during the reporting period ending December 31, 2005. We are currently evaluating the potential impact of this legislation, including assessing the details of the Act and analyzing the funds available for repatriation. However, given the preliminary status of the evaluation, we do not expect to be able to complete the analysis until after Congress or the Treasury Department provide additional clarifying language on key elements of the provision. We currently expect to complete our evaluation of the effects of the repatriation provision within a reasonable period of time following the publication of the additional clarifying language. Currently, the range of possible amounts that we are considering for repatriation under this provision is between zero and $500 million. The related potential range of income tax for such repatriation is between zero and $35 million.</w:t>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Waste Management Retirement Savings Plan (“Savings Plan”) covers employees (except those working subject to collective bargaining agreements, which do not provide for coverage under such plans) following a 90-day waiting period after hire. Through December 31, 2004 eligible employees were allowed to contribute up to 15% of their annual compensation. As of January 1, 2005, eligible employees may contribute as much as 25% of their pay under the Savings Plan. All employee contributions are subject to annual contribution limitations established by the IRS. Under the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operations for our defined contribution plans were $46 million in 2004 and $43 million during both 2003 and 2002.</w:t>
      </w:r>
    </w:p>
    <w:p>
      <w:pPr>
        <w:spacing w:after="0" w:line="199"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Waste Management Holdings, Inc. (“WM Holdings”) and certain of its subsidiaries provided post-retirement health care and other benefits to eligible employees. In conjunction with our acquisition of WM Holdings in July 1998, we limited participation in these plans to participating retired employees as of December 31, 1998. The benefit obligation for these plans was $62 million and $60 million at December 31, 2004 and 2003, respectively. The discount rate assumptions used in the measurement of our benefit obligations as of December 31, 2004 and 2003 were 5.5% and 6.0%, respectively. The accrued benefit liability as of December 31, 2004 and 2003 was $62 million and $64 million, respectively, which is reflected in accrued liabilities in our consolidated balance sheets.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Participants in the WM Holdings post-retirement plan contribute to the cost of the benefit, and for retirees since January 1, 1992, our contribution is capped at between $0 and $600 per month per retiree, based on years of service. For measurement purposes, a 12% annual rate of increase in the per capita cost of covered health care claims was assumed for 2004 (being an average of the rate used by all plans); the rate was assumed to decrease to 5.5% in 2010 and remain at that level thereafter.</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1% change in assumed health care cost trend rates has no significant effect on total service and interest cost components of net periodic post-retirement health care costs. A 1% increase or decrease in assumed health care cost trend rates would increase or decrease the accumulated post-retirement benefit obligation by approximately $5 million.</w:t>
      </w:r>
    </w:p>
    <w:p>
      <w:pPr>
        <w:spacing w:after="0" w:line="221" w:lineRule="exact"/>
        <w:rPr>
          <w:sz w:val="20"/>
          <w:szCs w:val="20"/>
          <w:color w:val="auto"/>
        </w:rPr>
      </w:pPr>
    </w:p>
    <w:p>
      <w:pPr>
        <w:ind w:right="240" w:firstLine="324"/>
        <w:spacing w:after="0" w:line="318" w:lineRule="auto"/>
        <w:rPr>
          <w:sz w:val="20"/>
          <w:szCs w:val="20"/>
          <w:color w:val="auto"/>
        </w:rPr>
      </w:pPr>
      <w:r>
        <w:rPr>
          <w:rFonts w:ascii="Arial" w:cs="Arial" w:eastAsia="Arial" w:hAnsi="Arial"/>
          <w:sz w:val="15"/>
          <w:szCs w:val="15"/>
          <w:color w:val="auto"/>
        </w:rPr>
        <w:t>Our subsidiaries participate in various multi-employer employee benefit and pension plans covering certain union employees not covered under other pension plans. These multi-employer plans are generally defined contribution plans. Specific benefit levels provided by union pension plans are not negotiated with or known by the employer contributors. Additionally, we have one instance of a site-specific plan for employees not covered under other plans. The projected benefit obligation, plan assets and unfunded liability of the multi-employer pension plans and the site specific plan are not material. Contributions of $35 million in 2004 and $31 million during both 2003 and 2002 were charged to operations for subsidiaries’ defined benefit and contribution plans.</w:t>
      </w:r>
    </w:p>
    <w:p>
      <w:pPr>
        <w:spacing w:after="0" w:line="391"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We have obtained letters of credit, performance bonds and insurance policies, and have established trust funds and issued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guarantees to support tax-exempt bonds, contracts, performance of landfill closure and post-closure requirements, environmental remediation, and other obligations.</w:t>
      </w:r>
    </w:p>
    <w:p>
      <w:pPr>
        <w:spacing w:after="0" w:line="2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Historically, our revolving credit facilities have been used to obtain letters of credit to support our bonding and financial assurance needs as discussed further in Note 7. Additionally, we obtain surety bonds and insurance policies from an affiliated entity that we have an investment in and account for under the equity method.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224"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22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During 2003, we entered into letter of credit and term loan agreements and a letter of credit facility to provide us with additional sources of capacity from which we may obtain letters of credit. See Note 7 for additional information related to these arrangements. Additionally in 2003, we guaranteed the debt of a newly formed surety company in order to assist in the establishment of that entity. The terms of this guarantee are further discussed within the Guarantees section of this note. This variable interest entity is consolidated as described in Note 19.</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exposure to loss for insurance claims is generally limited to the per incident deductible under the related insurance policy. Our exposure, however, could increase if our insurers were unable to meet their commitments on a timely basis.</w:t>
      </w:r>
    </w:p>
    <w:p>
      <w:pPr>
        <w:spacing w:after="0" w:line="213" w:lineRule="exact"/>
        <w:rPr>
          <w:sz w:val="20"/>
          <w:szCs w:val="20"/>
          <w:color w:val="auto"/>
        </w:rPr>
      </w:pPr>
    </w:p>
    <w:p>
      <w:pPr>
        <w:ind w:right="20" w:firstLine="324"/>
        <w:spacing w:after="0" w:line="314" w:lineRule="auto"/>
        <w:rPr>
          <w:sz w:val="20"/>
          <w:szCs w:val="20"/>
          <w:color w:val="auto"/>
        </w:rPr>
      </w:pPr>
      <w:r>
        <w:rPr>
          <w:rFonts w:ascii="Arial" w:cs="Arial" w:eastAsia="Arial" w:hAnsi="Arial"/>
          <w:sz w:val="15"/>
          <w:szCs w:val="15"/>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 Our current programs carry self-insurance exposures of up to $2.5 million, $1 million and $20,000 per incident with regards to general liability, workers’ compensation and auto, respectively. Self-insurance claims reserves acquired as part of our acquisition of WM Holdings in July 1998 were discounted at 4.25% at December 31, 2004 and 2003. The changes to our net insurance liabilities for the years ended December 31, 2003 and 2004 are summarized below (in millions):</w:t>
      </w:r>
    </w:p>
    <w:p>
      <w:pPr>
        <w:spacing w:after="0" w:line="3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4"/>
                <w:szCs w:val="14"/>
                <w:color w:val="auto"/>
              </w:rPr>
            </w:pPr>
          </w:p>
        </w:tc>
        <w:tc>
          <w:tcPr>
            <w:tcW w:w="1220" w:type="dxa"/>
            <w:vAlign w:val="bottom"/>
            <w:gridSpan w:val="3"/>
          </w:tcPr>
          <w:p>
            <w:pPr>
              <w:ind w:left="32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Claims</w:t>
            </w:r>
          </w:p>
        </w:tc>
        <w:tc>
          <w:tcPr>
            <w:tcW w:w="280" w:type="dxa"/>
            <w:vAlign w:val="bottom"/>
          </w:tcPr>
          <w:p>
            <w:pPr>
              <w:spacing w:after="0"/>
              <w:rPr>
                <w:sz w:val="12"/>
                <w:szCs w:val="12"/>
                <w:color w:val="auto"/>
              </w:rPr>
            </w:pPr>
          </w:p>
        </w:tc>
        <w:tc>
          <w:tcPr>
            <w:tcW w:w="122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Insurance</w:t>
            </w:r>
          </w:p>
        </w:tc>
        <w:tc>
          <w:tcPr>
            <w:tcW w:w="280" w:type="dxa"/>
            <w:vAlign w:val="bottom"/>
          </w:tcPr>
          <w:p>
            <w:pPr>
              <w:spacing w:after="0"/>
              <w:rPr>
                <w:sz w:val="12"/>
                <w:szCs w:val="12"/>
                <w:color w:val="auto"/>
              </w:rPr>
            </w:pP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Claims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Liability</w:t>
            </w:r>
          </w:p>
        </w:tc>
        <w:tc>
          <w:tcPr>
            <w:tcW w:w="280" w:type="dxa"/>
            <w:vAlign w:val="bottom"/>
          </w:tcPr>
          <w:p>
            <w:pPr>
              <w:spacing w:after="0"/>
              <w:rPr>
                <w:sz w:val="15"/>
                <w:szCs w:val="15"/>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Recoveries</w:t>
            </w:r>
          </w:p>
        </w:tc>
        <w:tc>
          <w:tcPr>
            <w:tcW w:w="280" w:type="dxa"/>
            <w:vAlign w:val="bottom"/>
          </w:tcPr>
          <w:p>
            <w:pPr>
              <w:spacing w:after="0"/>
              <w:rPr>
                <w:sz w:val="15"/>
                <w:szCs w:val="15"/>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$ 597</w:t>
            </w:r>
          </w:p>
        </w:tc>
        <w:tc>
          <w:tcPr>
            <w:tcW w:w="38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$(225)</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$ 372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60"/>
              <w:spacing w:after="0"/>
              <w:rPr>
                <w:sz w:val="20"/>
                <w:szCs w:val="20"/>
                <w:color w:val="auto"/>
              </w:rPr>
            </w:pPr>
            <w:r>
              <w:rPr>
                <w:rFonts w:ascii="Arial" w:cs="Arial" w:eastAsia="Arial" w:hAnsi="Arial"/>
                <w:sz w:val="18"/>
                <w:szCs w:val="18"/>
                <w:color w:val="auto"/>
              </w:rPr>
              <w:t>Self-insurance expense incurred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380" w:type="dxa"/>
            <w:vAlign w:val="bottom"/>
          </w:tcPr>
          <w:p>
            <w:pPr>
              <w:spacing w:after="0"/>
              <w:rPr>
                <w:sz w:val="18"/>
                <w:szCs w:val="18"/>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(87)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Payments made to fund self-insurance related liabilities</w:t>
            </w:r>
          </w:p>
        </w:tc>
        <w:tc>
          <w:tcPr>
            <w:tcW w:w="11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(207)</w:t>
            </w:r>
          </w:p>
        </w:tc>
        <w:tc>
          <w:tcPr>
            <w:tcW w:w="11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08"/>
        </w:trPr>
        <w:tc>
          <w:tcPr>
            <w:tcW w:w="62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28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380" w:type="dxa"/>
            <w:vAlign w:val="bottom"/>
          </w:tcPr>
          <w:p>
            <w:pPr>
              <w:spacing w:after="0"/>
              <w:rPr>
                <w:sz w:val="24"/>
                <w:szCs w:val="24"/>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(266)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Self-insurance expense incurred</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247</w:t>
            </w:r>
          </w:p>
        </w:tc>
        <w:tc>
          <w:tcPr>
            <w:tcW w:w="38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(84)</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260"/>
              <w:spacing w:after="0"/>
              <w:rPr>
                <w:sz w:val="20"/>
                <w:szCs w:val="20"/>
                <w:color w:val="auto"/>
              </w:rPr>
            </w:pPr>
            <w:r>
              <w:rPr>
                <w:rFonts w:ascii="Arial" w:cs="Arial" w:eastAsia="Arial" w:hAnsi="Arial"/>
                <w:sz w:val="18"/>
                <w:szCs w:val="18"/>
                <w:color w:val="auto"/>
              </w:rPr>
              <w:t>Payments made to fund self-insurance related liabilities</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(209)</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2004</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$ 681</w:t>
            </w:r>
          </w:p>
        </w:tc>
        <w:tc>
          <w:tcPr>
            <w:tcW w:w="38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$(289)</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$ 392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8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80" w:type="dxa"/>
            <w:vAlign w:val="bottom"/>
            <w:gridSpan w:val="2"/>
          </w:tcPr>
          <w:p>
            <w:pPr>
              <w:spacing w:after="0"/>
              <w:rPr>
                <w:sz w:val="20"/>
                <w:szCs w:val="20"/>
                <w:color w:val="auto"/>
              </w:rPr>
            </w:pPr>
            <w:r>
              <w:rPr>
                <w:rFonts w:ascii="Arial" w:cs="Arial" w:eastAsia="Arial" w:hAnsi="Arial"/>
                <w:sz w:val="18"/>
                <w:szCs w:val="18"/>
                <w:color w:val="auto"/>
              </w:rPr>
              <w:t>Current portion at December 31, 2004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$ 252</w:t>
            </w:r>
          </w:p>
        </w:tc>
        <w:tc>
          <w:tcPr>
            <w:tcW w:w="380" w:type="dxa"/>
            <w:vAlign w:val="bottom"/>
          </w:tcPr>
          <w:p>
            <w:pPr>
              <w:spacing w:after="0"/>
              <w:rPr>
                <w:sz w:val="24"/>
                <w:szCs w:val="24"/>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$(131)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$ 121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Long-term portion at December 31, 2004</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$ 429</w:t>
            </w:r>
          </w:p>
        </w:tc>
        <w:tc>
          <w:tcPr>
            <w:tcW w:w="38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$(158)</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$ 271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324"/>
        <w:spacing w:after="0" w:line="323" w:lineRule="auto"/>
        <w:rPr>
          <w:sz w:val="20"/>
          <w:szCs w:val="20"/>
          <w:color w:val="auto"/>
        </w:rPr>
      </w:pPr>
      <w:r>
        <w:rPr>
          <w:rFonts w:ascii="Arial" w:cs="Arial" w:eastAsia="Arial" w:hAnsi="Arial"/>
          <w:sz w:val="15"/>
          <w:szCs w:val="15"/>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approximately $26 million, it is unlikely that events relating to Reliance will have a material adverse impact on our financial statements.</w:t>
      </w:r>
    </w:p>
    <w:p>
      <w:pPr>
        <w:spacing w:after="0" w:line="179"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213"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 Rental expense for leased properties was approximately $127 million, $174 million and $166 million during 2004, 2003 and 2002,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These amounts primarily include rents under long-term operating leases. Contractual payments due during the next five years and thereafter on long-term operating lease obligations are noted below. The decrease in rental expense from 2003 to 2004 is primarily attributable to the consolidation of two limited liability companies from which we lease three waste-to-energy facilities. See Note 19 for further discussion.</w:t>
      </w:r>
    </w:p>
    <w:p>
      <w:pPr>
        <w:spacing w:after="0" w:line="19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Our minimum contractual payments for lease agreements during future periods is significantly less than current year rent expense because our significant lease agreements at landfills have variable terms based either on a percentage of revenue or a rate per ton of waste received. Our minimum operating lease payments for the next five years are as follows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940" w:type="dxa"/>
            <w:vAlign w:val="bottom"/>
          </w:tcPr>
          <w:p>
            <w:pPr>
              <w:jc w:val="right"/>
              <w:ind w:right="262"/>
              <w:spacing w:after="0"/>
              <w:rPr>
                <w:sz w:val="20"/>
                <w:szCs w:val="20"/>
                <w:color w:val="auto"/>
              </w:rPr>
            </w:pPr>
            <w:r>
              <w:rPr>
                <w:rFonts w:ascii="Arial" w:cs="Arial" w:eastAsia="Arial" w:hAnsi="Arial"/>
                <w:sz w:val="14"/>
                <w:szCs w:val="14"/>
                <w:b w:val="1"/>
                <w:bCs w:val="1"/>
                <w:color w:val="auto"/>
              </w:rPr>
              <w:t>2005</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2007</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2008</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3420" w:type="dxa"/>
            <w:vAlign w:val="bottom"/>
          </w:tcPr>
          <w:p>
            <w:pPr>
              <w:spacing w:after="0"/>
              <w:rPr>
                <w:sz w:val="15"/>
                <w:szCs w:val="15"/>
                <w:color w:val="auto"/>
              </w:rPr>
            </w:pPr>
          </w:p>
        </w:tc>
      </w:tr>
      <w:tr>
        <w:trPr>
          <w:trHeight w:val="95"/>
        </w:trPr>
        <w:tc>
          <w:tcPr>
            <w:tcW w:w="34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20" w:type="dxa"/>
            <w:vAlign w:val="bottom"/>
          </w:tcPr>
          <w:p>
            <w:pPr>
              <w:spacing w:after="0"/>
              <w:rPr>
                <w:sz w:val="8"/>
                <w:szCs w:val="8"/>
                <w:color w:val="auto"/>
              </w:rPr>
            </w:pPr>
          </w:p>
        </w:tc>
      </w:tr>
      <w:tr>
        <w:trPr>
          <w:trHeight w:val="316"/>
        </w:trPr>
        <w:tc>
          <w:tcPr>
            <w:tcW w:w="3440" w:type="dxa"/>
            <w:vAlign w:val="bottom"/>
          </w:tcPr>
          <w:p>
            <w:pPr>
              <w:spacing w:after="0"/>
              <w:rPr>
                <w:sz w:val="24"/>
                <w:szCs w:val="24"/>
                <w:color w:val="auto"/>
              </w:rPr>
            </w:pPr>
          </w:p>
        </w:tc>
        <w:tc>
          <w:tcPr>
            <w:tcW w:w="940" w:type="dxa"/>
            <w:vAlign w:val="bottom"/>
          </w:tcPr>
          <w:p>
            <w:pPr>
              <w:jc w:val="right"/>
              <w:ind w:right="242"/>
              <w:spacing w:after="0"/>
              <w:rPr>
                <w:sz w:val="20"/>
                <w:szCs w:val="20"/>
                <w:color w:val="auto"/>
              </w:rPr>
            </w:pPr>
            <w:r>
              <w:rPr>
                <w:rFonts w:ascii="Arial" w:cs="Arial" w:eastAsia="Arial" w:hAnsi="Arial"/>
                <w:sz w:val="18"/>
                <w:szCs w:val="18"/>
                <w:color w:val="auto"/>
              </w:rPr>
              <w:t>$102</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3420" w:type="dxa"/>
            <w:vAlign w:val="bottom"/>
          </w:tcPr>
          <w:p>
            <w:pPr>
              <w:spacing w:after="0"/>
              <w:rPr>
                <w:sz w:val="24"/>
                <w:szCs w:val="24"/>
                <w:color w:val="auto"/>
              </w:rPr>
            </w:pPr>
          </w:p>
        </w:tc>
      </w:tr>
      <w:tr>
        <w:trPr>
          <w:trHeight w:val="432"/>
        </w:trPr>
        <w:tc>
          <w:tcPr>
            <w:tcW w:w="3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8"/>
        </w:trPr>
        <w:tc>
          <w:tcPr>
            <w:tcW w:w="34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long-term commitments </w:t>
      </w:r>
      <w:r>
        <w:rPr>
          <w:rFonts w:ascii="Arial" w:cs="Arial" w:eastAsia="Arial" w:hAnsi="Arial"/>
          <w:sz w:val="18"/>
          <w:szCs w:val="18"/>
          <w:color w:val="auto"/>
        </w:rPr>
        <w:t>— We have the following unconditional purchase obligations:</w:t>
      </w:r>
    </w:p>
    <w:p>
      <w:pPr>
        <w:spacing w:after="0" w:line="225" w:lineRule="exact"/>
        <w:rPr>
          <w:sz w:val="20"/>
          <w:szCs w:val="20"/>
          <w:color w:val="auto"/>
        </w:rPr>
      </w:pPr>
    </w:p>
    <w:p>
      <w:pPr>
        <w:ind w:left="460" w:right="580" w:hanging="101"/>
        <w:spacing w:after="0" w:line="33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Equipment </w:t>
      </w:r>
      <w:r>
        <w:rPr>
          <w:rFonts w:ascii="Arial" w:cs="Arial" w:eastAsia="Arial" w:hAnsi="Arial"/>
          <w:sz w:val="16"/>
          <w:szCs w:val="16"/>
          <w:color w:val="auto"/>
        </w:rPr>
        <w:t>— We have agreements that require us to purchase a minimum number of containers from certain vendors. We enter into these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ensure that we receive competitive prices for equipment used in our operations. These agreements extend through 2007.</w:t>
      </w:r>
    </w:p>
    <w:p>
      <w:pPr>
        <w:spacing w:after="0" w:line="166"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We have fuel purchase agreements with select counterparties expiring at various dates through 2010 that require us to purchase a minimum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gallons. These agreements are primarily established based on the anticipated needs of each of our operating Groups. Under our fuel take-or-pay contracts, we are generally obligated to pay for a minimum number of gallons at either a stated or market-driven rate even if such quantities are not required in our operations.</w:t>
      </w:r>
    </w:p>
    <w:p>
      <w:pPr>
        <w:spacing w:after="0" w:line="224" w:lineRule="exact"/>
        <w:rPr>
          <w:rFonts w:ascii="Arial" w:cs="Arial" w:eastAsia="Arial" w:hAnsi="Arial"/>
          <w:sz w:val="18"/>
          <w:szCs w:val="18"/>
          <w:color w:val="auto"/>
        </w:rPr>
      </w:pPr>
    </w:p>
    <w:p>
      <w:pPr>
        <w:ind w:left="460" w:right="280" w:hanging="101"/>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Disposal </w:t>
      </w:r>
      <w:r>
        <w:rPr>
          <w:rFonts w:ascii="Arial" w:cs="Arial" w:eastAsia="Arial" w:hAnsi="Arial"/>
          <w:sz w:val="18"/>
          <w:szCs w:val="18"/>
          <w:color w:val="auto"/>
        </w:rPr>
        <w:t>— We have several agreements expiring at various dates through 2028 that require us to dispose of a minimum number of tons at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facilities. Under these put-or-pay agreements, we are required to pay for the agreed upon minimum volumes regardless of the actual number of tons placed at the facilities.</w:t>
      </w:r>
    </w:p>
    <w:p>
      <w:pPr>
        <w:spacing w:after="0" w:line="221" w:lineRule="exact"/>
        <w:rPr>
          <w:rFonts w:ascii="Arial" w:cs="Arial" w:eastAsia="Arial" w:hAnsi="Arial"/>
          <w:sz w:val="18"/>
          <w:szCs w:val="18"/>
          <w:color w:val="auto"/>
        </w:rPr>
      </w:pPr>
    </w:p>
    <w:p>
      <w:pPr>
        <w:ind w:left="460" w:right="100" w:hanging="101"/>
        <w:spacing w:after="0" w:line="370"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Waste Paper </w:t>
      </w:r>
      <w:r>
        <w:rPr>
          <w:rFonts w:ascii="Arial" w:cs="Arial" w:eastAsia="Arial" w:hAnsi="Arial"/>
          <w:sz w:val="15"/>
          <w:szCs w:val="15"/>
          <w:color w:val="auto"/>
        </w:rPr>
        <w:t>— We are party to a waste paper purchase agreement that expires in 2010 that requires us to purchase a minimum number of tons of waste</w:t>
      </w:r>
      <w:r>
        <w:rPr>
          <w:rFonts w:ascii="Arial" w:cs="Arial" w:eastAsia="Arial" w:hAnsi="Arial"/>
          <w:sz w:val="15"/>
          <w:szCs w:val="15"/>
          <w:i w:val="1"/>
          <w:iCs w:val="1"/>
          <w:color w:val="auto"/>
        </w:rPr>
        <w:t xml:space="preserve"> </w:t>
      </w:r>
      <w:r>
        <w:rPr>
          <w:rFonts w:ascii="Arial" w:cs="Arial" w:eastAsia="Arial" w:hAnsi="Arial"/>
          <w:sz w:val="15"/>
          <w:szCs w:val="15"/>
          <w:color w:val="auto"/>
        </w:rPr>
        <w:t>paper from the counterparty. The cost per ton of waste paper purchased is based on market prices plus the cost of delivery of the product to our customers.</w:t>
      </w:r>
    </w:p>
    <w:p>
      <w:pPr>
        <w:spacing w:after="0" w:line="14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unconditional purchase obligations are established in the ordinary course of our business and are structured in a manner that provides us with access to important resources at competitive, market-driven rates. Our future obligations under these outstanding agreements are generally quantity driven, and, as a result, our associated financial obligations are not fixed as of December 31, 2004. We currently expect the products and services provided by these agreements to continue to meet the needs of our ongoing operations. Therefore, we do not expect these established arrangements to materially impact our future financial position, results of operations or liquidity.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225" w:lineRule="exact"/>
        <w:rPr>
          <w:sz w:val="20"/>
          <w:szCs w:val="20"/>
          <w:color w:val="auto"/>
        </w:rPr>
      </w:pPr>
    </w:p>
    <w:p>
      <w:pPr>
        <w:ind w:left="460" w:right="60" w:hanging="101"/>
        <w:spacing w:after="0" w:line="28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WM Holdings, one of WMI’s wholly-owned subsidiaries, has fully and unconditionally guaranteed WMI’s senior indebtedness that matures through 2032. WMI has fully and unconditionally guaranteed the senior indebtedness of WM Holdings that matures through 2026 as well as WM Holdings’</w:t>
      </w: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5.75% convertible subordinated notes that matured January 2005. Performance under these guarantee agreements would be required if either party defaulted on their respective obligations. No additional liability has been recorded for these guarantees because the underlying obligations are reflected in our consolidated balance sheets. See Note 22 for further information.</w:t>
      </w:r>
    </w:p>
    <w:p>
      <w:pPr>
        <w:spacing w:after="0" w:line="225" w:lineRule="exact"/>
        <w:rPr>
          <w:rFonts w:ascii="Arial" w:cs="Arial" w:eastAsia="Arial" w:hAnsi="Arial"/>
          <w:sz w:val="16"/>
          <w:szCs w:val="16"/>
          <w:color w:val="auto"/>
        </w:rPr>
      </w:pPr>
    </w:p>
    <w:p>
      <w:pPr>
        <w:ind w:left="460" w:right="60" w:hanging="101"/>
        <w:spacing w:after="0" w:line="256"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7 for information related to the balances and maturities of our tax-exempt bonds.</w:t>
      </w:r>
    </w:p>
    <w:p>
      <w:pPr>
        <w:spacing w:after="0" w:line="224" w:lineRule="exact"/>
        <w:rPr>
          <w:rFonts w:ascii="Arial" w:cs="Arial" w:eastAsia="Arial" w:hAnsi="Arial"/>
          <w:sz w:val="18"/>
          <w:szCs w:val="18"/>
          <w:color w:val="auto"/>
        </w:rPr>
      </w:pPr>
    </w:p>
    <w:p>
      <w:pPr>
        <w:ind w:left="460" w:right="280" w:hanging="101"/>
        <w:spacing w:after="0" w:line="29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have guaranteed certain financial obligations of unconsolidated entities. The guarantees are primarily for the benefit of entities that we account for under the equity method of accounting. The related obligations, which mature through 2020, are not recorded on our consolidated balance sheets. As of December 31, 2004, our maximum future payments associated with these guarantees is approximately $35 million. However, we have ongoing projects with the guaranteed entities and believe that it is not likely that we will be required to perform under these guarantees.</w:t>
      </w:r>
    </w:p>
    <w:p>
      <w:pPr>
        <w:spacing w:after="0" w:line="193" w:lineRule="exact"/>
        <w:rPr>
          <w:rFonts w:ascii="Arial" w:cs="Arial" w:eastAsia="Arial" w:hAnsi="Arial"/>
          <w:sz w:val="16"/>
          <w:szCs w:val="16"/>
          <w:color w:val="auto"/>
        </w:rPr>
      </w:pPr>
    </w:p>
    <w:p>
      <w:pPr>
        <w:ind w:left="460" w:right="60" w:hanging="101"/>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During 2003, we issued a $28.6 million letter of credit to support the debt of a surety bonding company. The guaranteed obligation is primarily included as a component of long-term debt in our consolidated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sheet. See Note 19 for additional discussion about our financial interest in this surety bonding company.</w:t>
      </w:r>
    </w:p>
    <w:p>
      <w:pPr>
        <w:spacing w:after="0" w:line="279" w:lineRule="exact"/>
        <w:rPr>
          <w:sz w:val="20"/>
          <w:szCs w:val="20"/>
          <w:color w:val="auto"/>
        </w:rPr>
      </w:pPr>
    </w:p>
    <w:p>
      <w:pPr>
        <w:ind w:left="460" w:hanging="101"/>
        <w:spacing w:after="0" w:line="306"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WM Holdings has guaranteed all reimbursement obligations of WMI under its $350 million letter of credit facility and $295 million letter of credit and term loan agreements. Under those facilities, any draw on a letter of credit supported by the facilities will be reimbursed by WMI to the entities funding the facilities. As of December 31, 2004, we had approximately $631 million in outstanding letters of credit under these facilities.</w:t>
      </w:r>
    </w:p>
    <w:p>
      <w:pPr>
        <w:spacing w:after="0" w:line="187" w:lineRule="exact"/>
        <w:rPr>
          <w:rFonts w:ascii="Arial" w:cs="Arial" w:eastAsia="Arial" w:hAnsi="Arial"/>
          <w:sz w:val="16"/>
          <w:szCs w:val="16"/>
          <w:color w:val="auto"/>
        </w:rPr>
      </w:pPr>
    </w:p>
    <w:p>
      <w:pPr>
        <w:ind w:left="460" w:right="140" w:hanging="101"/>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221" w:lineRule="exact"/>
        <w:rPr>
          <w:rFonts w:ascii="Arial" w:cs="Arial" w:eastAsia="Arial" w:hAnsi="Arial"/>
          <w:sz w:val="18"/>
          <w:szCs w:val="18"/>
          <w:color w:val="auto"/>
        </w:rPr>
      </w:pPr>
    </w:p>
    <w:p>
      <w:pPr>
        <w:ind w:left="460" w:right="60" w:hanging="101"/>
        <w:spacing w:after="0" w:line="298"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value of certain homeowners’ properties that are adjacent to our landfills. These guarantee agreements extend over the life of the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193" w:lineRule="exact"/>
        <w:rPr>
          <w:rFonts w:ascii="Arial" w:cs="Arial" w:eastAsia="Arial" w:hAnsi="Arial"/>
          <w:sz w:val="16"/>
          <w:szCs w:val="16"/>
          <w:color w:val="auto"/>
        </w:rPr>
      </w:pPr>
    </w:p>
    <w:p>
      <w:pPr>
        <w:ind w:left="460" w:right="240" w:hanging="101"/>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w:t>
      </w:r>
    </w:p>
    <w:p>
      <w:pPr>
        <w:spacing w:after="0" w:line="221" w:lineRule="exact"/>
        <w:rPr>
          <w:rFonts w:ascii="Arial" w:cs="Arial" w:eastAsia="Arial" w:hAnsi="Arial"/>
          <w:sz w:val="18"/>
          <w:szCs w:val="18"/>
          <w:color w:val="auto"/>
        </w:rPr>
      </w:pPr>
    </w:p>
    <w:p>
      <w:pPr>
        <w:ind w:left="460" w:right="20" w:hanging="101"/>
        <w:spacing w:after="0" w:line="294"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WMI and WMI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197"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 For more information regarding environmental matters, see Note 4.</w:t>
      </w:r>
    </w:p>
    <w:p>
      <w:pPr>
        <w:spacing w:after="0" w:line="194"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settlements of such liabilities, or other factors could necessitate the recording of additional liabilities which could be material.</w:t>
      </w:r>
    </w:p>
    <w:p>
      <w:pPr>
        <w:spacing w:after="0" w:line="252" w:lineRule="exact"/>
        <w:rPr>
          <w:sz w:val="20"/>
          <w:szCs w:val="20"/>
          <w:color w:val="auto"/>
        </w:rPr>
      </w:pPr>
    </w:p>
    <w:p>
      <w:pPr>
        <w:ind w:right="220" w:firstLine="324"/>
        <w:spacing w:after="0" w:line="288" w:lineRule="auto"/>
        <w:rPr>
          <w:sz w:val="20"/>
          <w:szCs w:val="20"/>
          <w:color w:val="auto"/>
        </w:rPr>
      </w:pPr>
      <w:r>
        <w:rPr>
          <w:rFonts w:ascii="Arial" w:cs="Arial" w:eastAsia="Arial" w:hAnsi="Arial"/>
          <w:sz w:val="16"/>
          <w:szCs w:val="16"/>
          <w:color w:val="auto"/>
        </w:rPr>
        <w:t>We have been identified as a PRP in a number of governmental investigations and actions relating to waste disposal sites that may be subject to remedial action under CERCLA or similar state laws. 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4.</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removed the case to federal court in Illinois, but a remand order has been issued. An appeal of that remand is being filed by the Company. Only limited discovery has occurred and the defendants continue to defend themselves vigorously. The extent of possible damages, if any, in this action cannot yet be determined.</w:t>
      </w:r>
    </w:p>
    <w:p>
      <w:pPr>
        <w:spacing w:after="0" w:line="22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April 2002, a former participant in WM Holdings’ ERISA plans and another individual filed a lawsuit in Washington, D.C. against WMI,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19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group of stockholders has opted not to participate in the settlement of the class action lawsuit against us related to 1998 and 1999 activity. These stockholders filed a separate lawsuit against us relating to 1998 activity. Trial in this case has been set for the first quarter 2005. The extent of damages cannot be determined at this time, but the Company intends to defend itself vigorously.</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conspiracy. The first of these cases was dismissed by summary judgment by a Texas state court in March 2002. That dismissal was ultimately upheld by the appellate court. The plaintiffs are pursuing their appeal. The second case also filed in state court is stayed pending resolution of the first case, and we intend to continue to vigorously defend ourselves against these claims. In March 2004, the court granted our motion to dismiss the third case, which was pending in federal court, and the plaintiffs have appealed that dismissal. Finally, another shareholder has sued the Company in Louisiana making allegations similar to those made in the securities class action referred to above and by the plaintiff claiming damages for having held stock. The case has been removed to federal court and we are seeking a transfer to Texas where we will seek dismissal.</w:t>
      </w:r>
    </w:p>
    <w:p>
      <w:pPr>
        <w:spacing w:after="0" w:line="201"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Company is currently defending allegations related generally to the termination of two separate joint ventures to which one of our wholly-owned subsidiaries was a party. The claims in both proceedings involve the value of the joint ventures. The joint venture relationships have ended and the contributed assets have been divested by the Company. The Company is defending itself vigorously in each of these proceedings, in which the parties are seeking a variety of remedies ranging from monetary damages to unwinding the transaction. However, the nature and extent of possible remedies or damages cannot be determined at this time. The first of these matters has been fully tried and we are awaiting a final ruling which could happen as early as the first quarter of 2005.</w:t>
      </w:r>
    </w:p>
    <w:p>
      <w:pPr>
        <w:spacing w:after="0" w:line="19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From time to time, we pay fines or penalties in environmental proceedings relating primarily to waste treatment, storage or disposal facilities. As of December 31, 2004, there were six proceedings involving our subsidiaries where we reasonably believe that the sanctions could exceed $100,000. The matters involve allegations that subsidiaries (i) operated a waste-to-energy facility that, as a result of intermittent and isolated equipment malfunctions, exceeded emission limits and failed to meet monitoring requirements; (ii) improperly operated a solid waste landfill by failing to maintain required records, properly place and cover waste and adhere to proper leachate levels; (iii) discharged wastewater from a cogeneration facility in noncompliance with waste discharge requirements issued pursuant to state water code; (iv) failed to comply with air permit, landfill gas flow and emission limit requirements; (v) caused excess odors and exceeded certain sewer discharge limitations and landfill gas emission limit requirements at an operating landfill; and (vi) violated air permit requirements at an operating landfill. We do not believe that the fines or other penalties in any of these matters will, individually or in the aggregate, have a material adverse effect on our financial condition or results of operations.</w:t>
      </w:r>
    </w:p>
    <w:p>
      <w:pPr>
        <w:spacing w:after="0" w:line="20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19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We also are currently involved in other routine civil litigation and governmental proceedings relating to the conduct of our business, including litigation involving former employees and competitors. We do not believe that any of the matters will ultimately have a material adverse impact on our consolidated financial statements.</w:t>
      </w:r>
    </w:p>
    <w:p>
      <w:pPr>
        <w:spacing w:after="0" w:line="22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under audit by the IRS and from time to time are audited by other taxing authorities. We fully cooperate with all audits, but</w:t>
      </w:r>
      <w:r>
        <w:rPr>
          <w:rFonts w:ascii="Arial" w:cs="Arial" w:eastAsia="Arial" w:hAnsi="Arial"/>
          <w:sz w:val="16"/>
          <w:szCs w:val="16"/>
          <w:i w:val="1"/>
          <w:iCs w:val="1"/>
          <w:color w:val="auto"/>
        </w:rPr>
        <w:t xml:space="preserve"> </w:t>
      </w:r>
      <w:r>
        <w:rPr>
          <w:rFonts w:ascii="Arial" w:cs="Arial" w:eastAsia="Arial" w:hAnsi="Arial"/>
          <w:sz w:val="16"/>
          <w:szCs w:val="16"/>
          <w:color w:val="auto"/>
        </w:rPr>
        <w:t>defend our positions vigorously. Our audits are in various stages of completion. Specifically, we are in the process of concluding the appeals phase of IRS audits for the years 1997 to 2000. The audits for these years should be completed within the next six months. In addition, the planning phase of an IRS audit for the years 2002 and 2003 was recently initiated. This audit should be completed within the next 24 months. To provide for potential tax exposures, we maintain an allowance for tax contingencies, the balance of which management believes is adequate. Results of audit assessments by taxing authorities could have a material effect on our quarterly or annual cash flows over the next six months as these audits are completed, although we do not believe they will have a material adverse impact on our results of operations.</w:t>
      </w:r>
    </w:p>
    <w:p>
      <w:pPr>
        <w:spacing w:after="0" w:line="200" w:lineRule="exact"/>
        <w:rPr>
          <w:sz w:val="20"/>
          <w:szCs w:val="20"/>
          <w:color w:val="auto"/>
        </w:rPr>
      </w:pPr>
    </w:p>
    <w:p>
      <w:pPr>
        <w:spacing w:after="0" w:line="210"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2002, we organized the Company into market areas to better align our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An additional $1 million was recorded in the third quarter of 2002. These charges included $36 million for employee severance and benefit costs and $2 million related to abandoned operating lease agreements. All payments related to this restructuring have been made.</w:t>
      </w:r>
    </w:p>
    <w:p>
      <w:pPr>
        <w:spacing w:after="0" w:line="19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and reduced certain overhead positions to further streamline our organization. Our market areas all report to one of our five Groups that divide our operations geographically into the Eastern, Midwest, Southern, Western and Canadian operations. We manage and evaluate our operations through these five geographic operating Groups and our Recycling and Wheelabrator Groups, which represent our reporting segments as further described in Note 20. We believe that this structure results in a more effective utilization of resources and enables us to serve our customers more efficiently. In connection with the restructuring, we reduced our workforce by about 700 employees and 270 contract workers. We recorded $20 million of pre-tax charges for costs associated with our February 2003 restructuring and workforce reduction, all of which was associated with employee severance and benefit costs.</w:t>
      </w:r>
    </w:p>
    <w:p>
      <w:pPr>
        <w:spacing w:after="0" w:line="199"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The operational efficiencies provided by these organizational changes and a focus on fully utilizing the capabilities of our information technology resources enabled us to further reduce our workforce in June 2003. This workforce reduction resulted in the elimination of an additional 600 employee positions and 200 contract worker positions. In 2003, we recorded $24 million of pre-tax charges for costs associated with the June 2003 workforce reduction.</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During 2004, we recorded a credit of approximately $1 million to reduce our accrual for employee severance costs associated with the 2003 restructuring and workforce reductions. The following table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summarizes (in millions) the total costs to date for our 2003 restructuring events by our operating Groups as currently organized, as described in Note 20:</w:t>
      </w:r>
    </w:p>
    <w:p>
      <w:pPr>
        <w:spacing w:after="0" w:line="200" w:lineRule="exact"/>
        <w:rPr>
          <w:sz w:val="20"/>
          <w:szCs w:val="20"/>
          <w:color w:val="auto"/>
        </w:rPr>
      </w:pPr>
    </w:p>
    <w:p>
      <w:pPr>
        <w:spacing w:after="0" w:line="27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2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Eastern</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Southern</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Wheelabrator</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2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Corporate</w:t>
            </w:r>
          </w:p>
        </w:tc>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9"/>
              </w:rPr>
              <w:t>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-35560</wp:posOffset>
            </wp:positionV>
            <wp:extent cx="13271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32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During the year ended December 31, 2003, we made payment for employee severance and benefit costs of approximately $18 million for the February 2003 restructuring and workforce reduction and approximately $15 million for the June 2003 workforce reduction. During the year ended December 31, 2004 we made additional payments for employee severance and benefit costs of approximately $1 million for the February 2003 restructuring and workforce reduction and approximately $8 million for the June 2003 workforce reduction.</w:t>
      </w:r>
    </w:p>
    <w:p>
      <w:pPr>
        <w:spacing w:after="0" w:line="224"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color w:val="auto"/>
        </w:rPr>
        <w:t>As of December 31, 2004, substantially all obligations associated with the February 2003 restructuring and workforce reduction have been paid. The first quarter of 2005 is the final period we are obligated to make any severance payments to employees associated with the February 2003 reorganization and workforce reduction. Approximately $1 million remains accrued as of December 31, 2004 for employee severance and benefit costs incurred as a result of the June 2003 workforce reduction, which will be paid to certain employees through the third quarter of 2005.</w:t>
      </w:r>
    </w:p>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2004, 2003 and 2002, we recorded net credits to asset impairments and unusual items of $13 million, $8 million and $34 million, respectively.</w:t>
      </w:r>
    </w:p>
    <w:p>
      <w:pPr>
        <w:spacing w:after="0" w:line="248" w:lineRule="exact"/>
        <w:rPr>
          <w:sz w:val="20"/>
          <w:szCs w:val="20"/>
          <w:color w:val="auto"/>
        </w:rPr>
      </w:pPr>
    </w:p>
    <w:p>
      <w:pPr>
        <w:ind w:left="460" w:right="40" w:hanging="101"/>
        <w:spacing w:after="0" w:line="25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2004, the net gain of $13 million for asset impairments and unusual items related to (i) $17 million in impairment losses primarily due to the impairment of certain landfill assets and software development costs; (ii) $15 million in gains on divestitures that primarily related to certain Port-O-Let operations; and (iii) $15 million of gains related to adjustments we made to our estimated obligations associated with our divested non-solid waste services and our receipt of cash from a third-party for a previously settled remedial obligation.</w:t>
      </w:r>
    </w:p>
    <w:p>
      <w:pPr>
        <w:spacing w:after="0" w:line="224"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2003, we recognized approximately $5 million in impairments related primarily to the Eastern and Corporate Groups, which was offset by $13 million of gains realized on divestitures with the most significant portions derived from our Western and Southern Groups.</w:t>
      </w:r>
    </w:p>
    <w:p>
      <w:pPr>
        <w:spacing w:after="0" w:line="212" w:lineRule="exact"/>
        <w:rPr>
          <w:rFonts w:ascii="Arial" w:cs="Arial" w:eastAsia="Arial" w:hAnsi="Arial"/>
          <w:sz w:val="18"/>
          <w:szCs w:val="18"/>
          <w:color w:val="auto"/>
        </w:rPr>
      </w:pPr>
    </w:p>
    <w:p>
      <w:pPr>
        <w:ind w:left="460" w:right="40" w:hanging="101"/>
        <w:spacing w:after="0" w:line="306"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2002, we realized a gain of $8 million derived from changes to litigation settlements and estimates, a gain of $7 million primarily comprised or reversals of loss contract accruals that were initially recognized as a charge to asset impairments and unusual items, a gain of $11 million for the receipt of a contingency payment related to a non-revenue producing property impaired in 1998 and a net gain of $8 million for divestitures.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As discussed in Note 2, during 2004 we identified certain amounts related to our consolidated Canadian operations that required adjustment to properly capture the impact of accounting for foreign currency translation adjustments. The following table has been adjusted to properly reflect the effects of our foreign currency translation. The components of accumulated other comprehensive income (loss) were as follows (in millions):</w:t>
      </w: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Minimum pension liability adjustment, net of taxes of $1 million for 2002</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Accumulated unrealized loss on derivative instruments, net of a tax benefit of</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$32 million for 2004, $27 million for 2003 and $26 million for 2002</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(49)</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w w:val="96"/>
              </w:rPr>
              <w:t>Accumulated unrealized gain on marketable securities, net of taxes of $2 million for</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2004 and $0 for each of 2003 and 2002</w:t>
            </w:r>
          </w:p>
        </w:tc>
        <w:tc>
          <w:tcPr>
            <w:tcW w:w="240" w:type="dxa"/>
            <w:vAlign w:val="bottom"/>
            <w:shd w:val="clear" w:color="auto" w:fill="EEEEEE"/>
          </w:tcPr>
          <w:p>
            <w:pPr>
              <w:spacing w:after="0"/>
              <w:rPr>
                <w:sz w:val="19"/>
                <w:szCs w:val="19"/>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EEEEEE"/>
          </w:tcPr>
          <w:p>
            <w:pPr>
              <w:spacing w:after="0"/>
              <w:rPr>
                <w:sz w:val="19"/>
                <w:szCs w:val="19"/>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115</w:t>
            </w:r>
          </w:p>
        </w:tc>
        <w:tc>
          <w:tcPr>
            <w:tcW w:w="1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EEEEEE"/>
          </w:tcPr>
          <w:p>
            <w:pPr>
              <w:spacing w:after="0"/>
              <w:rPr>
                <w:sz w:val="18"/>
                <w:szCs w:val="18"/>
                <w:color w:val="auto"/>
              </w:rPr>
            </w:pPr>
          </w:p>
        </w:tc>
        <w:tc>
          <w:tcPr>
            <w:tcW w:w="9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(177)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Share Repurchases and Dividends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stock</w:t>
      </w:r>
    </w:p>
    <w:p>
      <w:pPr>
        <w:spacing w:after="0" w:line="252"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As of December 31, 2004, we have 570.2 million shares of common stock issued and outstanding. We have 1.5 billion shares of authorized common stock with a par value of $0.01 per common share.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ten million shares of authorized preferred stock, $0.01 par value, none of which is currently outstanding.</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In February 2002, we announced that our Board of Directors had approved a stock repurchase program for up to $1 billion in annual repurchases through 2004 to be implemented at management’s discretion. In August 2003, we amended the program, starting in 2004, to allow for $1 billion of annual expenditures for share repurchases, net of dividends. During the year ended December 31, 2004, we paid approximately $496 million for share repurchases, which included a first quarter cash payment of approximately $24 million to settle repurchases made in December 2003.</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activity under our stock repurchase program (in millions, except shares in thousands and price per share):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3"/>
          </w:tcPr>
          <w:p>
            <w:pPr>
              <w:ind w:left="1580"/>
              <w:spacing w:after="0"/>
              <w:rPr>
                <w:sz w:val="20"/>
                <w:szCs w:val="20"/>
                <w:color w:val="auto"/>
              </w:rPr>
            </w:pPr>
            <w:r>
              <w:rPr>
                <w:rFonts w:ascii="Arial" w:cs="Arial" w:eastAsia="Arial" w:hAnsi="Arial"/>
                <w:sz w:val="14"/>
                <w:szCs w:val="14"/>
                <w:b w:val="1"/>
                <w:bCs w:val="1"/>
                <w:color w:val="auto"/>
                <w:w w:val="98"/>
              </w:rPr>
              <w:t>Agreement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jc w:val="right"/>
              <w:ind w:right="872"/>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920" w:type="dxa"/>
            <w:vAlign w:val="bottom"/>
            <w:gridSpan w:val="4"/>
          </w:tcPr>
          <w:p>
            <w:pPr>
              <w:spacing w:after="0"/>
              <w:rPr>
                <w:sz w:val="20"/>
                <w:szCs w:val="20"/>
                <w:color w:val="auto"/>
              </w:rPr>
            </w:pPr>
            <w:r>
              <w:rPr>
                <w:rFonts w:ascii="Arial" w:cs="Arial" w:eastAsia="Arial" w:hAnsi="Arial"/>
                <w:sz w:val="14"/>
                <w:szCs w:val="14"/>
                <w:b w:val="1"/>
                <w:bCs w:val="1"/>
                <w:color w:val="auto"/>
              </w:rPr>
              <w:t>Transaction Type</w:t>
            </w:r>
          </w:p>
        </w:tc>
        <w:tc>
          <w:tcPr>
            <w:tcW w:w="2320" w:type="dxa"/>
            <w:vAlign w:val="bottom"/>
            <w:gridSpan w:val="3"/>
          </w:tcPr>
          <w:p>
            <w:pPr>
              <w:ind w:left="660"/>
              <w:spacing w:after="0"/>
              <w:rPr>
                <w:sz w:val="20"/>
                <w:szCs w:val="20"/>
                <w:color w:val="auto"/>
              </w:rPr>
            </w:pPr>
            <w:r>
              <w:rPr>
                <w:rFonts w:ascii="Arial" w:cs="Arial" w:eastAsia="Arial" w:hAnsi="Arial"/>
                <w:sz w:val="14"/>
                <w:szCs w:val="14"/>
                <w:b w:val="1"/>
                <w:bCs w:val="1"/>
                <w:color w:val="auto"/>
              </w:rPr>
              <w:t>Initiated</w:t>
            </w:r>
          </w:p>
        </w:tc>
        <w:tc>
          <w:tcPr>
            <w:tcW w:w="1480" w:type="dxa"/>
            <w:vAlign w:val="bottom"/>
          </w:tcPr>
          <w:p>
            <w:pPr>
              <w:ind w:left="420"/>
              <w:spacing w:after="0"/>
              <w:rPr>
                <w:sz w:val="20"/>
                <w:szCs w:val="20"/>
                <w:color w:val="auto"/>
              </w:rPr>
            </w:pPr>
            <w:r>
              <w:rPr>
                <w:rFonts w:ascii="Arial" w:cs="Arial" w:eastAsia="Arial" w:hAnsi="Arial"/>
                <w:sz w:val="14"/>
                <w:szCs w:val="14"/>
                <w:b w:val="1"/>
                <w:bCs w:val="1"/>
                <w:color w:val="auto"/>
              </w:rPr>
              <w:t>Settled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Repurchases(a)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Private accelerated purchase</w:t>
            </w:r>
          </w:p>
        </w:tc>
        <w:tc>
          <w:tcPr>
            <w:tcW w:w="232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March 2002</w:t>
            </w:r>
          </w:p>
        </w:tc>
        <w:tc>
          <w:tcPr>
            <w:tcW w:w="1480" w:type="dxa"/>
            <w:vAlign w:val="bottom"/>
            <w:shd w:val="clear" w:color="auto" w:fill="EEEEEE"/>
          </w:tcPr>
          <w:p>
            <w:pPr>
              <w:ind w:left="80"/>
              <w:spacing w:after="0"/>
              <w:rPr>
                <w:sz w:val="20"/>
                <w:szCs w:val="20"/>
                <w:color w:val="auto"/>
              </w:rPr>
            </w:pPr>
            <w:r>
              <w:rPr>
                <w:rFonts w:ascii="Arial" w:cs="Arial" w:eastAsia="Arial" w:hAnsi="Arial"/>
                <w:sz w:val="18"/>
                <w:szCs w:val="18"/>
                <w:color w:val="auto"/>
              </w:rPr>
              <w:t>August 2002</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10,925</w:t>
            </w:r>
          </w:p>
        </w:tc>
        <w:tc>
          <w:tcPr>
            <w:tcW w:w="16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$27.46</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Private accelerated purchase</w:t>
            </w:r>
          </w:p>
        </w:tc>
        <w:tc>
          <w:tcPr>
            <w:tcW w:w="2320" w:type="dxa"/>
            <w:vAlign w:val="bottom"/>
            <w:gridSpan w:val="3"/>
          </w:tcPr>
          <w:p>
            <w:pPr>
              <w:ind w:left="360"/>
              <w:spacing w:after="0"/>
              <w:rPr>
                <w:sz w:val="20"/>
                <w:szCs w:val="20"/>
                <w:color w:val="auto"/>
              </w:rPr>
            </w:pPr>
            <w:r>
              <w:rPr>
                <w:rFonts w:ascii="Arial" w:cs="Arial" w:eastAsia="Arial" w:hAnsi="Arial"/>
                <w:sz w:val="18"/>
                <w:szCs w:val="18"/>
                <w:color w:val="auto"/>
              </w:rPr>
              <w:t>December 2002</w:t>
            </w:r>
          </w:p>
        </w:tc>
        <w:tc>
          <w:tcPr>
            <w:tcW w:w="1480" w:type="dxa"/>
            <w:vAlign w:val="bottom"/>
          </w:tcPr>
          <w:p>
            <w:pPr>
              <w:ind w:left="80"/>
              <w:spacing w:after="0"/>
              <w:rPr>
                <w:sz w:val="20"/>
                <w:szCs w:val="20"/>
                <w:color w:val="auto"/>
              </w:rPr>
            </w:pPr>
            <w:r>
              <w:rPr>
                <w:rFonts w:ascii="Arial" w:cs="Arial" w:eastAsia="Arial" w:hAnsi="Arial"/>
                <w:sz w:val="18"/>
                <w:szCs w:val="18"/>
                <w:color w:val="auto"/>
              </w:rPr>
              <w:t>February 2003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8"/>
                <w:szCs w:val="18"/>
                <w:color w:val="auto"/>
              </w:rPr>
            </w:pPr>
          </w:p>
        </w:tc>
        <w:tc>
          <w:tcPr>
            <w:tcW w:w="1980" w:type="dxa"/>
            <w:vAlign w:val="bottom"/>
            <w:gridSpan w:val="2"/>
          </w:tcPr>
          <w:p>
            <w:pPr>
              <w:jc w:val="right"/>
              <w:ind w:right="292"/>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Private accelerated purchase</w:t>
            </w:r>
          </w:p>
        </w:tc>
        <w:tc>
          <w:tcPr>
            <w:tcW w:w="232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March 2003</w:t>
            </w:r>
          </w:p>
        </w:tc>
        <w:tc>
          <w:tcPr>
            <w:tcW w:w="1480" w:type="dxa"/>
            <w:vAlign w:val="bottom"/>
            <w:shd w:val="clear" w:color="auto" w:fill="EEEEEE"/>
          </w:tcPr>
          <w:p>
            <w:pPr>
              <w:ind w:left="80"/>
              <w:spacing w:after="0"/>
              <w:rPr>
                <w:sz w:val="20"/>
                <w:szCs w:val="20"/>
                <w:color w:val="auto"/>
              </w:rPr>
            </w:pPr>
            <w:r>
              <w:rPr>
                <w:rFonts w:ascii="Arial" w:cs="Arial" w:eastAsia="Arial" w:hAnsi="Arial"/>
                <w:sz w:val="18"/>
                <w:szCs w:val="18"/>
                <w:color w:val="auto"/>
              </w:rPr>
              <w:t>May 2003</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Subtotal</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15,056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372(a)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Open market purchases - 2002</w:t>
            </w:r>
          </w:p>
        </w:tc>
        <w:tc>
          <w:tcPr>
            <w:tcW w:w="1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25,594</w:t>
            </w:r>
          </w:p>
        </w:tc>
        <w:tc>
          <w:tcPr>
            <w:tcW w:w="16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$23.01-$28.19</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Open market purchases - 2003</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19,650</w:t>
            </w:r>
          </w:p>
        </w:tc>
        <w:tc>
          <w:tcPr>
            <w:tcW w:w="160" w:type="dxa"/>
            <w:vAlign w:val="bottom"/>
          </w:tcPr>
          <w:p>
            <w:pPr>
              <w:spacing w:after="0"/>
              <w:rPr>
                <w:sz w:val="18"/>
                <w:szCs w:val="18"/>
                <w:color w:val="auto"/>
              </w:rPr>
            </w:pPr>
          </w:p>
        </w:tc>
        <w:tc>
          <w:tcPr>
            <w:tcW w:w="1980" w:type="dxa"/>
            <w:vAlign w:val="bottom"/>
            <w:gridSpan w:val="2"/>
          </w:tcPr>
          <w:p>
            <w:pPr>
              <w:jc w:val="right"/>
              <w:ind w:right="292"/>
              <w:spacing w:after="0"/>
              <w:rPr>
                <w:sz w:val="20"/>
                <w:szCs w:val="20"/>
                <w:color w:val="auto"/>
              </w:rPr>
            </w:pPr>
            <w:r>
              <w:rPr>
                <w:rFonts w:ascii="Arial" w:cs="Arial" w:eastAsia="Arial" w:hAnsi="Arial"/>
                <w:sz w:val="18"/>
                <w:szCs w:val="18"/>
                <w:color w:val="auto"/>
              </w:rPr>
              <w:t>$19.70-$29.48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526(b)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Open market purchases - 2004</w:t>
            </w:r>
          </w:p>
        </w:tc>
        <w:tc>
          <w:tcPr>
            <w:tcW w:w="1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16,541</w:t>
            </w:r>
          </w:p>
        </w:tc>
        <w:tc>
          <w:tcPr>
            <w:tcW w:w="16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$26.32-$30.79</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Subtotal</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61,785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1,656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76,841</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2,028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20" w:hanging="452"/>
        <w:spacing w:after="0" w:line="255"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the inception of each of our private accelerated share repurchase agreements, we purchased shares by paying an amount equal to the number of shares of common stock multiplied by the per share market price of our common stock on that day. Pursuant to the terms of the agreements, a cash settlement was made by either us or the counterparty at the termination of each agreement’s valuation period for the difference between our initial payment and the weighted average daily market price during that valuation period times the number of shares. The amount included here represents the total cash paid, net of any cash received for each agreement.</w:t>
      </w:r>
    </w:p>
    <w:p>
      <w:pPr>
        <w:spacing w:after="0" w:line="223"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Approximately $24 million of our 2003 share repurchases were settled in cash in January 2004.</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August 2003, we announced that our Board of Directors approved a quarterly dividend program. The dividend was $0.1875 per share per quarter, or $0.75 per share annually. We paid approximately $432 million for dividends declared under this program during 2004. We paid annual dividends of $0.01 per common share, or approximately $6 million, during 2003 and 2002.</w:t>
      </w:r>
    </w:p>
    <w:p>
      <w:pPr>
        <w:spacing w:after="0" w:line="2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October 2004, our Board of Directors approved a new capital allocation program that includes the authorization of management, at its discretion, to purchase up to $1.2 billion, net of dividends paid, of common stock each year during 2005, 2006 and 2007. Additionally, the Board of Directors announced that it expects dividends to be $0.20 per share per quarter beginning in 2005. All future dividend declarations are at the discretion of the Board of Directors, and depend on various factors, including our net earnings, financial condition, cash required for future prospects and other factors the Board may deem relevant. On January 28, 2005, the Board declared our first quarterly dividend under the program of $0.20 per share, which will be paid on March 24, 2005 to stockholders of record as of March 1, 2005.</w:t>
      </w:r>
    </w:p>
    <w:p>
      <w:pPr>
        <w:spacing w:after="0" w:line="200" w:lineRule="exact"/>
        <w:rPr>
          <w:sz w:val="20"/>
          <w:szCs w:val="20"/>
          <w:color w:val="auto"/>
        </w:rPr>
      </w:pPr>
    </w:p>
    <w:p>
      <w:pPr>
        <w:spacing w:after="0" w:line="235"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an Employee Stock Purchase Plan under which an aggregate of 5.25 million shares has been reserved for issuance since the plan’s adoption in 1997. Under the Stock Purchase Plan, employees may purchase shares of our common stock at a discount. The plan provides for two offering periods for purchases: January through June and July through December. At the end of each offering period, employees are able to purchase shares of common stock at a price equal to 85% of the lesser of the market value of the stock on the first or last day of such offering period. The purchases are made through payroll deductions, and the number of shares that may be purchased is limited by IRS regulations. The total number of shares issued under the plan for the offering periods in each of 2004, 2003 and 2002 was approximately 654,000, 597,000 and 612,000,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respectively. Including the impact of the January 2005 issuance of shares associated with the July to December 2004 offering period, approximately 840,000 shares remain available for issuance under our Employee Stock Purchase Plan.</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discussed in Note 23, we are in the process of assessing the impact of a recently issued accounting pronouncement on our accounting for share-based payments to employees. We currently expect our employee stock purchase plan to result in the recognition of compensation expense beginning in the third quarter of 2005.</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Pursuant to our stock incentive plan, we have the ability to issue stock options, stock awards and stock appreciation rights, all on terms and conditions determined by the Compensation Committee of our Board of Directors. The following is a summary of our stock incentive programs and the significant terms of the stock options and restricted stock granted to our officers and other employees during the three years ended December 31, 2004.</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December 31, 2003 and 2002, we had three plans under which we granted stock options and restricted stock awards: the 1993 Stock Incentive Plan, the 2000 Stock Incentive Plan and the 2000 Broad-Based Plan. All three plans allowed for grants of stock options, appreciation rights and stock awards to key employees, except grants under the 2000 Broad-Based Plan could not be made to any executive officer. All of the options granted under these plans have exercise prices equaling the fair market value as of the date of the grant, expire no later than ten years from the date of grant and vest ratably over a four or five-year period. The 1993 Stock Incentive Plan expired in May of 2003.</w:t>
      </w:r>
    </w:p>
    <w:p>
      <w:pPr>
        <w:spacing w:after="0" w:line="22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In May 2004, our stockholders approved the adoption of the 2004 Stock Incentive Plan. The terms of the 2004 Stock Incentive Plan allowed for all shares available under our 2000 Stock Incentive Plan and our 1996 Non-Employee Director Plan (discussed below) to become available for issuance under the 2004 Stock Incentive Plan. Under the 2004 Stock Incentive Plan, an aggregate of 34 million shares of our common stock may be issued pursuant to awards granted under the plan.</w:t>
      </w:r>
    </w:p>
    <w:p>
      <w:pPr>
        <w:spacing w:after="0" w:line="2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Through December 31, 2004, we have primarily issued stock options and restricted stock under our 2004 Stock Incentive Plan. All stock options that have been issued under this plan have exercise prices equal to the fair market value of our common stock as of the date of grant, expire ten years from the date of grant and vest ratably over a four-year period. The restricted stock grants also vest ratably over a four-year period. The shares issued are subject to forfeiture in the event of termination of employment and entitle the holder to all benefits of a stockholder, including the right to receive dividends and vote on all matters put to a vote of security holders.</w:t>
      </w:r>
    </w:p>
    <w:p>
      <w:pPr>
        <w:spacing w:after="0" w:line="22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December 2004, our Board of Directors approved the material terms of awards to be granted in 2005 to selected participants under our 2004 Stock Incentive Plan. In January 2005, the Compensation Committee of the Board of Directors approved grants of restricted stock units and performance share units to those chosen to participate in our long-term incentive plan for 2005. Refer to Note 23 for additional information regarding the significant terms of these share-based awards.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Non-Employee Director Plans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2003 and 2002, we had a 1996 Non-Employee Director Plan that allowed for an automatic annual grant of options to purchase</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10,000 shares of common stock to each of our non-employee directors. All options granted under the plan had a one-year vesting period and a term of ten years. In accordance with the plan, all options granted have an exercise price equal to the fair market value on the date of grant. Members of our Board of Directors received their annual grants in 2002. However, the annual grant ceased after 2002 when we adopted our 2003 Directors’ Deferred Compensation Plan. Under the Deferred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Compensation Plan, a portion of the cash compensation that the directors would otherwise receive is deferred until after their termination from board service and each director may elect to defer the remaining cash compensation to a date that he chooses, which must be after termination of board service. At that time, all deferred compensation is paid in shares of our common stock. The number of shares the directors receive is calculated on the date the cash compensation would have been payable, based on the fair market value of our common stock on that day.</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260" w:firstLine="324"/>
        <w:spacing w:after="0" w:line="318" w:lineRule="auto"/>
        <w:rPr>
          <w:sz w:val="20"/>
          <w:szCs w:val="20"/>
          <w:color w:val="auto"/>
        </w:rPr>
      </w:pPr>
      <w:r>
        <w:rPr>
          <w:rFonts w:ascii="Arial" w:cs="Arial" w:eastAsia="Arial" w:hAnsi="Arial"/>
          <w:sz w:val="15"/>
          <w:szCs w:val="15"/>
          <w:color w:val="auto"/>
        </w:rPr>
        <w:t>We have outstanding warrants that we issued to non-employees for goods and services through 1997 in individual arrangements. These warrants generally vest over a period of time, up to five years, and have terms of up to ten years. All of the warrants have exercise prices equal to the fair market value of our common stock on the date they were granted. Additionally, we have outstanding options and warrants that we acquired in acquisitions. At the time of those acquisitions, the options and warrants were converted into the right to purchase shares of our common stock. These options and warrants generally continue to vest under their original schedules, which range up to five years, although some vested immediately upon the change in control related to the acquisition.</w:t>
      </w:r>
    </w:p>
    <w:p>
      <w:pPr>
        <w:spacing w:after="0" w:line="181"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We generally issue treasury stock upon exercises of stock options and warrants. When issuing shares of treasury stock, the difference between the stock option or warrant exercise price and the average treasury stock cost is recorded as an addition to or deduction from additional paid in capital.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common stock option and warrant activity (shares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95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jc w:val="right"/>
              <w:ind w:right="932"/>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49,209</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$26.19</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44,469</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$27.36</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41,465</w:t>
            </w:r>
          </w:p>
        </w:tc>
        <w:tc>
          <w:tcPr>
            <w:tcW w:w="2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8,985</w:t>
            </w:r>
          </w:p>
        </w:tc>
        <w:tc>
          <w:tcPr>
            <w:tcW w:w="140" w:type="dxa"/>
            <w:vAlign w:val="bottom"/>
          </w:tcPr>
          <w:p>
            <w:pPr>
              <w:spacing w:after="0"/>
              <w:rPr>
                <w:sz w:val="18"/>
                <w:szCs w:val="18"/>
                <w:color w:val="auto"/>
              </w:rPr>
            </w:pPr>
          </w:p>
        </w:tc>
        <w:tc>
          <w:tcPr>
            <w:tcW w:w="1360" w:type="dxa"/>
            <w:vAlign w:val="bottom"/>
            <w:gridSpan w:val="3"/>
          </w:tcPr>
          <w:p>
            <w:pPr>
              <w:ind w:left="560"/>
              <w:spacing w:after="0"/>
              <w:rPr>
                <w:sz w:val="20"/>
                <w:szCs w:val="20"/>
                <w:color w:val="auto"/>
              </w:rPr>
            </w:pPr>
            <w:r>
              <w:rPr>
                <w:rFonts w:ascii="Arial" w:cs="Arial" w:eastAsia="Arial" w:hAnsi="Arial"/>
                <w:sz w:val="18"/>
                <w:szCs w:val="18"/>
                <w:color w:val="auto"/>
              </w:rPr>
              <w:t>$29.18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10,358</w:t>
            </w:r>
          </w:p>
        </w:tc>
        <w:tc>
          <w:tcPr>
            <w:tcW w:w="24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$19.99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10,376</w:t>
            </w:r>
          </w:p>
        </w:tc>
        <w:tc>
          <w:tcPr>
            <w:tcW w:w="24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(10,800)</w:t>
            </w:r>
          </w:p>
        </w:tc>
        <w:tc>
          <w:tcPr>
            <w:tcW w:w="136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$20.57</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(2,764)</w:t>
            </w:r>
          </w:p>
        </w:tc>
        <w:tc>
          <w:tcPr>
            <w:tcW w:w="12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$18.68</w:t>
            </w:r>
          </w:p>
        </w:tc>
        <w:tc>
          <w:tcPr>
            <w:tcW w:w="12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(1,758)</w:t>
            </w:r>
          </w:p>
        </w:tc>
        <w:tc>
          <w:tcPr>
            <w:tcW w:w="130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Forfeited or expired</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(3,463)</w:t>
            </w:r>
          </w:p>
        </w:tc>
        <w:tc>
          <w:tcPr>
            <w:tcW w:w="1360" w:type="dxa"/>
            <w:vAlign w:val="bottom"/>
            <w:gridSpan w:val="3"/>
          </w:tcPr>
          <w:p>
            <w:pPr>
              <w:ind w:left="560"/>
              <w:spacing w:after="0"/>
              <w:rPr>
                <w:sz w:val="20"/>
                <w:szCs w:val="20"/>
                <w:color w:val="auto"/>
              </w:rPr>
            </w:pPr>
            <w:r>
              <w:rPr>
                <w:rFonts w:ascii="Arial" w:cs="Arial" w:eastAsia="Arial" w:hAnsi="Arial"/>
                <w:sz w:val="18"/>
                <w:szCs w:val="18"/>
                <w:color w:val="auto"/>
              </w:rPr>
              <w:t>$ 34.10</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(2,854)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$ 28.66</w:t>
            </w: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(5,614)</w:t>
            </w: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$ 35.96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43,931</w:t>
            </w:r>
          </w:p>
        </w:tc>
        <w:tc>
          <w:tcPr>
            <w:tcW w:w="1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$27.56</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49,209</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$26.19</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44,469</w:t>
            </w:r>
          </w:p>
        </w:tc>
        <w:tc>
          <w:tcPr>
            <w:tcW w:w="2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105"/>
        </w:trPr>
        <w:tc>
          <w:tcPr>
            <w:tcW w:w="30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3"/>
          </w:tcPr>
          <w:p>
            <w:pPr>
              <w:spacing w:after="0"/>
              <w:rPr>
                <w:sz w:val="5"/>
                <w:szCs w:val="5"/>
                <w:color w:val="auto"/>
              </w:rPr>
            </w:pPr>
          </w:p>
        </w:tc>
        <w:tc>
          <w:tcPr>
            <w:tcW w:w="46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2"/>
          </w:tcPr>
          <w:p>
            <w:pPr>
              <w:spacing w:after="0"/>
              <w:rPr>
                <w:sz w:val="5"/>
                <w:szCs w:val="5"/>
                <w:color w:val="auto"/>
              </w:rPr>
            </w:pPr>
          </w:p>
        </w:tc>
        <w:tc>
          <w:tcPr>
            <w:tcW w:w="48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00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23,151</w:t>
            </w:r>
          </w:p>
        </w:tc>
        <w:tc>
          <w:tcPr>
            <w:tcW w:w="140" w:type="dxa"/>
            <w:vAlign w:val="bottom"/>
          </w:tcPr>
          <w:p>
            <w:pPr>
              <w:spacing w:after="0"/>
              <w:rPr>
                <w:sz w:val="24"/>
                <w:szCs w:val="24"/>
                <w:color w:val="auto"/>
              </w:rPr>
            </w:pPr>
          </w:p>
        </w:tc>
        <w:tc>
          <w:tcPr>
            <w:tcW w:w="1360" w:type="dxa"/>
            <w:vAlign w:val="bottom"/>
            <w:gridSpan w:val="3"/>
          </w:tcPr>
          <w:p>
            <w:pPr>
              <w:ind w:left="560"/>
              <w:spacing w:after="0"/>
              <w:rPr>
                <w:sz w:val="20"/>
                <w:szCs w:val="20"/>
                <w:color w:val="auto"/>
              </w:rPr>
            </w:pPr>
            <w:r>
              <w:rPr>
                <w:rFonts w:ascii="Arial" w:cs="Arial" w:eastAsia="Arial" w:hAnsi="Arial"/>
                <w:sz w:val="18"/>
                <w:szCs w:val="18"/>
                <w:color w:val="auto"/>
              </w:rPr>
              <w:t>$29.35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25,918</w:t>
            </w:r>
          </w:p>
        </w:tc>
        <w:tc>
          <w:tcPr>
            <w:tcW w:w="240" w:type="dxa"/>
            <w:vAlign w:val="bottom"/>
          </w:tcPr>
          <w:p>
            <w:pPr>
              <w:spacing w:after="0"/>
              <w:rPr>
                <w:sz w:val="24"/>
                <w:szCs w:val="24"/>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$29.10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21,789</w:t>
            </w:r>
          </w:p>
        </w:tc>
        <w:tc>
          <w:tcPr>
            <w:tcW w:w="240" w:type="dxa"/>
            <w:vAlign w:val="bottom"/>
          </w:tcPr>
          <w:p>
            <w:pPr>
              <w:spacing w:after="0"/>
              <w:rPr>
                <w:sz w:val="24"/>
                <w:szCs w:val="24"/>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and exercisable stock options and warrants at December 31, 2004, were as follows (shares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w w:val="84"/>
              </w:rPr>
              <w:t>Exercisable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Range of</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20"/>
                <w:szCs w:val="20"/>
                <w:color w:val="auto"/>
              </w:rPr>
            </w:pPr>
          </w:p>
        </w:tc>
        <w:tc>
          <w:tcPr>
            <w:tcW w:w="1860" w:type="dxa"/>
            <w:vAlign w:val="bottom"/>
          </w:tcPr>
          <w:p>
            <w:pPr>
              <w:jc w:val="right"/>
              <w:ind w:right="332"/>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2"/>
          </w:tcPr>
          <w:p>
            <w:pPr>
              <w:ind w:left="760"/>
              <w:spacing w:after="0"/>
              <w:rPr>
                <w:sz w:val="20"/>
                <w:szCs w:val="20"/>
                <w:color w:val="auto"/>
              </w:rPr>
            </w:pPr>
            <w:r>
              <w:rPr>
                <w:rFonts w:ascii="Arial" w:cs="Arial" w:eastAsia="Arial" w:hAnsi="Arial"/>
                <w:sz w:val="14"/>
                <w:szCs w:val="14"/>
                <w:b w:val="1"/>
                <w:bCs w:val="1"/>
                <w:color w:val="auto"/>
              </w:rPr>
              <w:t>Exercise Prices</w:t>
            </w: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90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Exercise Price</w:t>
            </w:r>
          </w:p>
        </w:tc>
        <w:tc>
          <w:tcPr>
            <w:tcW w:w="280" w:type="dxa"/>
            <w:vAlign w:val="bottom"/>
          </w:tcPr>
          <w:p>
            <w:pPr>
              <w:spacing w:after="0"/>
              <w:rPr>
                <w:sz w:val="15"/>
                <w:szCs w:val="15"/>
                <w:color w:val="auto"/>
              </w:rPr>
            </w:pPr>
          </w:p>
        </w:tc>
        <w:tc>
          <w:tcPr>
            <w:tcW w:w="1860" w:type="dxa"/>
            <w:vAlign w:val="bottom"/>
          </w:tcPr>
          <w:p>
            <w:pPr>
              <w:jc w:val="right"/>
              <w:ind w:right="372"/>
              <w:spacing w:after="0"/>
              <w:rPr>
                <w:sz w:val="20"/>
                <w:szCs w:val="20"/>
                <w:color w:val="auto"/>
              </w:rPr>
            </w:pPr>
            <w:r>
              <w:rPr>
                <w:rFonts w:ascii="Arial" w:cs="Arial" w:eastAsia="Arial" w:hAnsi="Arial"/>
                <w:sz w:val="14"/>
                <w:szCs w:val="14"/>
                <w:b w:val="1"/>
                <w:bCs w:val="1"/>
                <w:color w:val="auto"/>
              </w:rPr>
              <w:t>Remaining Years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9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$7.91-$10.00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4"/>
              <w:spacing w:after="0"/>
              <w:rPr>
                <w:sz w:val="20"/>
                <w:szCs w:val="20"/>
                <w:color w:val="auto"/>
              </w:rPr>
            </w:pPr>
            <w:r>
              <w:rPr>
                <w:rFonts w:ascii="Arial" w:cs="Arial" w:eastAsia="Arial" w:hAnsi="Arial"/>
                <w:sz w:val="18"/>
                <w:szCs w:val="18"/>
                <w:color w:val="auto"/>
              </w:rPr>
              <w:t>7.91</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2.43</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$10.01-$20.00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10,185</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4"/>
              <w:spacing w:after="0"/>
              <w:rPr>
                <w:sz w:val="20"/>
                <w:szCs w:val="20"/>
                <w:color w:val="auto"/>
              </w:rPr>
            </w:pPr>
            <w:r>
              <w:rPr>
                <w:rFonts w:ascii="Arial" w:cs="Arial" w:eastAsia="Arial" w:hAnsi="Arial"/>
                <w:sz w:val="18"/>
                <w:szCs w:val="18"/>
                <w:color w:val="auto"/>
                <w:w w:val="84"/>
              </w:rPr>
              <w:t>18.41</w:t>
            </w:r>
          </w:p>
        </w:tc>
        <w:tc>
          <w:tcPr>
            <w:tcW w:w="2140" w:type="dxa"/>
            <w:vAlign w:val="bottom"/>
            <w:gridSpan w:val="2"/>
          </w:tcPr>
          <w:p>
            <w:pPr>
              <w:jc w:val="right"/>
              <w:ind w:right="652"/>
              <w:spacing w:after="0"/>
              <w:rPr>
                <w:sz w:val="20"/>
                <w:szCs w:val="20"/>
                <w:color w:val="auto"/>
              </w:rPr>
            </w:pPr>
            <w:r>
              <w:rPr>
                <w:rFonts w:ascii="Arial" w:cs="Arial" w:eastAsia="Arial" w:hAnsi="Arial"/>
                <w:sz w:val="18"/>
                <w:szCs w:val="18"/>
                <w:color w:val="auto"/>
              </w:rPr>
              <w:t>7.12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4,413</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$20.01-$30.00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26,486</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4"/>
              <w:spacing w:after="0"/>
              <w:rPr>
                <w:sz w:val="20"/>
                <w:szCs w:val="20"/>
                <w:color w:val="auto"/>
              </w:rPr>
            </w:pPr>
            <w:r>
              <w:rPr>
                <w:rFonts w:ascii="Arial" w:cs="Arial" w:eastAsia="Arial" w:hAnsi="Arial"/>
                <w:sz w:val="18"/>
                <w:szCs w:val="18"/>
                <w:color w:val="auto"/>
                <w:w w:val="84"/>
              </w:rPr>
              <w:t>26.85</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7.10</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11,534</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w w:val="84"/>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$30.01-$40.00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2,823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4"/>
              <w:spacing w:after="0"/>
              <w:rPr>
                <w:sz w:val="20"/>
                <w:szCs w:val="20"/>
                <w:color w:val="auto"/>
              </w:rPr>
            </w:pPr>
            <w:r>
              <w:rPr>
                <w:rFonts w:ascii="Arial" w:cs="Arial" w:eastAsia="Arial" w:hAnsi="Arial"/>
                <w:sz w:val="18"/>
                <w:szCs w:val="18"/>
                <w:color w:val="auto"/>
                <w:w w:val="84"/>
              </w:rPr>
              <w:t>35.02</w:t>
            </w:r>
          </w:p>
        </w:tc>
        <w:tc>
          <w:tcPr>
            <w:tcW w:w="2140" w:type="dxa"/>
            <w:vAlign w:val="bottom"/>
            <w:gridSpan w:val="2"/>
          </w:tcPr>
          <w:p>
            <w:pPr>
              <w:jc w:val="right"/>
              <w:ind w:right="652"/>
              <w:spacing w:after="0"/>
              <w:rPr>
                <w:sz w:val="20"/>
                <w:szCs w:val="20"/>
                <w:color w:val="auto"/>
              </w:rPr>
            </w:pPr>
            <w:r>
              <w:rPr>
                <w:rFonts w:ascii="Arial" w:cs="Arial" w:eastAsia="Arial" w:hAnsi="Arial"/>
                <w:sz w:val="18"/>
                <w:szCs w:val="18"/>
                <w:color w:val="auto"/>
              </w:rPr>
              <w:t>3.34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2,767</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$40.01-$50.00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4"/>
              <w:spacing w:after="0"/>
              <w:rPr>
                <w:sz w:val="20"/>
                <w:szCs w:val="20"/>
                <w:color w:val="auto"/>
              </w:rPr>
            </w:pPr>
            <w:r>
              <w:rPr>
                <w:rFonts w:ascii="Arial" w:cs="Arial" w:eastAsia="Arial" w:hAnsi="Arial"/>
                <w:sz w:val="18"/>
                <w:szCs w:val="18"/>
                <w:color w:val="auto"/>
                <w:w w:val="84"/>
              </w:rPr>
              <w:t>43.13</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2.70</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2,230</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w w:val="84"/>
              </w:rPr>
              <w:t>43.13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$50.01-$56.44</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2,204</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4"/>
              <w:spacing w:after="0"/>
              <w:rPr>
                <w:sz w:val="20"/>
                <w:szCs w:val="20"/>
                <w:color w:val="auto"/>
              </w:rPr>
            </w:pPr>
            <w:r>
              <w:rPr>
                <w:rFonts w:ascii="Arial" w:cs="Arial" w:eastAsia="Arial" w:hAnsi="Arial"/>
                <w:sz w:val="18"/>
                <w:szCs w:val="18"/>
                <w:color w:val="auto"/>
                <w:w w:val="84"/>
              </w:rPr>
              <w:t>53.06</w:t>
            </w:r>
          </w:p>
        </w:tc>
        <w:tc>
          <w:tcPr>
            <w:tcW w:w="2140" w:type="dxa"/>
            <w:vAlign w:val="bottom"/>
            <w:gridSpan w:val="2"/>
          </w:tcPr>
          <w:p>
            <w:pPr>
              <w:jc w:val="right"/>
              <w:ind w:right="652"/>
              <w:spacing w:after="0"/>
              <w:rPr>
                <w:sz w:val="20"/>
                <w:szCs w:val="20"/>
                <w:color w:val="auto"/>
              </w:rPr>
            </w:pPr>
            <w:r>
              <w:rPr>
                <w:rFonts w:ascii="Arial" w:cs="Arial" w:eastAsia="Arial" w:hAnsi="Arial"/>
                <w:sz w:val="18"/>
                <w:szCs w:val="18"/>
                <w:color w:val="auto"/>
              </w:rPr>
              <w:t>3.72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2,204</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53.06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$7.91-$56.44</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43,931</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4"/>
              <w:spacing w:after="0"/>
              <w:rPr>
                <w:sz w:val="20"/>
                <w:szCs w:val="20"/>
                <w:color w:val="auto"/>
              </w:rPr>
            </w:pPr>
            <w:r>
              <w:rPr>
                <w:rFonts w:ascii="Arial" w:cs="Arial" w:eastAsia="Arial" w:hAnsi="Arial"/>
                <w:sz w:val="18"/>
                <w:szCs w:val="18"/>
                <w:color w:val="auto"/>
                <w:w w:val="84"/>
              </w:rPr>
              <w:t>27.56</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6.47</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23,151</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w w:val="84"/>
              </w:rPr>
              <w:t>29.35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reconciles income before cumulative effect of changes in accounting principles as presented in the consolidated statements of operations with diluted net income for the purposes of calculating diluted earnings per common share (in millions):</w:t>
      </w:r>
    </w:p>
    <w:p>
      <w:pPr>
        <w:spacing w:after="0" w:line="398"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60325</wp:posOffset>
            </wp:positionV>
            <wp:extent cx="16897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Interest on convertible subordinated notes, net of taxes(a)</w:t>
            </w:r>
          </w:p>
        </w:tc>
        <w:tc>
          <w:tcPr>
            <w:tcW w:w="2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Diluted income before cumulative effect of changes in accounting principles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w w:val="99"/>
              </w:rPr>
              <w:t>Cumulative effect of changes in accounting principles, net of income tax expense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(89)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Diluted net income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26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effect of our convertible subordinated notes is included in our dilutive earnings per share calculation for 2002, however it is excluded for 2004 and 2003 since its inclusion would be antidilutive.</w:t>
      </w:r>
    </w:p>
    <w:p>
      <w:pPr>
        <w:spacing w:after="0" w:line="213" w:lineRule="exact"/>
        <w:rPr>
          <w:sz w:val="20"/>
          <w:szCs w:val="20"/>
          <w:color w:val="auto"/>
        </w:rPr>
      </w:pPr>
    </w:p>
    <w:p>
      <w:pPr>
        <w:ind w:right="280" w:firstLine="270"/>
        <w:spacing w:after="0" w:line="298" w:lineRule="auto"/>
        <w:rPr>
          <w:sz w:val="20"/>
          <w:szCs w:val="20"/>
          <w:color w:val="auto"/>
        </w:rPr>
      </w:pPr>
      <w:r>
        <w:rPr>
          <w:rFonts w:ascii="Arial" w:cs="Arial" w:eastAsia="Arial" w:hAnsi="Arial"/>
          <w:sz w:val="16"/>
          <w:szCs w:val="16"/>
          <w:color w:val="auto"/>
        </w:rPr>
        <w:t>The following table reconciles the number of common shares outstanding at December 31 of each year to the number of weighted average basic common shares outstanding and the number of weighted average diluted common shares outstanding for the purposes of calculating basic and diluted earnings per common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gridSpan w:val="6"/>
          </w:tcPr>
          <w:p>
            <w:pPr>
              <w:ind w:left="140"/>
              <w:spacing w:after="0"/>
              <w:rPr>
                <w:sz w:val="20"/>
                <w:szCs w:val="20"/>
                <w:color w:val="auto"/>
              </w:rPr>
            </w:pPr>
            <w:r>
              <w:rPr>
                <w:rFonts w:ascii="Arial" w:cs="Arial" w:eastAsia="Arial" w:hAnsi="Arial"/>
                <w:sz w:val="14"/>
                <w:szCs w:val="14"/>
                <w:b w:val="1"/>
                <w:bCs w:val="1"/>
                <w:color w:val="auto"/>
                <w:w w:val="86"/>
              </w:rPr>
              <w:t>Years Ended December 31,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2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year-end</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570.2</w:t>
            </w:r>
          </w:p>
        </w:tc>
        <w:tc>
          <w:tcPr>
            <w:tcW w:w="12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576.1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594.6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576.3</w:t>
            </w:r>
          </w:p>
        </w:tc>
        <w:tc>
          <w:tcPr>
            <w:tcW w:w="12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589.0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613.4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Dilutive effect of common stock options, warrants, restricted stock,</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w w:val="96"/>
              </w:rPr>
              <w:t>convertible subordinated notes and other contingently issuable 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581.1</w:t>
            </w:r>
          </w:p>
        </w:tc>
        <w:tc>
          <w:tcPr>
            <w:tcW w:w="12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592.5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617.5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20" w:type="dxa"/>
            <w:vAlign w:val="bottom"/>
            <w:gridSpan w:val="3"/>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00" w:type="dxa"/>
            <w:vAlign w:val="bottom"/>
            <w:gridSpan w:val="2"/>
          </w:tcPr>
          <w:p>
            <w:pPr>
              <w:spacing w:after="0"/>
              <w:rPr>
                <w:sz w:val="20"/>
                <w:szCs w:val="20"/>
                <w:color w:val="auto"/>
              </w:rPr>
            </w:pPr>
            <w:r>
              <w:rPr>
                <w:rFonts w:ascii="Arial" w:cs="Arial" w:eastAsia="Arial" w:hAnsi="Arial"/>
                <w:sz w:val="18"/>
                <w:szCs w:val="18"/>
                <w:color w:val="auto"/>
              </w:rPr>
              <w:t>Potentially issuable 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w w:val="94"/>
              </w:rPr>
              <w:t>Number of potentially issuable shares excluded from diluted common shares</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12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determined the estimated fair value amounts of our financial instruments using available market information and commonly accepted valuation methodologies. However,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to management as of</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December 31, 2004 and 2003. These amounts have not been revalued since those dates, and current estimates of fair value could differ significantly from the amounts presented.</w:t>
      </w:r>
    </w:p>
    <w:p>
      <w:pPr>
        <w:spacing w:after="0" w:line="213"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carrying values of cash and cash equivalents, short-term investments, trade accounts receivable, trade accounts payable, financial instruments included in notes and other receivables and certain financial instruments included in other assets or other liabilities are reflected in our consolidated financial statements at historical cost, which is materially representative of their fair value principally because of the short-term maturities of these instruments.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 Included as a component of other assets in our balance sheet at December 31, 2004 and December 31, 2003 is $127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$397 million, respectively, of restricted investments in U.S. government agency debt securities. At December 31, 2004, we also had approximately $82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investments in equity-based mutual funds. These investments are recorded at fair value. Unrealized holding gains and losses on these instruments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deferred as a component of other comprehensive income in the equity section of the balance sheet. There has not been a material difference between the cost basis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fair market value of these investments in either 2004 or 2003.</w:t>
      </w:r>
    </w:p>
    <w:p>
      <w:pPr>
        <w:spacing w:after="0" w:line="24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Debt and interest rate derivatives </w:t>
      </w:r>
      <w:r>
        <w:rPr>
          <w:rFonts w:ascii="Arial" w:cs="Arial" w:eastAsia="Arial" w:hAnsi="Arial"/>
          <w:sz w:val="16"/>
          <w:szCs w:val="16"/>
          <w:color w:val="auto"/>
        </w:rPr>
        <w:t>— At December 31, 2004 and 2003, the carrying value of our debt was approximately $8.6 billion and $8.5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carrying value includes adjustments for both the unamortized fair value adjustments related to terminated hedge arrangements and fair value adjustments of debt instruments that are currently hedged. See Note 7. For active hedge arrangements, the fair value of the derivative is included in other current assets, other long-term assets, accrued liabilities or other long-term liabilities, as appropriate. The estimated fair value of debt at both December 31, 2004 and 2003 was approximately $9.2 billion. The estimated fair values of our senior notes and convertible subordinated notes are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w:t>
      </w:r>
    </w:p>
    <w:p>
      <w:pPr>
        <w:spacing w:after="0" w:line="200" w:lineRule="exact"/>
        <w:rPr>
          <w:sz w:val="20"/>
          <w:szCs w:val="20"/>
          <w:color w:val="auto"/>
        </w:rPr>
      </w:pPr>
    </w:p>
    <w:p>
      <w:pPr>
        <w:spacing w:after="0" w:line="210"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Divestitures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Purchase Acquisitions</w:t>
      </w:r>
    </w:p>
    <w:p>
      <w:pPr>
        <w:spacing w:after="0" w:line="252"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We continue to pursue the acquisition of businesses that are accretive to our NASW operations. During the year ended December 31, 2004, we completed over 50 acquisitions for a cost, net of cash acquired, of approximately $130 million. These acquisitions primarily affected our Eastern, Midwest and Southern groups.</w:t>
      </w:r>
    </w:p>
    <w:p>
      <w:pPr>
        <w:spacing w:after="0" w:line="22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During the year ended December 31, 2003, we paid $337 million, net of cash acquired, for the acquisitions of approximately 75 businesses, which are included within our NASW operations. This included approximately $85 million in the first quarter of 2003 primarily for our acquisition of the Peltz Group, the largest privately-held recycler in the United States whose assets we contributed to our Recycling Group’s operations known as Recycle America Alliance. The most significant of the other transactions was the acquisition of certain collections assets from Allied Waste Industries, Inc. in the third and fourth quarters of 2003.</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in 2003 we acquired certain operations from Bio-Energy Partners, a general partnership in which we have a 50% ownership interest,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 million. Bio-Energy Partners owns and operates facilities that produce electrical power from landfill gas that is ultimately sold to public utilities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users. Concurrent with this transaction, we received net cash proceeds from Bio-Energy Partners of $30 million in exchange for assuming a like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of indebtedness of the partnership. We continue to account for our remaining interests in Bio-Energy Partners as an equity investment.</w:t>
      </w:r>
    </w:p>
    <w:p>
      <w:pPr>
        <w:spacing w:after="0" w:line="24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a result of the acquisitions in 2003, we recorded approximately $458 million in additional assets, including approximately $154 million of goodwill and approximately $65 million of other intangible assets.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this acquired goodwill, approximately $143 million is deductible for income tax purposes. Additionally, as a result of these acquisitions we assumed approximately $117 million of liabilities.</w:t>
      </w:r>
    </w:p>
    <w:p>
      <w:pPr>
        <w:spacing w:after="0" w:line="213"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In 2002, we completed over 50 acquisitions of NASW operations that were accounted for under the purchase method of accounting for approximately $162 million.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approximate aggregate sales price for the divestiture of our non-integrated North American operations was approximately $39 million in 2004,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 million in 2003 and $103 million in 2002. These sales were comprised substantially of cash proceeds. We recognized net gains on these divestitures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$12 million in 2004, $13 million in 2003 and $8 million during 2002.</w:t>
      </w:r>
    </w:p>
    <w:p>
      <w:pPr>
        <w:spacing w:after="0" w:line="200" w:lineRule="exact"/>
        <w:rPr>
          <w:sz w:val="20"/>
          <w:szCs w:val="20"/>
          <w:color w:val="auto"/>
        </w:rPr>
      </w:pPr>
    </w:p>
    <w:p>
      <w:pPr>
        <w:spacing w:after="0" w:line="256"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financial interests in various variable interest entities. Following is a description of all interests that we consider significant. For purposes of applying FIN 46, we are considered the primary beneficiary of certain of these entities. Such entities have been consolidated into our financial statements as noted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entities</w:t>
      </w:r>
    </w:p>
    <w:p>
      <w:pPr>
        <w:spacing w:after="0" w:line="258" w:lineRule="exact"/>
        <w:rPr>
          <w:sz w:val="20"/>
          <w:szCs w:val="20"/>
          <w:color w:val="auto"/>
        </w:rPr>
      </w:pPr>
    </w:p>
    <w:p>
      <w:pPr>
        <w:jc w:val="both"/>
        <w:ind w:right="160" w:firstLine="324"/>
        <w:spacing w:after="0" w:line="335" w:lineRule="auto"/>
        <w:rPr>
          <w:sz w:val="20"/>
          <w:szCs w:val="20"/>
          <w:color w:val="auto"/>
        </w:rPr>
      </w:pPr>
      <w:r>
        <w:rPr>
          <w:rFonts w:ascii="Arial" w:cs="Arial" w:eastAsia="Arial" w:hAnsi="Arial"/>
          <w:sz w:val="15"/>
          <w:szCs w:val="15"/>
          <w:i w:val="1"/>
          <w:iCs w:val="1"/>
          <w:color w:val="auto"/>
        </w:rPr>
        <w:t xml:space="preserve">Financial Interest in Surety Bonding Company </w:t>
      </w:r>
      <w:r>
        <w:rPr>
          <w:rFonts w:ascii="Arial" w:cs="Arial" w:eastAsia="Arial" w:hAnsi="Arial"/>
          <w:sz w:val="15"/>
          <w:szCs w:val="15"/>
          <w:color w:val="auto"/>
        </w:rPr>
        <w:t>— During the third quarter of 2003, we issued a $28.6 million letter of credit to support the debt of a surety</w:t>
      </w:r>
      <w:r>
        <w:rPr>
          <w:rFonts w:ascii="Arial" w:cs="Arial" w:eastAsia="Arial" w:hAnsi="Arial"/>
          <w:sz w:val="15"/>
          <w:szCs w:val="15"/>
          <w:i w:val="1"/>
          <w:iCs w:val="1"/>
          <w:color w:val="auto"/>
        </w:rPr>
        <w:t xml:space="preserve"> </w:t>
      </w:r>
      <w:r>
        <w:rPr>
          <w:rFonts w:ascii="Arial" w:cs="Arial" w:eastAsia="Arial" w:hAnsi="Arial"/>
          <w:sz w:val="15"/>
          <w:szCs w:val="15"/>
          <w:color w:val="auto"/>
        </w:rPr>
        <w:t>bonding company established by an unrelated third party to issue surety bonds to the waste industry and other industries. The letter of credit serves to guarantee the surety bonding company’s obligations associated with its debt and represents our exposure to loss associated with our financial interest in the entity.</w:t>
      </w:r>
    </w:p>
    <w:p>
      <w:pPr>
        <w:spacing w:after="0" w:line="169"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As of December 31, 2004, approximately $45 million of current assets, $6 million of long-term assets, $25 million of current liabilities, $24 million of long-term debt and $2 million in minority interest have been included in our consolidated balance sheet as a result of applying FIN 46 to this variable interest entity.</w:t>
      </w:r>
    </w:p>
    <w:p>
      <w:pPr>
        <w:spacing w:after="0" w:line="166"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Although we are the primary beneficiary of this variable interest entity, the creditors of the entity do not have recourse against our general credit and our losses are limited to our exposure under the guarantee. Consolidation of this entity did not materially impact our results of operations during the year ended December 31, 2004 or 2003 nor do we anticipate that it will materially impact our results of operations in the foreseeable future. See Note 10 for additional discussion related to our financial assurance activities.</w:t>
      </w:r>
    </w:p>
    <w:p>
      <w:pPr>
        <w:spacing w:after="0" w:line="224" w:lineRule="exact"/>
        <w:rPr>
          <w:sz w:val="20"/>
          <w:szCs w:val="20"/>
          <w:color w:val="auto"/>
        </w:rPr>
      </w:pPr>
    </w:p>
    <w:p>
      <w:pPr>
        <w:ind w:right="400" w:firstLine="324"/>
        <w:spacing w:after="0" w:line="305" w:lineRule="auto"/>
        <w:rPr>
          <w:sz w:val="20"/>
          <w:szCs w:val="20"/>
          <w:color w:val="auto"/>
        </w:rPr>
      </w:pPr>
      <w:r>
        <w:rPr>
          <w:rFonts w:ascii="Arial" w:cs="Arial" w:eastAsia="Arial" w:hAnsi="Arial"/>
          <w:sz w:val="15"/>
          <w:szCs w:val="15"/>
          <w:i w:val="1"/>
          <w:iCs w:val="1"/>
          <w:color w:val="auto"/>
        </w:rPr>
        <w:t xml:space="preserve">Waste-to-Energy LLCs </w:t>
      </w:r>
      <w:r>
        <w:rPr>
          <w:rFonts w:ascii="Arial" w:cs="Arial" w:eastAsia="Arial" w:hAnsi="Arial"/>
          <w:sz w:val="15"/>
          <w:szCs w:val="15"/>
          <w:color w:val="auto"/>
        </w:rPr>
        <w:t>— On June 30, 2000, two limited liability companies (“LLCs”) were established to purchase interests in existing leveraged lease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financings at three waste-to-energy facilities that we operate under an agreement with the owner. John Hancock Life Insurance Company (“Hancock”) has a</w:t>
      </w:r>
    </w:p>
    <w:p>
      <w:pPr>
        <w:ind w:right="60"/>
        <w:spacing w:after="0" w:line="281" w:lineRule="auto"/>
        <w:rPr>
          <w:sz w:val="20"/>
          <w:szCs w:val="20"/>
          <w:color w:val="auto"/>
        </w:rPr>
      </w:pPr>
      <w:r>
        <w:rPr>
          <w:rFonts w:ascii="Arial" w:cs="Arial" w:eastAsia="Arial" w:hAnsi="Arial"/>
          <w:sz w:val="16"/>
          <w:szCs w:val="16"/>
          <w:color w:val="auto"/>
        </w:rPr>
        <w:t>99.5% ownership interest in one of the LLCs (“LLC I”), and the second LLC (“LLC II”) is 99.75% collectively owned by LLC I and the CIT Group (“CIT”). We own the remaining equity interest in each LLC.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w:t>
      </w:r>
    </w:p>
    <w:p>
      <w:pPr>
        <w:spacing w:after="0" w:line="3" w:lineRule="exact"/>
        <w:rPr>
          <w:sz w:val="20"/>
          <w:szCs w:val="20"/>
          <w:color w:val="auto"/>
        </w:rPr>
      </w:pPr>
    </w:p>
    <w:p>
      <w:pPr>
        <w:ind w:right="40" w:firstLine="8"/>
        <w:spacing w:after="0" w:line="261" w:lineRule="auto"/>
        <w:tabs>
          <w:tab w:leader="none" w:pos="2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December 31, 2063, (iii) the entry of a decree of judicial dissolution under the Delaware Limited Liability Company Act, or (iv) the LLCs ceasing to own any interest in the waste-to-energy facilities.</w:t>
      </w:r>
    </w:p>
    <w:p>
      <w:pPr>
        <w:spacing w:after="0" w:line="219"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Income, losses and cash flows are allocated to the members based on their initial capital account balances until Hancock and CIT achieve targeted returns; thereafter, the earnings of LLC I will be allocated 20% to Hancock and 80% to us and the earnings of LLC II will be allocated 20% to Hancock and CIT and 80% to us. We do not expect Hancock and CIT to achieve the targeted returns at any time during the initial base term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leases. We are required under certain circumstances to make capital contributions to the LLCs in the amount of the difference between the stipulated loss amounts and terminated values under the LLC agreements to the extent they are different from the underlying lease agreements. We believe that the likelihood of the occurrence of these circumstances is remote. Additionally, if we exercise certain renewal options under the leases, we will be required to make payments to the LLCs for the difference between fair market rents and the scheduled renewal rents, if any.</w:t>
      </w:r>
    </w:p>
    <w:p>
      <w:pPr>
        <w:spacing w:after="0" w:line="194"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As of December 31, 2004, our consolidated balance sheet includes approximately $389 million of net property and equipment associated with the LLCs’ waste-to-energy facilities and $130 million of debt associated with the financing of the facilities.</w:t>
      </w:r>
    </w:p>
    <w:p>
      <w:pPr>
        <w:spacing w:after="0" w:line="213"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i w:val="1"/>
          <w:iCs w:val="1"/>
          <w:color w:val="auto"/>
        </w:rPr>
        <w:t xml:space="preserve">Trusts for Closure, Post-Closure or Environmental Remediation Obligations </w:t>
      </w:r>
      <w:r>
        <w:rPr>
          <w:rFonts w:ascii="Arial" w:cs="Arial" w:eastAsia="Arial" w:hAnsi="Arial"/>
          <w:sz w:val="16"/>
          <w:szCs w:val="16"/>
          <w:color w:val="auto"/>
        </w:rPr>
        <w:t>— We have determined that we are the primary beneficiary of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closure, post-closure or environmental remediation obligations. As the trust funds are expected to continue to meet the statutory requirements for which they were established, we do not believe that there is any material exposure to loss associated with the trusts. The consolidation of these variable interest entities has not materially affected our financial position or results of operations in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unconsolidated variable interest entities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Investments in Coal-Based Synthetic Fuel Production Facilities </w:t>
      </w:r>
      <w:r>
        <w:rPr>
          <w:rFonts w:ascii="Arial" w:cs="Arial" w:eastAsia="Arial" w:hAnsi="Arial"/>
          <w:sz w:val="16"/>
          <w:szCs w:val="16"/>
          <w:color w:val="auto"/>
        </w:rPr>
        <w:t>— As discussed in Note 8, we own an interest in two coal-based synthetic fuel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Along with the other equity investors, we support the operations of the entities in exchange for a pro-rata share of the tax credits generated by the facilities. Our obligation to support the facilities’ future operations is, therefore, limited to the tax benefit we expect to receive. We are not the primary beneficiary of either of these entities, and we do not believe that we have any material exposure to loss, as measured under the provisions of FIN 46, as a result of our investments. As such, we account for these investments under the equity method of accounting and do not consolidate the facilities.</w:t>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8"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seven operating Groups are presented herein as “Other NASW.”</w:t>
      </w:r>
    </w:p>
    <w:p>
      <w:pPr>
        <w:spacing w:after="0" w:line="19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Early in the third quarter of 2004, we implemented a market realignment that consisted of moving our Ohio operations to the Midwest Group and our Kentucky operations to the Southern Group, both of which were previously in the Eastern Group. We believe that the realignment will provide benefits to each of the operating groups affected. Specifically, the Ohio Market Area faces many of the same issues as other industrial regions in the Midwest Group and the Kentucky Market Area’s rural characteristics make it similar to other markets in the Southern Group. Further, we believe that reducing the revenues of the Eastern Group will enable its leadership team to focus on the challenges associated with the Northeast corridor. As a result of the realignment, we have reclassified the operating results of the Ohio and Kentucky Market Areas for all periods presented to provide segment financial information that appropriately reflects our approach to managing operations. Prior period information has also been reclassified to reflect our change in accounting for certain mandatory fees and taxes, as described in Note 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respective years ended December 31 is shown in the following table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Intercompany</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Depreciation</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Operating</w:t>
            </w:r>
          </w:p>
        </w:tc>
        <w:tc>
          <w:tcPr>
            <w:tcW w:w="2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Operating</w:t>
            </w:r>
          </w:p>
        </w:tc>
        <w:tc>
          <w:tcPr>
            <w:tcW w:w="26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Income from</w:t>
            </w:r>
          </w:p>
        </w:tc>
        <w:tc>
          <w:tcPr>
            <w:tcW w:w="26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98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2"/>
                <w:szCs w:val="12"/>
                <w:color w:val="auto"/>
              </w:rPr>
            </w:pPr>
          </w:p>
        </w:tc>
        <w:tc>
          <w:tcPr>
            <w:tcW w:w="15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Total Assets(f),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Revenues(d)</w:t>
            </w:r>
          </w:p>
        </w:tc>
        <w:tc>
          <w:tcPr>
            <w:tcW w:w="26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Operations(e)</w:t>
            </w:r>
          </w:p>
        </w:tc>
        <w:tc>
          <w:tcPr>
            <w:tcW w:w="26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26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Expenditures</w:t>
            </w:r>
          </w:p>
        </w:tc>
        <w:tc>
          <w:tcPr>
            <w:tcW w:w="260" w:type="dxa"/>
            <w:vAlign w:val="bottom"/>
          </w:tcPr>
          <w:p>
            <w:pPr>
              <w:spacing w:after="0"/>
              <w:rPr>
                <w:sz w:val="15"/>
                <w:szCs w:val="15"/>
                <w:color w:val="auto"/>
              </w:rPr>
            </w:pPr>
          </w:p>
        </w:tc>
        <w:tc>
          <w:tcPr>
            <w:tcW w:w="1500" w:type="dxa"/>
            <w:vAlign w:val="bottom"/>
            <w:gridSpan w:val="3"/>
          </w:tcPr>
          <w:p>
            <w:pPr>
              <w:ind w:left="560"/>
              <w:spacing w:after="0"/>
              <w:rPr>
                <w:sz w:val="20"/>
                <w:szCs w:val="20"/>
                <w:color w:val="auto"/>
              </w:rPr>
            </w:pPr>
            <w:r>
              <w:rPr>
                <w:rFonts w:ascii="Arial" w:cs="Arial" w:eastAsia="Arial" w:hAnsi="Arial"/>
                <w:sz w:val="14"/>
                <w:szCs w:val="14"/>
                <w:b w:val="1"/>
                <w:bCs w:val="1"/>
                <w:color w:val="auto"/>
              </w:rPr>
              <w:t>(g), (h)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Canadian</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4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320" w:type="dxa"/>
            <w:vAlign w:val="bottom"/>
          </w:tcPr>
          <w:p>
            <w:pPr>
              <w:spacing w:after="0"/>
              <w:rPr>
                <w:sz w:val="12"/>
                <w:szCs w:val="12"/>
                <w:color w:val="auto"/>
              </w:rPr>
            </w:pPr>
          </w:p>
        </w:tc>
        <w:tc>
          <w:tcPr>
            <w:tcW w:w="62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340" w:type="dxa"/>
            <w:vAlign w:val="bottom"/>
          </w:tcPr>
          <w:p>
            <w:pPr>
              <w:spacing w:after="0"/>
              <w:rPr>
                <w:sz w:val="12"/>
                <w:szCs w:val="12"/>
                <w:color w:val="auto"/>
              </w:rPr>
            </w:pPr>
          </w:p>
        </w:tc>
        <w:tc>
          <w:tcPr>
            <w:tcW w:w="880" w:type="dxa"/>
            <w:vAlign w:val="bottom"/>
            <w:gridSpan w:val="2"/>
          </w:tcPr>
          <w:p>
            <w:pPr>
              <w:ind w:left="80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1,489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Eastern</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3,578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(776)</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2,802</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337</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336</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278</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4,547</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Midwest</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2,698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2,185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3,653</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Southern</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3,480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(531)</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2,949</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665</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287</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308</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3,200</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Western</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2,711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2,343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2,917</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Wheelabrator</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835</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(57)</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778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283</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57</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2,578</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Recycling</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745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722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NASW(a)</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(76)</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162</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2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1,301</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460" w:type="dxa"/>
            <w:vAlign w:val="bottom"/>
            <w:gridSpan w:val="2"/>
          </w:tcPr>
          <w:p>
            <w:pPr>
              <w:spacing w:after="0"/>
              <w:rPr>
                <w:sz w:val="20"/>
                <w:szCs w:val="20"/>
                <w:color w:val="auto"/>
              </w:rPr>
            </w:pPr>
            <w:r>
              <w:rPr>
                <w:rFonts w:ascii="Arial" w:cs="Arial" w:eastAsia="Arial" w:hAnsi="Arial"/>
                <w:sz w:val="14"/>
                <w:szCs w:val="14"/>
                <w:color w:val="auto"/>
              </w:rPr>
              <w:t>Total NASW</w:t>
            </w: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14,920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81"/>
              </w:rPr>
              <w:t>(2,404)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12,516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2,106</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1,259</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74"/>
              </w:rPr>
              <w:t>1,184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79"/>
              </w:rPr>
              <w:t>20,154</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Non-NASW (Divested Operations)(b)</w:t>
            </w:r>
          </w:p>
        </w:tc>
        <w:tc>
          <w:tcPr>
            <w:tcW w:w="24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16</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Corporate(c)</w:t>
            </w:r>
          </w:p>
        </w:tc>
        <w:tc>
          <w:tcPr>
            <w:tcW w:w="24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(423)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1,715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w:t>
            </w:r>
          </w:p>
        </w:tc>
        <w:tc>
          <w:tcPr>
            <w:tcW w:w="24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14,920</w:t>
            </w:r>
          </w:p>
        </w:tc>
        <w:tc>
          <w:tcPr>
            <w:tcW w:w="2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81"/>
              </w:rPr>
              <w:t>(2,404)</w:t>
            </w:r>
          </w:p>
        </w:tc>
        <w:tc>
          <w:tcPr>
            <w:tcW w:w="5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12,516</w:t>
            </w:r>
          </w:p>
        </w:tc>
        <w:tc>
          <w:tcPr>
            <w:tcW w:w="2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1,699</w:t>
            </w:r>
          </w:p>
        </w:tc>
        <w:tc>
          <w:tcPr>
            <w:tcW w:w="420" w:type="dxa"/>
            <w:vAlign w:val="bottom"/>
            <w:shd w:val="clear" w:color="auto" w:fill="EEEEEE"/>
          </w:tcPr>
          <w:p>
            <w:pPr>
              <w:spacing w:after="0"/>
              <w:rPr>
                <w:sz w:val="12"/>
                <w:szCs w:val="12"/>
                <w:color w:val="auto"/>
              </w:rPr>
            </w:pPr>
          </w:p>
        </w:tc>
        <w:tc>
          <w:tcPr>
            <w:tcW w:w="7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1,336</w:t>
            </w:r>
          </w:p>
        </w:tc>
        <w:tc>
          <w:tcPr>
            <w:tcW w:w="320" w:type="dxa"/>
            <w:vAlign w:val="bottom"/>
            <w:shd w:val="clear" w:color="auto" w:fill="EEEEEE"/>
          </w:tcPr>
          <w:p>
            <w:pPr>
              <w:spacing w:after="0"/>
              <w:rPr>
                <w:sz w:val="12"/>
                <w:szCs w:val="12"/>
                <w:color w:val="auto"/>
              </w:rPr>
            </w:pPr>
          </w:p>
        </w:tc>
        <w:tc>
          <w:tcPr>
            <w:tcW w:w="620" w:type="dxa"/>
            <w:vAlign w:val="bottom"/>
            <w:tcBorders>
              <w:right w:val="single" w:sz="8" w:color="EEEEEE"/>
            </w:tcBorders>
            <w:gridSpan w:val="2"/>
            <w:shd w:val="clear" w:color="auto" w:fill="EEEEEE"/>
          </w:tcPr>
          <w:p>
            <w:pPr>
              <w:ind w:left="5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4"/>
              </w:rPr>
              <w:t>1,258</w:t>
            </w:r>
          </w:p>
        </w:tc>
        <w:tc>
          <w:tcPr>
            <w:tcW w:w="340" w:type="dxa"/>
            <w:vAlign w:val="bottom"/>
            <w:shd w:val="clear" w:color="auto" w:fill="EEEEEE"/>
          </w:tcPr>
          <w:p>
            <w:pPr>
              <w:spacing w:after="0"/>
              <w:rPr>
                <w:sz w:val="12"/>
                <w:szCs w:val="12"/>
                <w:color w:val="auto"/>
              </w:rPr>
            </w:pPr>
          </w:p>
        </w:tc>
        <w:tc>
          <w:tcPr>
            <w:tcW w:w="880" w:type="dxa"/>
            <w:vAlign w:val="bottom"/>
            <w:tcBorders>
              <w:right w:val="single" w:sz="8" w:color="EEEEEE"/>
            </w:tcBorders>
            <w:gridSpan w:val="2"/>
            <w:shd w:val="clear" w:color="auto" w:fill="EEEEEE"/>
          </w:tcPr>
          <w:p>
            <w:pPr>
              <w:ind w:left="800"/>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21,875</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gridSpan w:val="2"/>
            <w:vMerge w:val="continue"/>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46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Canadian</w:t>
            </w:r>
          </w:p>
        </w:tc>
        <w:tc>
          <w:tcPr>
            <w:tcW w:w="24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573</w:t>
            </w:r>
          </w:p>
        </w:tc>
        <w:tc>
          <w:tcPr>
            <w:tcW w:w="2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(57)</w:t>
            </w:r>
          </w:p>
        </w:tc>
        <w:tc>
          <w:tcPr>
            <w:tcW w:w="5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516</w:t>
            </w:r>
          </w:p>
        </w:tc>
        <w:tc>
          <w:tcPr>
            <w:tcW w:w="2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76</w:t>
            </w:r>
          </w:p>
        </w:tc>
        <w:tc>
          <w:tcPr>
            <w:tcW w:w="420" w:type="dxa"/>
            <w:vAlign w:val="bottom"/>
            <w:shd w:val="clear" w:color="auto" w:fill="EEEEEE"/>
          </w:tcPr>
          <w:p>
            <w:pPr>
              <w:spacing w:after="0"/>
              <w:rPr>
                <w:sz w:val="12"/>
                <w:szCs w:val="12"/>
                <w:color w:val="auto"/>
              </w:rPr>
            </w:pPr>
          </w:p>
        </w:tc>
        <w:tc>
          <w:tcPr>
            <w:tcW w:w="7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56</w:t>
            </w:r>
          </w:p>
        </w:tc>
        <w:tc>
          <w:tcPr>
            <w:tcW w:w="320" w:type="dxa"/>
            <w:vAlign w:val="bottom"/>
            <w:shd w:val="clear" w:color="auto" w:fill="EEEEEE"/>
          </w:tcPr>
          <w:p>
            <w:pPr>
              <w:spacing w:after="0"/>
              <w:rPr>
                <w:sz w:val="12"/>
                <w:szCs w:val="12"/>
                <w:color w:val="auto"/>
              </w:rPr>
            </w:pPr>
          </w:p>
        </w:tc>
        <w:tc>
          <w:tcPr>
            <w:tcW w:w="620" w:type="dxa"/>
            <w:vAlign w:val="bottom"/>
            <w:tcBorders>
              <w:right w:val="single" w:sz="8" w:color="EEEEEE"/>
            </w:tcBorders>
            <w:gridSpan w:val="2"/>
            <w:shd w:val="clear" w:color="auto" w:fill="EEEEEE"/>
          </w:tcPr>
          <w:p>
            <w:pPr>
              <w:ind w:left="5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51</w:t>
            </w:r>
          </w:p>
        </w:tc>
        <w:tc>
          <w:tcPr>
            <w:tcW w:w="340" w:type="dxa"/>
            <w:vAlign w:val="bottom"/>
            <w:shd w:val="clear" w:color="auto" w:fill="EEEEEE"/>
          </w:tcPr>
          <w:p>
            <w:pPr>
              <w:spacing w:after="0"/>
              <w:rPr>
                <w:sz w:val="12"/>
                <w:szCs w:val="12"/>
                <w:color w:val="auto"/>
              </w:rPr>
            </w:pPr>
          </w:p>
        </w:tc>
        <w:tc>
          <w:tcPr>
            <w:tcW w:w="880" w:type="dxa"/>
            <w:vAlign w:val="bottom"/>
            <w:tcBorders>
              <w:right w:val="single" w:sz="8" w:color="EEEEEE"/>
            </w:tcBorders>
            <w:gridSpan w:val="2"/>
            <w:shd w:val="clear" w:color="auto" w:fill="EEEEEE"/>
          </w:tcPr>
          <w:p>
            <w:pPr>
              <w:ind w:left="800"/>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1,331</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Eastern</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3,442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2,709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4,519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Midwest</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2,601</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(474)</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2,127</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353</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297</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223</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3,637</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Southern</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3,149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2,658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3,057</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Western</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2,560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(356)</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2,204</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368</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180</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204</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2,812</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Wheelabrator</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759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2,672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Recycling</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567</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552</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2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26</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49</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429</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Other NASW(a)</w:t>
            </w: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(77)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1,035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 NASW</w:t>
            </w: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13,911</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81"/>
              </w:rPr>
              <w:t>(2,263)</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11,648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1,912</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1,209</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4"/>
              </w:rPr>
              <w:t>1,092</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19,492</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Non-NASW (Divested Operations)(b)</w:t>
            </w:r>
          </w:p>
        </w:tc>
        <w:tc>
          <w:tcPr>
            <w:tcW w:w="24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Corporate(c)</w:t>
            </w:r>
          </w:p>
        </w:tc>
        <w:tc>
          <w:tcPr>
            <w:tcW w:w="24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4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2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w w:val="97"/>
              </w:rPr>
              <w:t>(371)</w:t>
            </w:r>
          </w:p>
        </w:tc>
        <w:tc>
          <w:tcPr>
            <w:tcW w:w="26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56</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108</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20" w:type="dxa"/>
            <w:vAlign w:val="bottom"/>
            <w:tcBorders>
              <w:right w:val="single" w:sz="8" w:color="EEEEEE"/>
            </w:tcBorders>
            <w:shd w:val="clear" w:color="auto" w:fill="EEEEEE"/>
          </w:tcPr>
          <w:p>
            <w:pPr>
              <w:spacing w:after="0"/>
              <w:rPr>
                <w:sz w:val="12"/>
                <w:szCs w:val="12"/>
                <w:color w:val="auto"/>
              </w:rPr>
            </w:pPr>
          </w:p>
        </w:tc>
        <w:tc>
          <w:tcPr>
            <w:tcW w:w="3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1,708</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60" w:type="dxa"/>
            <w:vAlign w:val="bottom"/>
            <w:gridSpan w:val="2"/>
          </w:tcPr>
          <w:p>
            <w:pPr>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13,911</w:t>
            </w: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81"/>
              </w:rPr>
              <w:t>(2,263)</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11,648</w:t>
            </w: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1,540</w:t>
            </w:r>
          </w:p>
        </w:tc>
        <w:tc>
          <w:tcPr>
            <w:tcW w:w="4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1,265</w:t>
            </w:r>
          </w:p>
        </w:tc>
        <w:tc>
          <w:tcPr>
            <w:tcW w:w="320" w:type="dxa"/>
            <w:vAlign w:val="bottom"/>
          </w:tcPr>
          <w:p>
            <w:pPr>
              <w:spacing w:after="0"/>
              <w:rPr>
                <w:sz w:val="22"/>
                <w:szCs w:val="22"/>
                <w:color w:val="auto"/>
              </w:rPr>
            </w:pPr>
          </w:p>
        </w:tc>
        <w:tc>
          <w:tcPr>
            <w:tcW w:w="620" w:type="dxa"/>
            <w:vAlign w:val="bottom"/>
            <w:gridSpan w:val="2"/>
          </w:tcPr>
          <w:p>
            <w:pPr>
              <w:ind w:left="520"/>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74"/>
              </w:rPr>
              <w:t>1,200</w:t>
            </w:r>
          </w:p>
        </w:tc>
        <w:tc>
          <w:tcPr>
            <w:tcW w:w="340" w:type="dxa"/>
            <w:vAlign w:val="bottom"/>
          </w:tcPr>
          <w:p>
            <w:pPr>
              <w:spacing w:after="0"/>
              <w:rPr>
                <w:sz w:val="22"/>
                <w:szCs w:val="22"/>
                <w:color w:val="auto"/>
              </w:rPr>
            </w:pPr>
          </w:p>
        </w:tc>
        <w:tc>
          <w:tcPr>
            <w:tcW w:w="880" w:type="dxa"/>
            <w:vAlign w:val="bottom"/>
            <w:gridSpan w:val="2"/>
          </w:tcPr>
          <w:p>
            <w:pPr>
              <w:ind w:left="80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79"/>
              </w:rPr>
              <w:t>21,240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Intercompany</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Depreciation</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Operating</w:t>
            </w:r>
          </w:p>
        </w:tc>
        <w:tc>
          <w:tcPr>
            <w:tcW w:w="2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Operating</w:t>
            </w:r>
          </w:p>
        </w:tc>
        <w:tc>
          <w:tcPr>
            <w:tcW w:w="26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Income from</w:t>
            </w:r>
          </w:p>
        </w:tc>
        <w:tc>
          <w:tcPr>
            <w:tcW w:w="26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98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2"/>
                <w:szCs w:val="12"/>
                <w:color w:val="auto"/>
              </w:rPr>
            </w:pPr>
          </w:p>
        </w:tc>
        <w:tc>
          <w:tcPr>
            <w:tcW w:w="15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Total Assets(f),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Revenues(d)</w:t>
            </w:r>
          </w:p>
        </w:tc>
        <w:tc>
          <w:tcPr>
            <w:tcW w:w="26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Operations(e)</w:t>
            </w:r>
          </w:p>
        </w:tc>
        <w:tc>
          <w:tcPr>
            <w:tcW w:w="26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26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Expenditures</w:t>
            </w:r>
          </w:p>
        </w:tc>
        <w:tc>
          <w:tcPr>
            <w:tcW w:w="260" w:type="dxa"/>
            <w:vAlign w:val="bottom"/>
          </w:tcPr>
          <w:p>
            <w:pPr>
              <w:spacing w:after="0"/>
              <w:rPr>
                <w:sz w:val="15"/>
                <w:szCs w:val="15"/>
                <w:color w:val="auto"/>
              </w:rPr>
            </w:pPr>
          </w:p>
        </w:tc>
        <w:tc>
          <w:tcPr>
            <w:tcW w:w="1500" w:type="dxa"/>
            <w:vAlign w:val="bottom"/>
            <w:gridSpan w:val="3"/>
          </w:tcPr>
          <w:p>
            <w:pPr>
              <w:ind w:left="560"/>
              <w:spacing w:after="0"/>
              <w:rPr>
                <w:sz w:val="20"/>
                <w:szCs w:val="20"/>
                <w:color w:val="auto"/>
              </w:rPr>
            </w:pPr>
            <w:r>
              <w:rPr>
                <w:rFonts w:ascii="Arial" w:cs="Arial" w:eastAsia="Arial" w:hAnsi="Arial"/>
                <w:sz w:val="14"/>
                <w:szCs w:val="14"/>
                <w:b w:val="1"/>
                <w:bCs w:val="1"/>
                <w:color w:val="auto"/>
              </w:rPr>
              <w:t>(g), (h)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2002</w:t>
            </w:r>
          </w:p>
        </w:tc>
        <w:tc>
          <w:tcPr>
            <w:tcW w:w="3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Canadian</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524</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473</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4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320" w:type="dxa"/>
            <w:vAlign w:val="bottom"/>
          </w:tcPr>
          <w:p>
            <w:pPr>
              <w:spacing w:after="0"/>
              <w:rPr>
                <w:sz w:val="12"/>
                <w:szCs w:val="12"/>
                <w:color w:val="auto"/>
              </w:rPr>
            </w:pPr>
          </w:p>
        </w:tc>
        <w:tc>
          <w:tcPr>
            <w:tcW w:w="60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340" w:type="dxa"/>
            <w:vAlign w:val="bottom"/>
          </w:tcPr>
          <w:p>
            <w:pPr>
              <w:spacing w:after="0"/>
              <w:rPr>
                <w:sz w:val="12"/>
                <w:szCs w:val="12"/>
                <w:color w:val="auto"/>
              </w:rPr>
            </w:pPr>
          </w:p>
        </w:tc>
        <w:tc>
          <w:tcPr>
            <w:tcW w:w="860" w:type="dxa"/>
            <w:vAlign w:val="bottom"/>
            <w:gridSpan w:val="2"/>
          </w:tcPr>
          <w:p>
            <w:pPr>
              <w:ind w:left="80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1,116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Eastern</w:t>
            </w: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3,338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(685)</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2,653</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440</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307</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316</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4,488</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Midwest</w:t>
            </w: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2,616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396</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3,606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Southern</w:t>
            </w: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3,105</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(487)</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2,618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590</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279</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271</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2,969</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Western</w:t>
            </w: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2,506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2,152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2,818</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Wheelabrator</w:t>
            </w: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789</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(58)</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731</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209</w:t>
            </w:r>
          </w:p>
        </w:tc>
        <w:tc>
          <w:tcPr>
            <w:tcW w:w="4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42</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26</w:t>
            </w: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2,404</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Recycling</w:t>
            </w: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Other NASW(a)</w:t>
            </w: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(31)</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(38)</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791</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460" w:type="dxa"/>
            <w:vAlign w:val="bottom"/>
            <w:gridSpan w:val="3"/>
          </w:tcPr>
          <w:p>
            <w:pPr>
              <w:spacing w:after="0"/>
              <w:rPr>
                <w:sz w:val="20"/>
                <w:szCs w:val="20"/>
                <w:color w:val="auto"/>
              </w:rPr>
            </w:pPr>
            <w:r>
              <w:rPr>
                <w:rFonts w:ascii="Arial" w:cs="Arial" w:eastAsia="Arial" w:hAnsi="Arial"/>
                <w:sz w:val="14"/>
                <w:szCs w:val="14"/>
                <w:color w:val="auto"/>
              </w:rPr>
              <w:t>Total NASW</w:t>
            </w: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13,283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81"/>
              </w:rPr>
              <w:t>(2,080)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11,203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2,011</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1,180</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1,172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3"/>
              </w:rPr>
              <w:t>18,454</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Non-NASW (Divested Operations)(b)</w:t>
            </w: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21</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color w:val="auto"/>
              </w:rPr>
              <w:t>Corporate(c)</w:t>
            </w:r>
          </w:p>
        </w:tc>
        <w:tc>
          <w:tcPr>
            <w:tcW w:w="2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color w:val="auto"/>
              </w:rPr>
              <w:t>(363)</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115</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2,191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Total</w:t>
            </w: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13,292</w:t>
            </w:r>
          </w:p>
        </w:tc>
        <w:tc>
          <w:tcPr>
            <w:tcW w:w="2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w w:val="81"/>
              </w:rPr>
              <w:t>(2,081)</w:t>
            </w:r>
          </w:p>
        </w:tc>
        <w:tc>
          <w:tcPr>
            <w:tcW w:w="4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11,211</w:t>
            </w:r>
          </w:p>
        </w:tc>
        <w:tc>
          <w:tcPr>
            <w:tcW w:w="2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1,644</w:t>
            </w:r>
          </w:p>
        </w:tc>
        <w:tc>
          <w:tcPr>
            <w:tcW w:w="42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1,222</w:t>
            </w:r>
          </w:p>
        </w:tc>
        <w:tc>
          <w:tcPr>
            <w:tcW w:w="320" w:type="dxa"/>
            <w:vAlign w:val="bottom"/>
            <w:shd w:val="clear" w:color="auto" w:fill="EEEEEE"/>
          </w:tcPr>
          <w:p>
            <w:pPr>
              <w:spacing w:after="0"/>
              <w:rPr>
                <w:sz w:val="12"/>
                <w:szCs w:val="12"/>
                <w:color w:val="auto"/>
              </w:rPr>
            </w:pPr>
          </w:p>
        </w:tc>
        <w:tc>
          <w:tcPr>
            <w:tcW w:w="600" w:type="dxa"/>
            <w:vAlign w:val="bottom"/>
            <w:gridSpan w:val="2"/>
            <w:shd w:val="clear" w:color="auto" w:fill="EEEEEE"/>
          </w:tcPr>
          <w:p>
            <w:pPr>
              <w:ind w:left="52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1,287</w:t>
            </w:r>
          </w:p>
        </w:tc>
        <w:tc>
          <w:tcPr>
            <w:tcW w:w="3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ind w:left="800"/>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20,666</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280" w:hanging="452"/>
        <w:spacing w:after="0" w:line="255"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NASW includes operations provided throughout our operating Groups for in-plant services, methane gas recovery and certain third party sub-contract and administration revenues managed by our national accounts organization. In addition, Other NASW includes the financial impact of non-operating entities that provide financial assurance for the operating Groups or financing for our Canadian Group and certain of our investments. Also included are certain year-end adjustments related to the reportable segments that are not included in the measure of segment profit or loss used to assess their performance for the periods disclosed.</w:t>
      </w:r>
    </w:p>
    <w:p>
      <w:pPr>
        <w:spacing w:after="0" w:line="223"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our international waste management services were divested by December 31, 2001 and our non-solid waste services were divested by March 31, 2002. However, we continue to incur minimal administrative expenses and revisions of our estimated obligations associated with these divestitures.</w:t>
      </w:r>
    </w:p>
    <w:p>
      <w:pPr>
        <w:spacing w:after="0" w:line="166"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w:t>
      </w:r>
    </w:p>
    <w:p>
      <w:pPr>
        <w:spacing w:after="0" w:line="221"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the summary of significant accounting policies in Note 3.</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on the consolidated balance sheets is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2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Total assets, as reported above</w:t>
            </w:r>
          </w:p>
        </w:tc>
        <w:tc>
          <w:tcPr>
            <w:tcW w:w="22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$21,875</w:t>
            </w:r>
          </w:p>
        </w:tc>
        <w:tc>
          <w:tcPr>
            <w:tcW w:w="24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$21,240</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$20,666</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4"/>
              </w:rPr>
              <w:t>Elimination of intercompany investments and advances</w:t>
            </w:r>
          </w:p>
        </w:tc>
        <w:tc>
          <w:tcPr>
            <w:tcW w:w="2460" w:type="dxa"/>
            <w:vAlign w:val="bottom"/>
            <w:gridSpan w:val="4"/>
          </w:tcPr>
          <w:p>
            <w:pPr>
              <w:jc w:val="right"/>
              <w:ind w:right="200"/>
              <w:spacing w:after="0"/>
              <w:rPr>
                <w:sz w:val="20"/>
                <w:szCs w:val="20"/>
                <w:color w:val="auto"/>
              </w:rPr>
            </w:pPr>
            <w:r>
              <w:rPr>
                <w:rFonts w:ascii="Arial" w:cs="Arial" w:eastAsia="Arial" w:hAnsi="Arial"/>
                <w:sz w:val="18"/>
                <w:szCs w:val="18"/>
                <w:color w:val="auto"/>
              </w:rPr>
              <w:t>(970)</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(858)</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(715)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assets, per consolidated balance sheets</w:t>
            </w:r>
          </w:p>
        </w:tc>
        <w:tc>
          <w:tcPr>
            <w:tcW w:w="22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$20,905</w:t>
            </w:r>
          </w:p>
        </w:tc>
        <w:tc>
          <w:tcPr>
            <w:tcW w:w="24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$20,382</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$19,951</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400" w:type="dxa"/>
            <w:vAlign w:val="bottom"/>
            <w:vMerge w:val="restart"/>
          </w:tcPr>
          <w:p>
            <w:pPr>
              <w:jc w:val="right"/>
              <w:ind w:right="796"/>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1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460" w:right="18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Goodwill is included in total assets. Refer to Note 2 for information associated with the deferred tax adjustment made in 2004. This table reflects the impact of that adjustment by reportable segment. The reconciliation of changes in goodwill during 2004 and 2003 by reportable segment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Canadian</w:t>
            </w:r>
          </w:p>
        </w:tc>
        <w:tc>
          <w:tcPr>
            <w:tcW w:w="26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Midwest</w:t>
            </w:r>
          </w:p>
        </w:tc>
        <w:tc>
          <w:tcPr>
            <w:tcW w:w="2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Southern</w:t>
            </w:r>
          </w:p>
        </w:tc>
        <w:tc>
          <w:tcPr>
            <w:tcW w:w="28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Western</w:t>
            </w:r>
          </w:p>
        </w:tc>
        <w:tc>
          <w:tcPr>
            <w:tcW w:w="280" w:type="dxa"/>
            <w:vAlign w:val="bottom"/>
          </w:tcPr>
          <w:p>
            <w:pPr>
              <w:spacing w:after="0"/>
              <w:rPr>
                <w:sz w:val="15"/>
                <w:szCs w:val="15"/>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Wheelabrator</w:t>
            </w:r>
          </w:p>
        </w:tc>
        <w:tc>
          <w:tcPr>
            <w:tcW w:w="28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Recycling</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Balance, January 1, 2003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$1,766</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$790</w:t>
            </w:r>
          </w:p>
        </w:tc>
        <w:tc>
          <w:tcPr>
            <w:tcW w:w="4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Acquired goodwill</w:t>
            </w:r>
          </w:p>
        </w:tc>
        <w:tc>
          <w:tcPr>
            <w:tcW w:w="3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Divested goodwill, net of assets</w:t>
            </w:r>
          </w:p>
        </w:tc>
        <w:tc>
          <w:tcPr>
            <w:tcW w:w="3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held for sale</w:t>
            </w:r>
          </w:p>
        </w:tc>
        <w:tc>
          <w:tcPr>
            <w:tcW w:w="340" w:type="dxa"/>
            <w:vAlign w:val="bottom"/>
            <w:tcBorders>
              <w:right w:val="single" w:sz="8" w:color="EEEEEE"/>
            </w:tcBorders>
            <w:shd w:val="clear" w:color="auto" w:fill="EEEEEE"/>
          </w:tcPr>
          <w:p>
            <w:pPr>
              <w:spacing w:after="0"/>
              <w:rPr>
                <w:sz w:val="19"/>
                <w:szCs w:val="19"/>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w:t>
            </w: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w:t>
            </w:r>
          </w:p>
        </w:tc>
        <w:tc>
          <w:tcPr>
            <w:tcW w:w="9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Translation adjustments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adjustments</w:t>
            </w: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00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1,786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796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Deferred tax adjustment</w:t>
            </w: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w:t>
            </w: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(6)</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(8)</w:t>
            </w:r>
          </w:p>
        </w:tc>
        <w:tc>
          <w:tcPr>
            <w:tcW w:w="14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Market area realignment</w:t>
            </w:r>
          </w:p>
        </w:tc>
        <w:tc>
          <w:tcPr>
            <w:tcW w:w="34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Balance, as adjusted,</w:t>
            </w:r>
          </w:p>
        </w:tc>
        <w:tc>
          <w:tcPr>
            <w:tcW w:w="3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December 31, 2003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1,571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1,093</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788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Acquired goodwill</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Divested goodwill, net of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380"/>
              <w:spacing w:after="0"/>
              <w:rPr>
                <w:sz w:val="20"/>
                <w:szCs w:val="20"/>
                <w:color w:val="auto"/>
              </w:rPr>
            </w:pPr>
            <w:r>
              <w:rPr>
                <w:rFonts w:ascii="Arial" w:cs="Arial" w:eastAsia="Arial" w:hAnsi="Arial"/>
                <w:sz w:val="18"/>
                <w:szCs w:val="18"/>
                <w:color w:val="auto"/>
              </w:rPr>
              <w:t>held for sale</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Translation adjustments</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Other adjustments</w:t>
            </w:r>
          </w:p>
        </w:tc>
        <w:tc>
          <w:tcPr>
            <w:tcW w:w="34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2004</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1,144</w:t>
            </w:r>
          </w:p>
        </w:tc>
        <w:tc>
          <w:tcPr>
            <w:tcW w:w="18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$788</w:t>
            </w:r>
          </w:p>
        </w:tc>
        <w:tc>
          <w:tcPr>
            <w:tcW w:w="4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60" w:right="420" w:hanging="452"/>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discussed in Note 2, we identified certain cash accounts with negative balances and no legal right of offset that had been included in cash and cash equivalents on our balance sheet in prior periods. Prior period information has been restated to reflect this adjustment.</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by principal lines of business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NASW:</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Collection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8,318</w:t>
            </w: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7,588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Landfill</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2,834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Transfer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Wheelabrator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Recycling and other(a)</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Intercompany(b)</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(2,404)</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1"/>
              </w:rPr>
              <w:t>(2,263)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(2,080)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5560" w:type="dxa"/>
            <w:vAlign w:val="bottom"/>
            <w:gridSpan w:val="2"/>
          </w:tcPr>
          <w:p>
            <w:pPr>
              <w:ind w:left="44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12,516</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11,648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11,203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20" w:hanging="452"/>
        <w:spacing w:after="0" w:line="33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addition to the revenue generated by our Recycling Group, we have included revenues generated within our five geographic operating Groups derived from recycling, methane gas operations, sweeping services and Port-O-Let® services in the “recycling and other” line of business.</w:t>
      </w:r>
    </w:p>
    <w:p>
      <w:pPr>
        <w:spacing w:after="0" w:line="166" w:lineRule="exact"/>
        <w:rPr>
          <w:rFonts w:ascii="Arial" w:cs="Arial" w:eastAsia="Arial" w:hAnsi="Arial"/>
          <w:sz w:val="16"/>
          <w:szCs w:val="16"/>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within the consolidated financial statements included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and equipment (net) relating to operations in the United States and Puerto Rico, as well as Canada are as follows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gridSpan w:val="6"/>
          </w:tcPr>
          <w:p>
            <w:pPr>
              <w:ind w:left="18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United States and Puerto Rico</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$10,481</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$10,482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Canada</w:t>
            </w: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995</w:t>
            </w:r>
          </w:p>
        </w:tc>
        <w:tc>
          <w:tcPr>
            <w:tcW w:w="13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$11,476</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$11,411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5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Historically, our quarterly operating results have fluctuated. The fluctuations may be caused by many factors, including period-to-period changes in the relative contribution of revenue by each line of business and operating segment and general economic conditions.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summer, such as the hurricanes experienced during the third quarter of 2004, actually increase our revenues in the areas affected, although, for several reasons, including significant start-up costs, such revenues tend to be low margin. Conversely, harsh winter weather conditions may result in the temporary suspension of our operations, which can significantly affect the operating results of those periods. The operating results of our first quarter also often reflect higher repair and maintenance expenses because we rely on the slower winter months for scheduled maintenance at our waste-to-energy facilities.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unaudited quarterly results of operations for 2004 and 2003 (in millions, except per share amounts):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940" w:type="dxa"/>
            <w:vAlign w:val="bottom"/>
          </w:tcPr>
          <w:p>
            <w:pPr>
              <w:jc w:val="right"/>
              <w:ind w:right="156"/>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2004</w:t>
            </w: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revenues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$2,896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$3,138</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$3,274</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$3,208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344</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442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465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principles(a)</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144</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216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302</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Net income(b)</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152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216</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302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0.25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0.37</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0.52</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0.26</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0.37</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0.52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0.25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0.37</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0.52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680" w:type="dxa"/>
            <w:vAlign w:val="bottom"/>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0.26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0.37</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0.52</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0.47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260" w:type="dxa"/>
            <w:vAlign w:val="bottom"/>
            <w:gridSpan w:val="2"/>
          </w:tcPr>
          <w:p>
            <w:pPr>
              <w:jc w:val="right"/>
              <w:ind w:right="332"/>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40" w:type="dxa"/>
            <w:vAlign w:val="bottom"/>
          </w:tcPr>
          <w:p>
            <w:pPr>
              <w:jc w:val="right"/>
              <w:ind w:right="156"/>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2003</w:t>
            </w:r>
          </w:p>
        </w:tc>
        <w:tc>
          <w:tcPr>
            <w:tcW w:w="4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Operating revenues(c)</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$2,732</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$2,934</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$2,996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279</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385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435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107</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176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income(d)</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61</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176</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210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0.18</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0.10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0.36</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0.18</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680" w:type="dxa"/>
            <w:vAlign w:val="bottom"/>
            <w:gridSpan w:val="2"/>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0.10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4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hanging="452"/>
        <w:spacing w:after="0" w:line="302"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As discussed in Note 8, in the first and second quarters of 2004 we acquired an equity interest in two coal-based synthetic fuel production facilities. We account for our investments in these entities using the equity method of accounting. The tax benefits that we will realize as a result of the investments have been reflected as a reduction to our provision for income taxes. The tax benefits more than offset the equity losses and interest expense realized during each period. Additionally, we experienced benefits for federal tax audit settlements during the third and fourth quarters of approximately $62 million and</w:t>
      </w:r>
    </w:p>
    <w:p>
      <w:pPr>
        <w:spacing w:after="0" w:line="2" w:lineRule="exact"/>
        <w:rPr>
          <w:rFonts w:ascii="Arial" w:cs="Arial" w:eastAsia="Arial" w:hAnsi="Arial"/>
          <w:sz w:val="15"/>
          <w:szCs w:val="15"/>
          <w:color w:val="auto"/>
        </w:rPr>
      </w:pPr>
    </w:p>
    <w:p>
      <w:pPr>
        <w:ind w:left="460" w:right="320"/>
        <w:spacing w:after="0" w:line="261" w:lineRule="auto"/>
        <w:rPr>
          <w:rFonts w:ascii="Arial" w:cs="Arial" w:eastAsia="Arial" w:hAnsi="Arial"/>
          <w:sz w:val="15"/>
          <w:szCs w:val="15"/>
          <w:color w:val="auto"/>
        </w:rPr>
      </w:pPr>
      <w:r>
        <w:rPr>
          <w:rFonts w:ascii="Arial" w:cs="Arial" w:eastAsia="Arial" w:hAnsi="Arial"/>
          <w:sz w:val="18"/>
          <w:szCs w:val="18"/>
          <w:color w:val="auto"/>
        </w:rPr>
        <w:t>$27 million, respectively. Related to these settlements, we realized interest income, net of tax, of $9 million and $19 million during the third and fourth quarters, respectively.</w:t>
      </w:r>
    </w:p>
    <w:p>
      <w:pPr>
        <w:spacing w:after="0" w:line="218" w:lineRule="exact"/>
        <w:rPr>
          <w:rFonts w:ascii="Arial" w:cs="Arial" w:eastAsia="Arial" w:hAnsi="Arial"/>
          <w:sz w:val="15"/>
          <w:szCs w:val="15"/>
          <w:color w:val="auto"/>
        </w:rPr>
      </w:pPr>
    </w:p>
    <w:p>
      <w:pPr>
        <w:ind w:left="460" w:right="60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March 31, 2004, we recorded a credit of approximately $8 million, net of taxes, or $0.01 per diluted share, as a cumulative effect of change in accounting principle as a result of the consolidation of previously unrecorded trusts as required by FIN 46. See Note 2 to the consolidated financial statements.</w:t>
      </w:r>
    </w:p>
    <w:p>
      <w:pPr>
        <w:spacing w:after="0" w:line="221"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2004, we determined that an adjustment was required to 2003 revenues and operating expenses for certain mandated fees and taxes. The adjustment had no impact on our income from operations. Refer to Note 2 for further discussion.</w:t>
      </w:r>
    </w:p>
    <w:p>
      <w:pPr>
        <w:spacing w:after="0" w:line="212"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first quarter of 2003, we recorded a $20 million pre-tax charge for costs associated with our February 2003 restructuring. In the second quarter of 2003 we recorded an additional $24 million of pre-tax costs for a June 2003 workforce reduction.</w:t>
      </w:r>
    </w:p>
    <w:p>
      <w:pPr>
        <w:spacing w:after="0" w:line="212"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first and fourth quarters of 2003, we recorded net of tax charges of $46 million and $43 million, respectively, to cumulative effect of changes in accounting principles for the initial adoption of the accounting changes discussed in Notes 2.</w:t>
      </w:r>
    </w:p>
    <w:p>
      <w:pPr>
        <w:spacing w:after="0" w:line="213"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 For certain quarters presented, the effect of our convertible subordinated notes are excluded from the diluted earnings per share calculations since inclusion of these items would be antidilutive for those periods.</w:t>
      </w:r>
    </w:p>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WM Holdings has fully and unconditionally guaranteed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9" w:name="page110"/>
    <w:bookmarkEnd w:id="109"/>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WM</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Non-Guarantor</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Holdings</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00" w:type="dxa"/>
            <w:vAlign w:val="bottom"/>
            <w:gridSpan w:val="5"/>
            <w:shd w:val="clear" w:color="auto" w:fill="EEEEEE"/>
          </w:tcPr>
          <w:p>
            <w:pPr>
              <w:jc w:val="center"/>
              <w:ind w:right="520"/>
              <w:spacing w:after="0"/>
              <w:rPr>
                <w:sz w:val="20"/>
                <w:szCs w:val="20"/>
                <w:color w:val="auto"/>
              </w:rPr>
            </w:pPr>
            <w:r>
              <w:rPr>
                <w:rFonts w:ascii="Arial" w:cs="Arial" w:eastAsia="Arial" w:hAnsi="Arial"/>
                <w:sz w:val="18"/>
                <w:szCs w:val="18"/>
                <w:b w:val="1"/>
                <w:bCs w:val="1"/>
                <w:color w:val="auto"/>
                <w:w w:val="91"/>
              </w:rPr>
              <w:t>ASSETS</w:t>
            </w: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center"/>
              <w:ind w:left="272"/>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11,476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11,476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and advances to affiliates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7,051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(17,013)</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6,554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6,610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10,388</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$7,064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$20,466</w:t>
            </w:r>
          </w:p>
        </w:tc>
        <w:tc>
          <w:tcPr>
            <w:tcW w:w="420" w:type="dxa"/>
            <w:vAlign w:val="bottom"/>
            <w:shd w:val="clear" w:color="auto" w:fill="EEEEEE"/>
          </w:tcPr>
          <w:p>
            <w:pPr>
              <w:spacing w:after="0"/>
              <w:rPr>
                <w:sz w:val="18"/>
                <w:szCs w:val="18"/>
                <w:color w:val="auto"/>
              </w:rPr>
            </w:pP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$(17,013)</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$20,905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40" w:type="dxa"/>
            <w:vAlign w:val="bottom"/>
            <w:gridSpan w:val="12"/>
          </w:tcPr>
          <w:p>
            <w:pPr>
              <w:jc w:val="center"/>
              <w:ind w:left="327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c>
          <w:tcPr>
            <w:tcW w:w="42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2,721</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1,202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2,721</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8,182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to affiliates</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4,954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(4,954)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3,174</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13,816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(4,954)</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14,652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w w:val="94"/>
              </w:rPr>
              <w:t>Minority interest in subsidiaries and variable interest entities</w:t>
            </w: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5,691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6,368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(12,059)</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5,971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10,388</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$7,064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$20,466</w:t>
            </w:r>
          </w:p>
        </w:tc>
        <w:tc>
          <w:tcPr>
            <w:tcW w:w="420" w:type="dxa"/>
            <w:vAlign w:val="bottom"/>
            <w:shd w:val="clear" w:color="auto" w:fill="EEEEEE"/>
          </w:tcPr>
          <w:p>
            <w:pPr>
              <w:spacing w:after="0"/>
              <w:rPr>
                <w:sz w:val="18"/>
                <w:szCs w:val="18"/>
                <w:color w:val="auto"/>
              </w:rPr>
            </w:pP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$(17,013)</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$20,905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gridSpan w:val="7"/>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60" w:type="dxa"/>
            <w:vAlign w:val="bottom"/>
            <w:gridSpan w:val="3"/>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gridSpan w:val="2"/>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7"/>
              </w:rPr>
              <w:t>December 31, 2003</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WM</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Non-Guarantor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Holdings</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5"/>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00" w:type="dxa"/>
            <w:vAlign w:val="bottom"/>
            <w:gridSpan w:val="5"/>
            <w:shd w:val="clear" w:color="auto" w:fill="EEEEEE"/>
          </w:tcPr>
          <w:p>
            <w:pPr>
              <w:jc w:val="center"/>
              <w:ind w:right="520"/>
              <w:spacing w:after="0"/>
              <w:rPr>
                <w:sz w:val="20"/>
                <w:szCs w:val="20"/>
                <w:color w:val="auto"/>
              </w:rPr>
            </w:pPr>
            <w:r>
              <w:rPr>
                <w:rFonts w:ascii="Arial" w:cs="Arial" w:eastAsia="Arial" w:hAnsi="Arial"/>
                <w:sz w:val="18"/>
                <w:szCs w:val="18"/>
                <w:b w:val="1"/>
                <w:bCs w:val="1"/>
                <w:color w:val="auto"/>
                <w:w w:val="91"/>
              </w:rPr>
              <w:t>ASSETS</w:t>
            </w: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center"/>
              <w:ind w:left="272"/>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2,130</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Investments and advances to affiliates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9,975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6,065</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(16,040)</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6,476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6,611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4"/>
          </w:tcPr>
          <w:p>
            <w:pPr>
              <w:spacing w:after="0"/>
              <w:rPr>
                <w:sz w:val="8"/>
                <w:szCs w:val="8"/>
                <w:color w:val="auto"/>
              </w:rPr>
            </w:pPr>
          </w:p>
        </w:tc>
        <w:tc>
          <w:tcPr>
            <w:tcW w:w="128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10,240</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$6,172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$20,017</w:t>
            </w:r>
          </w:p>
        </w:tc>
        <w:tc>
          <w:tcPr>
            <w:tcW w:w="420" w:type="dxa"/>
            <w:vAlign w:val="bottom"/>
            <w:shd w:val="clear" w:color="auto" w:fill="EEEEEE"/>
          </w:tcPr>
          <w:p>
            <w:pPr>
              <w:spacing w:after="0"/>
              <w:rPr>
                <w:sz w:val="18"/>
                <w:szCs w:val="18"/>
                <w:color w:val="auto"/>
              </w:rPr>
            </w:pP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$(16,047)</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$20,382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gridSpan w:val="12"/>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12"/>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40" w:type="dxa"/>
            <w:vAlign w:val="bottom"/>
            <w:gridSpan w:val="12"/>
          </w:tcPr>
          <w:p>
            <w:pPr>
              <w:jc w:val="center"/>
              <w:ind w:left="327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46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396</w:t>
            </w:r>
          </w:p>
        </w:tc>
        <w:tc>
          <w:tcPr>
            <w:tcW w:w="42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2,724</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3,120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3,375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1,531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2,141</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to affiliates</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6,327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(6,327)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3,057</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935" w:right="239" w:bottom="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14,645</w:t>
            </w:r>
          </w:p>
        </w:tc>
        <w:tc>
          <w:tcPr>
            <w:tcW w:w="2260" w:type="dxa"/>
            <w:vAlign w:val="bottom"/>
            <w:gridSpan w:val="3"/>
          </w:tcPr>
          <w:p>
            <w:pPr>
              <w:jc w:val="right"/>
              <w:ind w:right="540"/>
              <w:spacing w:after="0"/>
              <w:rPr>
                <w:sz w:val="20"/>
                <w:szCs w:val="20"/>
                <w:color w:val="auto"/>
              </w:rPr>
            </w:pPr>
            <w:r>
              <w:rPr>
                <w:rFonts w:ascii="Arial" w:cs="Arial" w:eastAsia="Arial" w:hAnsi="Arial"/>
                <w:sz w:val="18"/>
                <w:szCs w:val="18"/>
                <w:color w:val="auto"/>
              </w:rPr>
              <w:t>(6,334)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14,530</w:t>
            </w:r>
          </w:p>
        </w:tc>
        <w:tc>
          <w:tcPr>
            <w:tcW w:w="420" w:type="dxa"/>
            <w:vAlign w:val="bottom"/>
          </w:tcPr>
          <w:p>
            <w:pPr>
              <w:spacing w:after="0"/>
              <w:rPr>
                <w:sz w:val="19"/>
                <w:szCs w:val="19"/>
                <w:color w:val="auto"/>
              </w:rPr>
            </w:pPr>
          </w:p>
        </w:tc>
      </w:tr>
      <w:tr>
        <w:trPr>
          <w:trHeight w:val="218"/>
        </w:trPr>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w w:val="93"/>
              </w:rPr>
              <w:t>Minority interest in subsidiaries and variable interest entities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1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EEEEEE"/>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4,591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5,122</w:t>
            </w:r>
          </w:p>
        </w:tc>
        <w:tc>
          <w:tcPr>
            <w:tcW w:w="2260" w:type="dxa"/>
            <w:vAlign w:val="bottom"/>
            <w:gridSpan w:val="3"/>
          </w:tcPr>
          <w:p>
            <w:pPr>
              <w:jc w:val="right"/>
              <w:ind w:right="540"/>
              <w:spacing w:after="0"/>
              <w:rPr>
                <w:sz w:val="20"/>
                <w:szCs w:val="20"/>
                <w:color w:val="auto"/>
              </w:rPr>
            </w:pPr>
            <w:r>
              <w:rPr>
                <w:rFonts w:ascii="Arial" w:cs="Arial" w:eastAsia="Arial" w:hAnsi="Arial"/>
                <w:sz w:val="18"/>
                <w:szCs w:val="18"/>
                <w:color w:val="auto"/>
              </w:rPr>
              <w:t>(9,713)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5,602</w:t>
            </w:r>
          </w:p>
        </w:tc>
        <w:tc>
          <w:tcPr>
            <w:tcW w:w="420" w:type="dxa"/>
            <w:vAlign w:val="bottom"/>
          </w:tcPr>
          <w:p>
            <w:pPr>
              <w:spacing w:after="0"/>
              <w:rPr>
                <w:sz w:val="19"/>
                <w:szCs w:val="19"/>
                <w:color w:val="auto"/>
              </w:rPr>
            </w:pPr>
          </w:p>
        </w:tc>
      </w:tr>
      <w:tr>
        <w:trPr>
          <w:trHeight w:val="102"/>
        </w:trPr>
        <w:tc>
          <w:tcPr>
            <w:tcW w:w="4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4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44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$10,240</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$6,172</w:t>
            </w: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$20,017</w:t>
            </w:r>
          </w:p>
        </w:tc>
        <w:tc>
          <w:tcPr>
            <w:tcW w:w="226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$(16,047)</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$20,382</w:t>
            </w:r>
          </w:p>
        </w:tc>
        <w:tc>
          <w:tcPr>
            <w:tcW w:w="420" w:type="dxa"/>
            <w:vAlign w:val="bottom"/>
            <w:shd w:val="clear" w:color="auto" w:fill="EEEEEE"/>
          </w:tcPr>
          <w:p>
            <w:pPr>
              <w:spacing w:after="0"/>
              <w:rPr>
                <w:sz w:val="18"/>
                <w:szCs w:val="18"/>
                <w:color w:val="auto"/>
              </w:rPr>
            </w:pPr>
          </w:p>
        </w:tc>
      </w:tr>
      <w:tr>
        <w:trPr>
          <w:trHeight w:val="105"/>
        </w:trPr>
        <w:tc>
          <w:tcPr>
            <w:tcW w:w="4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4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535"/>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color w:val="auto"/>
              </w:rPr>
              <w:t>105</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8"/>
        </w:trPr>
        <w:tc>
          <w:tcPr>
            <w:tcW w:w="4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WMI</w:t>
            </w:r>
          </w:p>
        </w:tc>
        <w:tc>
          <w:tcPr>
            <w:tcW w:w="28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5"/>
                <w:szCs w:val="15"/>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2004</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12,516</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12,516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10,817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10,817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Equity in subsidiaries, net of taxes</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1,100</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1,158</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(2,258)</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7"/>
              </w:rPr>
              <w:t>Equity in losses of unconsolidated entities and other, net</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1,066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(2,258)</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w w:val="93"/>
              </w:rPr>
              <w:t>Income before income taxes and cumulative effect of changes</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accounting principles</w:t>
            </w:r>
          </w:p>
        </w:tc>
        <w:tc>
          <w:tcPr>
            <w:tcW w:w="20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846</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1,066</w:t>
            </w: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1,524</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(2,258)</w:t>
            </w:r>
          </w:p>
        </w:tc>
        <w:tc>
          <w:tcPr>
            <w:tcW w:w="28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1,178</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 in accounting</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20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1,100</w:t>
            </w: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1,150</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(2,258)</w:t>
            </w:r>
          </w:p>
        </w:tc>
        <w:tc>
          <w:tcPr>
            <w:tcW w:w="28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931</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Cumulative effect of change in accounting principles, net of</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1,100</w:t>
            </w:r>
          </w:p>
        </w:tc>
        <w:tc>
          <w:tcPr>
            <w:tcW w:w="16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1,158</w:t>
            </w: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(2,258)</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2003</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40" w:type="dxa"/>
            <w:vAlign w:val="bottom"/>
            <w:gridSpan w:val="2"/>
            <w:vMerge w:val="continue"/>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11,648</w:t>
            </w:r>
          </w:p>
        </w:tc>
        <w:tc>
          <w:tcPr>
            <w:tcW w:w="4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11,648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10,108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10,108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1,540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1,540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9"/>
              </w:rPr>
              <w:t>(126)</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Equity in subsidiaries, net of taxes</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Minority interest</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w w:val="97"/>
              </w:rPr>
              <w:t>Equity in losses of unconsolidated entities and other, net</w:t>
            </w:r>
          </w:p>
        </w:tc>
        <w:tc>
          <w:tcPr>
            <w:tcW w:w="2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08"/>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w w:val="93"/>
              </w:rPr>
              <w:t>Income before income taxes and cumulative effect of changes</w:t>
            </w: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in accounting principles</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538</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Income before cumulative effect of change in accounting</w:t>
            </w: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principles</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952</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w w:val="97"/>
              </w:rPr>
              <w:t>Cumulative effect of change in accounting principles, net of</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taxes</w:t>
            </w:r>
          </w:p>
        </w:tc>
        <w:tc>
          <w:tcPr>
            <w:tcW w:w="200" w:type="dxa"/>
            <w:vAlign w:val="bottom"/>
            <w:tcBorders>
              <w:right w:val="single" w:sz="8" w:color="EEEEEE"/>
            </w:tcBorders>
            <w:shd w:val="clear" w:color="auto" w:fill="EEEEEE"/>
          </w:tcPr>
          <w:p>
            <w:pPr>
              <w:spacing w:after="0"/>
              <w:rPr>
                <w:sz w:val="19"/>
                <w:szCs w:val="19"/>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46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863</w:t>
            </w:r>
          </w:p>
        </w:tc>
        <w:tc>
          <w:tcPr>
            <w:tcW w:w="4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(1,646)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2002</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11,211</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11,211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9,567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9,567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Equity in subsidiaries, net of taxes</w:t>
            </w: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974</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1,071</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(2,045)</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7"/>
              </w:rPr>
              <w:t>Equity in losses of unconsolidated entities and other, net</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480" w:type="dxa"/>
            <w:vAlign w:val="bottom"/>
          </w:tcPr>
          <w:p>
            <w:pPr>
              <w:spacing w:after="0"/>
              <w:rPr>
                <w:sz w:val="19"/>
                <w:szCs w:val="19"/>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(9)</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(2,045)</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w w:val="91"/>
              </w:rPr>
              <w:t>Income before income taxes and cumulative effect of changes</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accounting principles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918</w:t>
            </w:r>
          </w:p>
        </w:tc>
        <w:tc>
          <w:tcPr>
            <w:tcW w:w="4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1,635</w:t>
            </w:r>
          </w:p>
        </w:tc>
        <w:tc>
          <w:tcPr>
            <w:tcW w:w="560" w:type="dxa"/>
            <w:vAlign w:val="bottom"/>
            <w:shd w:val="clear" w:color="auto" w:fill="EEEEEE"/>
          </w:tcPr>
          <w:p>
            <w:pPr>
              <w:spacing w:after="0"/>
              <w:rPr>
                <w:sz w:val="19"/>
                <w:szCs w:val="19"/>
                <w:color w:val="auto"/>
              </w:rPr>
            </w:pPr>
          </w:p>
        </w:tc>
        <w:tc>
          <w:tcPr>
            <w:tcW w:w="16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(2,045)</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1,242</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(88)</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w w:val="99"/>
              </w:rPr>
              <w:t>Income before cumulative effect of change in accounting</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974</w:t>
            </w:r>
          </w:p>
        </w:tc>
        <w:tc>
          <w:tcPr>
            <w:tcW w:w="4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1,069</w:t>
            </w:r>
          </w:p>
        </w:tc>
        <w:tc>
          <w:tcPr>
            <w:tcW w:w="560" w:type="dxa"/>
            <w:vAlign w:val="bottom"/>
            <w:shd w:val="clear" w:color="auto" w:fill="EEEEEE"/>
          </w:tcPr>
          <w:p>
            <w:pPr>
              <w:spacing w:after="0"/>
              <w:rPr>
                <w:sz w:val="19"/>
                <w:szCs w:val="19"/>
                <w:color w:val="auto"/>
              </w:rPr>
            </w:pPr>
          </w:p>
        </w:tc>
        <w:tc>
          <w:tcPr>
            <w:tcW w:w="16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(2,045)</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820</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Cumulative effect of change in accounting principles, net of</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2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974</w:t>
            </w:r>
          </w:p>
        </w:tc>
        <w:tc>
          <w:tcPr>
            <w:tcW w:w="4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$ 1,071</w:t>
            </w:r>
          </w:p>
        </w:tc>
        <w:tc>
          <w:tcPr>
            <w:tcW w:w="56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$(2,045)</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5"/>
                <w:szCs w:val="15"/>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2004</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1,100</w:t>
            </w: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1,158</w:t>
            </w:r>
          </w:p>
        </w:tc>
        <w:tc>
          <w:tcPr>
            <w:tcW w:w="4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(2,258)</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Equity in earnings of subsidiaries, net of taxes</w:t>
            </w: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(1,158)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2,258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adjustments and changes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1,314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1,279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2,472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2,218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Acquisition of businesses, net of cash acquired</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(1,258)</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Proceeds from divestitures of businesses, net of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rPr>
              <w:t>divested, and other asset sales</w:t>
            </w:r>
          </w:p>
        </w:tc>
        <w:tc>
          <w:tcPr>
            <w:tcW w:w="1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receipts from restricted trust and escrow accounts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and other</w:t>
            </w:r>
          </w:p>
        </w:tc>
        <w:tc>
          <w:tcPr>
            <w:tcW w:w="18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New borrowings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Debt repayments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(518)</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Common stock repurchases</w:t>
            </w: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Minority interest distributions paid and other</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w w:val="93"/>
              </w:rPr>
              <w:t>(Increase) decrease in intercompany and investments, net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(1,472)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(1,538)</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(1,130)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restart"/>
          </w:tcPr>
          <w:p>
            <w:pPr>
              <w:ind w:left="240"/>
              <w:spacing w:after="0"/>
              <w:rPr>
                <w:sz w:val="20"/>
                <w:szCs w:val="20"/>
                <w:color w:val="auto"/>
              </w:rPr>
            </w:pPr>
            <w:r>
              <w:rPr>
                <w:rFonts w:ascii="Arial" w:cs="Arial" w:eastAsia="Arial" w:hAnsi="Arial"/>
                <w:sz w:val="18"/>
                <w:szCs w:val="18"/>
                <w:color w:val="auto"/>
              </w:rPr>
              <w:t>Effect of exchange rate changes on cash and cash</w:t>
            </w: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Increase in cash and cash equivalents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2003</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863</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(1,646)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Equity in earnings of subsidiaries, net of taxes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(783)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(863)</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1,646</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Other adjustments and changes</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2,090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1,926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Acquisition of businesses, net of cash acquired</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(1,200)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divestitures of businesses, net of cash</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divested, and other asset sales</w:t>
            </w:r>
          </w:p>
        </w:tc>
        <w:tc>
          <w:tcPr>
            <w:tcW w:w="18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receipts from restricted trust and escrow accounts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380"/>
              <w:spacing w:after="0"/>
              <w:rPr>
                <w:sz w:val="20"/>
                <w:szCs w:val="20"/>
                <w:color w:val="auto"/>
              </w:rPr>
            </w:pPr>
            <w:r>
              <w:rPr>
                <w:rFonts w:ascii="Arial" w:cs="Arial" w:eastAsia="Arial" w:hAnsi="Arial"/>
                <w:sz w:val="18"/>
                <w:szCs w:val="18"/>
                <w:color w:val="auto"/>
              </w:rPr>
              <w:t>and other</w:t>
            </w:r>
          </w:p>
        </w:tc>
        <w:tc>
          <w:tcPr>
            <w:tcW w:w="1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(1,084)</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(1,084)</w:t>
            </w: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New borrowings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Debt repayments</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Common stock repurchases</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Cash dividends</w:t>
            </w: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Minority interest distributions paid and other</w:t>
            </w: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5" w:right="239" w:bottom="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1"/>
              </w:rPr>
              <w:t>(Increase) decrease in intercompany and investments, net</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w:t>
            </w:r>
          </w:p>
        </w:tc>
        <w:tc>
          <w:tcPr>
            <w:tcW w:w="10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(986)</w:t>
            </w:r>
          </w:p>
        </w:tc>
        <w:tc>
          <w:tcPr>
            <w:tcW w:w="60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(7)</w:t>
            </w:r>
          </w:p>
        </w:tc>
        <w:tc>
          <w:tcPr>
            <w:tcW w:w="6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r>
      <w:tr>
        <w:trPr>
          <w:trHeight w:val="108"/>
        </w:trPr>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4500" w:type="dxa"/>
            <w:vAlign w:val="bottom"/>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100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(1,051)</w:t>
            </w:r>
          </w:p>
        </w:tc>
        <w:tc>
          <w:tcPr>
            <w:tcW w:w="60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(986)</w:t>
            </w:r>
          </w:p>
        </w:tc>
      </w:tr>
      <w:tr>
        <w:trPr>
          <w:trHeight w:val="110"/>
        </w:trPr>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08"/>
        </w:trPr>
        <w:tc>
          <w:tcPr>
            <w:tcW w:w="4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Effect of exchange rate changes on cash and cash</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r>
      <w:tr>
        <w:trPr>
          <w:trHeight w:val="224"/>
        </w:trPr>
        <w:tc>
          <w:tcPr>
            <w:tcW w:w="4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equivalents</w:t>
            </w:r>
          </w:p>
        </w:tc>
        <w:tc>
          <w:tcPr>
            <w:tcW w:w="2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10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9"/>
                <w:szCs w:val="19"/>
                <w:color w:val="auto"/>
              </w:rPr>
            </w:pPr>
          </w:p>
        </w:tc>
      </w:tr>
      <w:tr>
        <w:trPr>
          <w:trHeight w:val="108"/>
        </w:trPr>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7"/>
        </w:trPr>
        <w:tc>
          <w:tcPr>
            <w:tcW w:w="4500" w:type="dxa"/>
            <w:vAlign w:val="bottom"/>
          </w:tcPr>
          <w:p>
            <w:pPr>
              <w:ind w:left="260"/>
              <w:spacing w:after="0"/>
              <w:rPr>
                <w:sz w:val="20"/>
                <w:szCs w:val="20"/>
                <w:color w:val="auto"/>
              </w:rPr>
            </w:pPr>
            <w:r>
              <w:rPr>
                <w:rFonts w:ascii="Arial" w:cs="Arial" w:eastAsia="Arial" w:hAnsi="Arial"/>
                <w:sz w:val="18"/>
                <w:szCs w:val="18"/>
                <w:color w:val="auto"/>
              </w:rPr>
              <w:t>Decrease in cash and cash equivalents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(142)</w:t>
            </w:r>
          </w:p>
        </w:tc>
      </w:tr>
      <w:tr>
        <w:trPr>
          <w:trHeight w:val="217"/>
        </w:trPr>
        <w:tc>
          <w:tcPr>
            <w:tcW w:w="4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EEEEEE"/>
          </w:tcPr>
          <w:p>
            <w:pPr>
              <w:spacing w:after="0"/>
              <w:rPr>
                <w:sz w:val="18"/>
                <w:szCs w:val="18"/>
                <w:color w:val="auto"/>
              </w:rPr>
            </w:pPr>
          </w:p>
        </w:tc>
      </w:tr>
      <w:tr>
        <w:trPr>
          <w:trHeight w:val="108"/>
        </w:trPr>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4500" w:type="dxa"/>
            <w:vAlign w:val="bottom"/>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224</w:t>
            </w: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217</w:t>
            </w:r>
          </w:p>
        </w:tc>
        <w:tc>
          <w:tcPr>
            <w:tcW w:w="420" w:type="dxa"/>
            <w:vAlign w:val="bottom"/>
          </w:tcPr>
          <w:p>
            <w:pPr>
              <w:spacing w:after="0"/>
              <w:rPr>
                <w:sz w:val="24"/>
                <w:szCs w:val="24"/>
                <w:color w:val="auto"/>
              </w:rPr>
            </w:pPr>
          </w:p>
        </w:tc>
      </w:tr>
      <w:tr>
        <w:trPr>
          <w:trHeight w:val="107"/>
        </w:trPr>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4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535"/>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8"/>
        </w:trPr>
        <w:tc>
          <w:tcPr>
            <w:tcW w:w="4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5"/>
                <w:szCs w:val="15"/>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2002</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1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1,071</w:t>
            </w:r>
          </w:p>
        </w:tc>
        <w:tc>
          <w:tcPr>
            <w:tcW w:w="4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7"/>
              </w:rPr>
              <w:t>(2,045)</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(1,071)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2,045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adjustments and changes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1,260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8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1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(1,287)</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Proceeds from divestitures of businesses, net of cash</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divested, and other asset sales</w:t>
            </w:r>
          </w:p>
        </w:tc>
        <w:tc>
          <w:tcPr>
            <w:tcW w:w="1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4"/>
              </w:rPr>
              <w:t>Net receipts from restricted trust and escrow accounts and</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6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(968)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New borrowings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Debt repayments</w:t>
            </w: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Common stock repurchases</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(982)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dividends</w:t>
            </w: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 distributions paid and other</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w w:val="94"/>
              </w:rPr>
              <w:t>(Increase) decrease in intercompany and investments, net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(1,308)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(1,319)</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(1,588)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Effect of exchange rate changes on cash and cash</w:t>
            </w: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Decrease in cash and cash equivalents</w:t>
            </w: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$ 316</w:t>
            </w:r>
          </w:p>
        </w:tc>
        <w:tc>
          <w:tcPr>
            <w:tcW w:w="1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(Unaudited)</w:t>
      </w:r>
    </w:p>
    <w:p>
      <w:pPr>
        <w:spacing w:after="0" w:line="258" w:lineRule="exact"/>
        <w:rPr>
          <w:sz w:val="20"/>
          <w:szCs w:val="20"/>
          <w:color w:val="auto"/>
        </w:rPr>
      </w:pPr>
    </w:p>
    <w:p>
      <w:pPr>
        <w:ind w:right="80" w:firstLine="324"/>
        <w:spacing w:after="0" w:line="318" w:lineRule="auto"/>
        <w:rPr>
          <w:sz w:val="20"/>
          <w:szCs w:val="20"/>
          <w:color w:val="auto"/>
        </w:rPr>
      </w:pPr>
      <w:r>
        <w:rPr>
          <w:rFonts w:ascii="Arial" w:cs="Arial" w:eastAsia="Arial" w:hAnsi="Arial"/>
          <w:sz w:val="15"/>
          <w:szCs w:val="15"/>
          <w:color w:val="auto"/>
        </w:rPr>
        <w:t xml:space="preserve">In December 2004, the FASB issued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No. 123(R)”), which amends SFAS No. 123, </w:t>
      </w:r>
      <w:r>
        <w:rPr>
          <w:rFonts w:ascii="Arial" w:cs="Arial" w:eastAsia="Arial" w:hAnsi="Arial"/>
          <w:sz w:val="15"/>
          <w:szCs w:val="15"/>
          <w:i w:val="1"/>
          <w:iCs w:val="1"/>
          <w:color w:val="auto"/>
        </w:rPr>
        <w:t>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for Stock-Based Compensation, </w:t>
      </w:r>
      <w:r>
        <w:rPr>
          <w:rFonts w:ascii="Arial" w:cs="Arial" w:eastAsia="Arial" w:hAnsi="Arial"/>
          <w:sz w:val="15"/>
          <w:szCs w:val="15"/>
          <w:color w:val="auto"/>
        </w:rPr>
        <w:t>and supersedes APB Opinion No. 25,</w:t>
      </w:r>
      <w:r>
        <w:rPr>
          <w:rFonts w:ascii="Arial" w:cs="Arial" w:eastAsia="Arial" w:hAnsi="Arial"/>
          <w:sz w:val="15"/>
          <w:szCs w:val="15"/>
          <w:i w:val="1"/>
          <w:iCs w:val="1"/>
          <w:color w:val="auto"/>
        </w:rPr>
        <w:t xml:space="preserve"> Accounting for Stock Issued to Employees. </w:t>
      </w:r>
      <w:r>
        <w:rPr>
          <w:rFonts w:ascii="Arial" w:cs="Arial" w:eastAsia="Arial" w:hAnsi="Arial"/>
          <w:sz w:val="15"/>
          <w:szCs w:val="15"/>
          <w:color w:val="auto"/>
        </w:rPr>
        <w:t>SFAS No. 123(R) requires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to be recognized for all share-based payments made to employees based on the fair value of the award at the date of grant, eliminating the intrinsic value alternative allowed by SFAS No. 123. Generally, the approach to determining fair value under the original pronouncement has not changed. However, there are revisions to the accounting guidelines established, such as accounting for forfeitures, that will change our accounting for stock-based awards in the future.</w:t>
      </w:r>
    </w:p>
    <w:p>
      <w:pPr>
        <w:spacing w:after="0" w:line="18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SFAS No. 123(R) must be adopted in the first interim or annual period beginning after June 15, 2005. The statement allows companies to adopt its provisions using either of the following transition alternatives:</w:t>
      </w:r>
    </w:p>
    <w:p>
      <w:pPr>
        <w:spacing w:after="0" w:line="213" w:lineRule="exact"/>
        <w:rPr>
          <w:sz w:val="20"/>
          <w:szCs w:val="20"/>
          <w:color w:val="auto"/>
        </w:rPr>
      </w:pPr>
    </w:p>
    <w:p>
      <w:pPr>
        <w:jc w:val="both"/>
        <w:ind w:left="360" w:right="160" w:firstLine="323"/>
        <w:spacing w:after="0" w:line="259" w:lineRule="auto"/>
        <w:tabs>
          <w:tab w:leader="none" w:pos="8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modified prospective method, which results in the recognition of compensation expense using SFAS 123(R) for all share-based awards granted after the effective date and the recognition of compensation expense using SFAS 123 for all previously granted share-based awards that remain unvested at the effective date; or</w:t>
      </w:r>
    </w:p>
    <w:p>
      <w:pPr>
        <w:spacing w:after="0" w:line="248" w:lineRule="exact"/>
        <w:rPr>
          <w:rFonts w:ascii="Arial" w:cs="Arial" w:eastAsia="Arial" w:hAnsi="Arial"/>
          <w:sz w:val="18"/>
          <w:szCs w:val="18"/>
          <w:color w:val="auto"/>
        </w:rPr>
      </w:pPr>
    </w:p>
    <w:p>
      <w:pPr>
        <w:ind w:left="360" w:right="440" w:firstLine="323"/>
        <w:spacing w:after="0" w:line="306" w:lineRule="auto"/>
        <w:tabs>
          <w:tab w:leader="none" w:pos="93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modified retrospective method, which results in applying the modified prospective method and restating prior periods by recognizing the financial statement impact of share-based payments in a manner consistent with the pro forma disclosure requirements of SFAS No. 123. The modified retrospective method may be applied to all prior periods presented or previously reported interim periods of the year of adoption.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877"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currently plan to adopt SFAS No. 123(R) on July 1, 2005 using the modified prospective method. This change in accounting is not expected to materially impact our financial position. However, because we currently account for share-based payments to our employees using the intrinsic value method, our results of operations have not included the recognition of compensation expense for the issuance of stock option awards. Had we applied the fair-value criteria established by SFAS No. 123(R) to previous stock option grants, the impact to our results of operations would have approximated the impact of applying SFAS No. 123, which was a reduction to net income of approximately $57 million in 2004, $68 million in 2003 and $85 million in 2002. The impact of applying SFAS No. 123 to previous stock option grants is further summarized in Note 3. We currently expect the recognition of compensation expense for stock options issued and outstanding at December 31, 2004 to reduce our 2005 net income by approximately $20 million.</w:t>
      </w:r>
    </w:p>
    <w:p>
      <w:pPr>
        <w:spacing w:after="0" w:line="199"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SFAS No. 123(R) also requires the benefits of tax deductions in excess of recognized compensation cost to be reported as a financing cash flow, rather than as an operating cash flow as required under current literature. This requirement will reduce our net operating cash inflows and increase our net financing cash flows in periods after adoption. Excess tax benefits included as a component of operating cash inflows in 2004, 2003 and 2002 were $37 million, $9 million and $7 million, respectively. The impact that this change in reporting will have on future periods cannot be determined at this time because the benefit recognized is dependent upon attributes that vary for each option exercise.</w:t>
      </w:r>
    </w:p>
    <w:p>
      <w:pPr>
        <w:spacing w:after="0" w:line="19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Additionally, as a result of both the changes in accounting for share-based payments and a desire to design our long-term incentive plans in a manner that creates a stronger link to operating and market performance, our Board of Directors has approved a substantial change in the form of awards to be made in 2005. In January 2005, we granted approximately 715,000 restricted stock units and approximately 765,000 performance share units to selected participants under our 2004 Stock Incentive Plan. The restricted stock units will vest ratably over a four-year period. Compensation expense associated with these restricted stock units will be recognized on a straight-line basis over the vesting period. The performance share units will be paid in shares of common stock on the third anniversary of the date of grant. The number of common shares issued upon the vesting of the performance share units will be proportional to the percentage of the target performance criteria achieved. Compensation expense associated with these performance share units will be recognized ratably over the vesting period based on our expectations for achieving the defined performance criteria. We do not currently plan to make stock option awards a material component of our long-term incentive plan in the future.</w:t>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During January of 2005, we sold one of our landfills located in Ontario, Canada. As of December 31, 2004, the net assets associated with this landfill are classified as held for sale and are included as other current assets in our balance sheet. The divestiture was required by a Divestiture Order from the Canadian Competition Tribunal. Proceeds from the divestiture were approximately $89 million. We realized a net of tax gain of approximately $29 million as a result of this divestiture.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Effectiveness of Controls and Procedures</w:t>
      </w:r>
    </w:p>
    <w:p>
      <w:pPr>
        <w:spacing w:after="0" w:line="252" w:lineRule="exact"/>
        <w:rPr>
          <w:sz w:val="20"/>
          <w:szCs w:val="20"/>
          <w:color w:val="auto"/>
        </w:rPr>
      </w:pPr>
    </w:p>
    <w:p>
      <w:pPr>
        <w:jc w:val="both"/>
        <w:ind w:right="40" w:firstLine="324"/>
        <w:spacing w:after="0" w:line="291" w:lineRule="auto"/>
        <w:rPr>
          <w:sz w:val="20"/>
          <w:szCs w:val="20"/>
          <w:color w:val="auto"/>
        </w:rPr>
      </w:pPr>
      <w:r>
        <w:rPr>
          <w:rFonts w:ascii="Arial" w:cs="Arial" w:eastAsia="Arial" w:hAnsi="Arial"/>
          <w:sz w:val="16"/>
          <w:szCs w:val="16"/>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Internal Controls Over Financial Reporting</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Management’s report on our internal controls over financial reporting can be found in Item 8 of this report. The Independent Registered Public Accounting Firm’s attestation report on management’s assessment of the effectiveness of our internal control over financial reporting can also be found in Item 8 of this report.</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information required by this Item with respect to directors, executive officers and section 16 reporting is incorporated by reference to “Election of Directors,” “Executive Officers,” and “Section 16(a) Beneficial Ownership Reporting” in the Company’s definitive Proxy Statement for its 2005 Annual Meeting of Stockholders, to be held May 13, 2005.</w:t>
      </w:r>
    </w:p>
    <w:p>
      <w:pPr>
        <w:spacing w:after="0" w:line="221"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We have adopted a code of ethics that applies to our CEO, CFO and Chief Accounting Officer, as well as other officers, directors and employees of the Company. The code of ethics, entitled “Code of Conduct,” is posted on our website at http://www.wm.com under the caption “Ethics and Diversity.”</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information required by this Item is set forth under the caption “Executive Compensation” in the 2005 Proxy Statement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information relating to the security ownership of certain beneficial owners required by this Item is incorporated by reference to “Director and Officer Stock Ownership” in the 2005 Proxy Statement.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8" w:name="page119"/>
    <w:bookmarkEnd w:id="118"/>
    <w:p>
      <w:pPr>
        <w:jc w:val="both"/>
        <w:ind w:right="540" w:firstLine="324"/>
        <w:spacing w:after="0" w:line="370" w:lineRule="auto"/>
        <w:rPr>
          <w:sz w:val="20"/>
          <w:szCs w:val="20"/>
          <w:color w:val="auto"/>
        </w:rPr>
      </w:pPr>
      <w:r>
        <w:rPr>
          <w:rFonts w:ascii="Arial" w:cs="Arial" w:eastAsia="Arial" w:hAnsi="Arial"/>
          <w:sz w:val="15"/>
          <w:szCs w:val="15"/>
          <w:color w:val="auto"/>
        </w:rPr>
        <w:t>The following table provides information as of December 31, 2004 about the number of shares to be issued upon vesting or exercise of equity awards, including options, warrants and deferred stock units, as well as the number of shares remaining available for issuance under our equity compensation plan.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28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280" w:type="dxa"/>
            <w:vAlign w:val="bottom"/>
          </w:tcPr>
          <w:p>
            <w:pPr>
              <w:spacing w:after="0"/>
              <w:rPr>
                <w:sz w:val="12"/>
                <w:szCs w:val="12"/>
                <w:color w:val="auto"/>
              </w:rPr>
            </w:pPr>
          </w:p>
        </w:tc>
        <w:tc>
          <w:tcPr>
            <w:tcW w:w="2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28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2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28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74"/>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Plan Category(a)</w:t>
            </w:r>
          </w:p>
        </w:tc>
        <w:tc>
          <w:tcPr>
            <w:tcW w:w="280" w:type="dxa"/>
            <w:vAlign w:val="bottom"/>
          </w:tcPr>
          <w:p>
            <w:pPr>
              <w:spacing w:after="0"/>
              <w:rPr>
                <w:sz w:val="15"/>
                <w:szCs w:val="15"/>
                <w:color w:val="auto"/>
              </w:rPr>
            </w:pPr>
          </w:p>
        </w:tc>
        <w:tc>
          <w:tcPr>
            <w:tcW w:w="2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warrants and rights(e)</w:t>
            </w:r>
          </w:p>
        </w:tc>
        <w:tc>
          <w:tcPr>
            <w:tcW w:w="280" w:type="dxa"/>
            <w:vAlign w:val="bottom"/>
          </w:tcPr>
          <w:p>
            <w:pPr>
              <w:spacing w:after="0"/>
              <w:rPr>
                <w:sz w:val="15"/>
                <w:szCs w:val="15"/>
                <w:color w:val="auto"/>
              </w:rPr>
            </w:pPr>
          </w:p>
        </w:tc>
        <w:tc>
          <w:tcPr>
            <w:tcW w:w="2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4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1"/>
              </w:rPr>
              <w:t>Equity compensation plans approved by</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security holders(b)</w:t>
            </w:r>
          </w:p>
        </w:tc>
        <w:tc>
          <w:tcPr>
            <w:tcW w:w="2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780"/>
              <w:spacing w:after="0"/>
              <w:rPr>
                <w:sz w:val="20"/>
                <w:szCs w:val="20"/>
                <w:color w:val="auto"/>
              </w:rPr>
            </w:pPr>
            <w:r>
              <w:rPr>
                <w:rFonts w:ascii="Arial" w:cs="Arial" w:eastAsia="Arial" w:hAnsi="Arial"/>
                <w:sz w:val="18"/>
                <w:szCs w:val="18"/>
                <w:color w:val="auto"/>
                <w:w w:val="87"/>
              </w:rPr>
              <w:t>37,700,296(d)</w:t>
            </w: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$26.91</w:t>
            </w:r>
          </w:p>
        </w:tc>
        <w:tc>
          <w:tcPr>
            <w:tcW w:w="9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w w:val="89"/>
              </w:rPr>
              <w:t>25,752,620(f)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89"/>
              </w:rPr>
              <w:t>Equity compensation plans not approved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by security holders(c)</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2,212,253</w:t>
            </w:r>
          </w:p>
        </w:tc>
        <w:tc>
          <w:tcPr>
            <w:tcW w:w="98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$27.21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495,751(g)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2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39,912,549</w:t>
            </w:r>
          </w:p>
        </w:tc>
        <w:tc>
          <w:tcPr>
            <w:tcW w:w="98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$26.93</w:t>
            </w:r>
          </w:p>
        </w:tc>
        <w:tc>
          <w:tcPr>
            <w:tcW w:w="920" w:type="dxa"/>
            <w:vAlign w:val="bottom"/>
            <w:shd w:val="clear" w:color="auto" w:fill="EEEEEE"/>
          </w:tcPr>
          <w:p>
            <w:pPr>
              <w:spacing w:after="0"/>
              <w:rPr>
                <w:sz w:val="18"/>
                <w:szCs w:val="18"/>
                <w:color w:val="auto"/>
              </w:rPr>
            </w:pPr>
          </w:p>
        </w:tc>
        <w:tc>
          <w:tcPr>
            <w:tcW w:w="2880" w:type="dxa"/>
            <w:vAlign w:val="bottom"/>
            <w:gridSpan w:val="4"/>
            <w:shd w:val="clear" w:color="auto" w:fill="EEEEEE"/>
          </w:tcPr>
          <w:p>
            <w:pPr>
              <w:jc w:val="right"/>
              <w:ind w:right="900"/>
              <w:spacing w:after="0"/>
              <w:rPr>
                <w:sz w:val="20"/>
                <w:szCs w:val="20"/>
                <w:color w:val="auto"/>
              </w:rPr>
            </w:pPr>
            <w:r>
              <w:rPr>
                <w:rFonts w:ascii="Arial" w:cs="Arial" w:eastAsia="Arial" w:hAnsi="Arial"/>
                <w:sz w:val="18"/>
                <w:szCs w:val="18"/>
                <w:color w:val="auto"/>
              </w:rPr>
              <w:t>26,248,371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20" w:hanging="452"/>
        <w:spacing w:after="0" w:line="323"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 prior years, we acquired several companies pursuant to which we assumed their outstanding options and warrants, which were converted into the right to purchase shares of our Common Stock. We have excluded from the table above options and warrants to purchase 4,063,431 shares of our common stock, at a weighted-average exercise price of $33.71, that were originally granted under equity compensation plans or individual arrangements that we assumed in connection with our acquisition of other companies. No additional options, warrants or other rights can be granted under any of these assumed plans.</w:t>
      </w:r>
    </w:p>
    <w:p>
      <w:pPr>
        <w:spacing w:after="0" w:line="178" w:lineRule="exact"/>
        <w:rPr>
          <w:rFonts w:ascii="Arial" w:cs="Arial" w:eastAsia="Arial" w:hAnsi="Arial"/>
          <w:sz w:val="15"/>
          <w:szCs w:val="15"/>
          <w:color w:val="auto"/>
        </w:rPr>
      </w:pPr>
    </w:p>
    <w:p>
      <w:pPr>
        <w:ind w:left="460" w:right="22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Plans approved by stockholders include our Employee Stock Purchase Plan, 1993 Stock Incentive Plan, 2000 Stock Incentive Plan, 1996 Non-Employee Director’s Plan and 2004 Stock Incentive Plan.</w:t>
      </w:r>
    </w:p>
    <w:p>
      <w:pPr>
        <w:spacing w:after="0" w:line="212" w:lineRule="exact"/>
        <w:rPr>
          <w:rFonts w:ascii="Arial" w:cs="Arial" w:eastAsia="Arial" w:hAnsi="Arial"/>
          <w:sz w:val="18"/>
          <w:szCs w:val="18"/>
          <w:color w:val="auto"/>
        </w:rPr>
      </w:pPr>
    </w:p>
    <w:p>
      <w:pPr>
        <w:ind w:left="460" w:right="80" w:hanging="452"/>
        <w:spacing w:after="0" w:line="287"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our 2000 Broad-Based Employee Plan and 2003 Directors’ Deferred Compensation Plan. Also includes individual arrangements under which warrants to purchase our common stock were issued. No options under the Broad-Based Employee Plan are held by, or may be issued to, any of our directors or executive officers. The Broad-Based Employee Plan allows for the granting of stock options, appreciation rights and stock bonuses to employees on such terms and conditions as the Compensation Committee may decide; provided, that the exercise price of options may not be less than 100% of the fair market value of the stock on the date of grant, and all options expire ten years from the date of grant. The 2003 Directors’ Deferred Compensation Plan provides for a portion of the directors’ compensation to be paid in shares of common stock in lieu of cash and also allows the directors to elect to defer the remaining portion of their compensation by receiving shares in lieu of cash. The number of shares issuable to the directors is valued as of the date the directors would otherwise receive cash compensation, based on the fair market value of the common stock as of such day, and is issued following the termination of the directors’ service on the board. The warrants were issued as compensation for goods and services between 1994 and 1997 and expire through 2007.</w:t>
      </w:r>
    </w:p>
    <w:p>
      <w:pPr>
        <w:spacing w:after="0" w:line="203" w:lineRule="exact"/>
        <w:rPr>
          <w:rFonts w:ascii="Arial" w:cs="Arial" w:eastAsia="Arial" w:hAnsi="Arial"/>
          <w:sz w:val="16"/>
          <w:szCs w:val="16"/>
          <w:color w:val="auto"/>
        </w:rPr>
      </w:pPr>
    </w:p>
    <w:p>
      <w:pPr>
        <w:ind w:left="460" w:right="20" w:hanging="452"/>
        <w:spacing w:after="0" w:line="286"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Excludes purchase rights accruing under our Employee Stock Purchase Plan. Under the plan, eligible employees may purchase shares of our common stock on the last business days of each June and December at a purchase price equal to 85% of the lesser of the closing price of our common stock on</w:t>
      </w:r>
    </w:p>
    <w:p>
      <w:pPr>
        <w:ind w:left="460"/>
        <w:spacing w:after="0"/>
        <w:rPr>
          <w:rFonts w:ascii="Arial" w:cs="Arial" w:eastAsia="Arial" w:hAnsi="Arial"/>
          <w:sz w:val="16"/>
          <w:szCs w:val="16"/>
          <w:color w:val="auto"/>
        </w:rPr>
      </w:pPr>
      <w:r>
        <w:rPr>
          <w:rFonts w:ascii="Arial" w:cs="Arial" w:eastAsia="Arial" w:hAnsi="Arial"/>
          <w:sz w:val="18"/>
          <w:szCs w:val="18"/>
          <w:color w:val="auto"/>
        </w:rPr>
        <w:t>January 1st and June 30th for the first purchase period and July 1st and December 31st for the second purchase period.</w:t>
      </w:r>
    </w:p>
    <w:p>
      <w:pPr>
        <w:spacing w:after="0" w:line="245"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Weighted average exercise price of outstanding options and warrants; excludes rights issued under the 2003 Directors’ Deferred Compensation Plan and purchase rights under the Employee Stock Purchase Plan.</w:t>
      </w:r>
    </w:p>
    <w:p>
      <w:pPr>
        <w:spacing w:after="0" w:line="212" w:lineRule="exact"/>
        <w:rPr>
          <w:rFonts w:ascii="Arial" w:cs="Arial" w:eastAsia="Arial" w:hAnsi="Arial"/>
          <w:sz w:val="18"/>
          <w:szCs w:val="18"/>
          <w:color w:val="auto"/>
        </w:rPr>
      </w:pPr>
    </w:p>
    <w:p>
      <w:pPr>
        <w:ind w:left="460" w:right="180" w:hanging="452"/>
        <w:spacing w:after="0" w:line="298"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the stockholder approved reserves as of December 31, 2004 of 838,469 shares that may be issued under the Employee Stock Purchase Plan and 25,034,152 that may be issued under the 2004 Stock Incentive Plan. No additional shares may be issued under the 1993 Stock Incentive Plan, as that plan expired in May 2003. Additionally, upon approval by stockholders of the 2004 Stock Incentive Plan, all shares available under the 2000 Stock Incentive Plan and the 1996 Non-Employee Director’s Plan became available for issuance under the 2004 Stock Incentive Plan.</w:t>
      </w:r>
    </w:p>
    <w:p>
      <w:pPr>
        <w:spacing w:after="0" w:line="193"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42,689 shares remaining available for issuance under the 2000 Broad-Based Employee Plan and 453,062 shares remaining available for issuance under the 2003 Directors’ Deferred Compensation Plan.</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information required by this Item is set forth under the caption “Related Party Transactions” in the 2005 Proxy Statement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58"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color w:val="auto"/>
        </w:rPr>
        <w:t>The information required by this Item is set forth under the caption “Principal Accounting Fees and Services” in the 2005 Proxy Statement and is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1"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i w:val="1"/>
          <w:iCs w:val="1"/>
          <w:color w:val="auto"/>
        </w:rPr>
        <w:t>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2004 and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2004, 2003 and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2004, 2003 and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 for the years ended December 31, 2004, 2003 and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i w:val="1"/>
          <w:iCs w:val="1"/>
          <w:color w:val="auto"/>
        </w:rPr>
        <w:t>Consolidated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 — Valuation and Qualifying Accounts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186" w:lineRule="exact"/>
        <w:rPr>
          <w:sz w:val="20"/>
          <w:szCs w:val="20"/>
          <w:color w:val="auto"/>
        </w:rPr>
      </w:pPr>
    </w:p>
    <w:p>
      <w:pPr>
        <w:ind w:left="820" w:hanging="461"/>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jc w:val="right"/>
              <w:ind w:right="493"/>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Second Amended and Restated Certificate of Incorporation [Incorporated by reference to Exhibit 3.1 to Form 10-Q for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the quarter ended June 30, 2002].</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3.2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Bylaws effective as of November 11, 2004.</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4.1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Specimen Stock Certificate [Incorporated by reference to Exhibit 4.1 to Form 10-K for the year ended December 31,</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1998].</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4.2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Indenture for Subordinated Debt Securities dated February 1, 1997, among the Registrant and Texas Commerce Bank</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National Association, as trustee [Incorporated by reference to Exhibit 4.1 to Form 8-K dated February 7, 1997].</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4.3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Indenture for Senior Debt Securities dated September 10, 1997, among the Registrant and Texas Commerce Bank</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National Association, as trustee [Incorporated by reference to Exhibit 4.1 to Form 8-K dated September 10, 1997].</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2004 Stock Incentive Plan [Incorporated by reference to Appendix C-1 to the Proxy Statement for the 2004 Annual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Meeting of Stockholders].</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2005 Annual Incentive Plan [Incorporated by reference to Appendix D-1 to the Proxy Statement for the 2004 Annual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Meeting of Stockholders].</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1997 Employee Stock Purchase Plan [Incorporated by reference to Appendix C to the Proxy Statement for the 2000</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Annual Meeting of Stockholders].</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Waste Management, Inc. Retirement Savings Restoration Plan [Incorporated by reference to Exhibit 10.1 to Form 10-Q</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 the quarter ended June 30, 2002].</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$2.4 Billion Revolving Credit Agreement dated as of October 15, 2004, by and among Waste Management, Inc., Waste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Management Holdings, Inc. and Certain Banks and Citibank, N.A. as Administrative Agent, JPMorgan Chase Bank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3"/>
              </w:rPr>
              <w:t>Bank of America, N.A. as Syndication Agents and Barclays Bank PLC and Deutsche Bank AG as Documentation</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Agents and J.P. Morgan Securities Inc. and Banc of America Securities LLC as Lead Arrangers and Book Managers.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10.1 to Form 10-Q for the quarter ended September 30, 2004].</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Ten-Year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10.2 to Form 10-Q for the quarter ended June 30, 2003].</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Five-Year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10.3 to Form 10-Q for the quarter ended June 30, 2003].</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Seven-Year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10.4 to Form 10-Q for the quarter ended June 30, 2003].</w:t>
            </w:r>
          </w:p>
        </w:tc>
      </w:tr>
      <w:tr>
        <w:trPr>
          <w:trHeight w:val="216"/>
        </w:trPr>
        <w:tc>
          <w:tcPr>
            <w:tcW w:w="1880" w:type="dxa"/>
            <w:vAlign w:val="bottom"/>
          </w:tcPr>
          <w:p>
            <w:pPr>
              <w:jc w:val="right"/>
              <w:ind w:right="593"/>
              <w:spacing w:after="0"/>
              <w:rPr>
                <w:sz w:val="20"/>
                <w:szCs w:val="20"/>
                <w:color w:val="auto"/>
              </w:rPr>
            </w:pPr>
            <w:r>
              <w:rPr>
                <w:rFonts w:ascii="Arial" w:cs="Arial" w:eastAsia="Arial" w:hAnsi="Arial"/>
                <w:sz w:val="18"/>
                <w:szCs w:val="18"/>
                <w:color w:val="auto"/>
              </w:rPr>
              <w:t>10.9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Reimbursement Agreement between the Company and Oakmont Asset Trust, dated as of December 22, 2003.</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10.10 to Form 10-K for the year ended December 31, 2003].</w:t>
            </w:r>
          </w:p>
        </w:tc>
      </w:tr>
      <w:tr>
        <w:trPr>
          <w:trHeight w:val="222"/>
        </w:trPr>
        <w:tc>
          <w:tcPr>
            <w:tcW w:w="1880" w:type="dxa"/>
            <w:vAlign w:val="bottom"/>
          </w:tcPr>
          <w:p>
            <w:pPr>
              <w:jc w:val="right"/>
              <w:ind w:right="493"/>
              <w:spacing w:after="0"/>
              <w:rPr>
                <w:sz w:val="20"/>
                <w:szCs w:val="20"/>
                <w:color w:val="auto"/>
              </w:rPr>
            </w:pPr>
            <w:r>
              <w:rPr>
                <w:rFonts w:ascii="Arial" w:cs="Arial" w:eastAsia="Arial" w:hAnsi="Arial"/>
                <w:sz w:val="18"/>
                <w:szCs w:val="18"/>
                <w:color w:val="auto"/>
              </w:rPr>
              <w:t>10.10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of Restricted Stock Unit Award Agreement under the 2004 Stock Incentive Plan.</w:t>
            </w:r>
          </w:p>
        </w:tc>
      </w:tr>
      <w:tr>
        <w:trPr>
          <w:trHeight w:val="432"/>
        </w:trPr>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740" w:type="dxa"/>
            <w:vAlign w:val="bottom"/>
            <w:gridSpan w:val="2"/>
          </w:tcPr>
          <w:p>
            <w:pPr>
              <w:ind w:left="2900"/>
              <w:spacing w:after="0"/>
              <w:rPr>
                <w:sz w:val="20"/>
                <w:szCs w:val="20"/>
                <w:color w:val="auto"/>
              </w:rPr>
            </w:pPr>
            <w:r>
              <w:rPr>
                <w:rFonts w:ascii="Arial" w:cs="Arial" w:eastAsia="Arial" w:hAnsi="Arial"/>
                <w:sz w:val="18"/>
                <w:szCs w:val="18"/>
                <w:color w:val="auto"/>
              </w:rPr>
              <w:t>112</w:t>
            </w:r>
          </w:p>
        </w:tc>
      </w:tr>
      <w:tr>
        <w:trPr>
          <w:trHeight w:val="228"/>
        </w:trPr>
        <w:tc>
          <w:tcPr>
            <w:tcW w:w="18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4"/>
        </w:trPr>
        <w:tc>
          <w:tcPr>
            <w:tcW w:w="1880" w:type="dxa"/>
            <w:vAlign w:val="bottom"/>
          </w:tcPr>
          <w:p>
            <w:pPr>
              <w:ind w:left="580"/>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ind w:left="900"/>
              <w:spacing w:after="0"/>
              <w:rPr>
                <w:sz w:val="20"/>
                <w:szCs w:val="20"/>
                <w:color w:val="auto"/>
              </w:rPr>
            </w:pPr>
            <w:r>
              <w:rPr>
                <w:rFonts w:ascii="Arial" w:cs="Arial" w:eastAsia="Arial" w:hAnsi="Arial"/>
                <w:sz w:val="18"/>
                <w:szCs w:val="18"/>
                <w:color w:val="auto"/>
              </w:rPr>
              <w:t>10.11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of Performance Share Unit Award Agreement under the 2004 Stock Incentive Plan.</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2003 Waste Management, Inc. Directors Deferred Compensation Plan [Incorporated by reference to Exhibit 10.5 to</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Cherie C. Rice, dated July 11, 1998 [Incorporated by reference to</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Exhibit 10.1 to Form 10-Q for the quarter ended June 30,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4"/>
              </w:rPr>
              <w:t>Employment Agreement between the Company and Greg A. Robertson, dated August 1, 2003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 to Form 10-Q for the quarter ended June 30,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Lawrence O’Donnell III, dated January 21,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10.1 to Form 10-Q for the quarter ended June 30,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Lynn M. Caddell, dated March 12, 2004 [Incorporated by reference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 10.1 to Form 10-Q for the quarter ended March 31,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between the Company and Robert A. Damico, dated December 17, 1998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10.39 to Form 10-K for the year ended 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4"/>
              </w:rPr>
              <w:t>Employment Agreement between the Company and Duane C. Woods, dated October 20, 2004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Form 8-K dated October 20,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Employment Agreement between the Company and David R. Hopkins, dated March 30,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 to Form 10-Q for the quarter ended March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David Steiner, dated as of May 6, 2002 [Incorporated by reference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Exhibits 10.1 to Form 10-Q for the quarter ended March 31,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Employment Agreement between the Company and James E. Trevathan, dated as of June 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10.19 to Form 10-K for the year ended December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between the Company and Charles E. Williams, dated as of June 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10.20 to Form 10-K for the year ended December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Domenic Pio, dated as of April 1, 2001 [Incorporated by reference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 10.4 to Form 10-Q for the quarter ended June 30,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Employment Agreement between the Company and Richard T. Felago, dated as of May 14, 2001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10.5 to Form 10-Q for the quarter ended June 30,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Robert G. Simpson, dated as of October 20, 2004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Form 8-K dated October 20,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Barry H. Caldwell, dated as of September 23, 2002 [Incorporated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by reference to Exhibit 10.24 to Form 10-K for the year ended December 31,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3"/>
              </w:rPr>
              <w:t>Employment Agreement between Recycle America Alliance, L.L.C and Steve Raigel, dated as of March 30, 2003</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10.1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Rick L Wittenbraker, dated as of November 10, 2003 [Incorporated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by reference to Exhibit 10.30 to Form 10-K for the year ended December 31,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Jimmy D. LaValley, dated as of January 21, 2004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10.31 to Form 10-K for the year ended December 31,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and First Amendment to Employment Agreement between Wheelabrator Technologies Inc.</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and Drennan Lowell, dated as of July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2000 Broad-Based Employee Plan [Incorporated by reference to Exhibit 10.49 to Form 10-K for the year ended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21.1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23.1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31.1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Certification Pursuant to Rule 15d-14(a) under the Securities Exchange Act of 1934, as amended of David P. Steiner,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Chief Executive Officer.</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31.2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Certification Pursuant to Rule 15d-14(a) under the Securities Exchange Act of 1934, as amended, of Robert 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Simpson, Senior Vice President and Chief Financial Officer.</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32.1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22"/>
        </w:trPr>
        <w:tc>
          <w:tcPr>
            <w:tcW w:w="1880" w:type="dxa"/>
            <w:vAlign w:val="bottom"/>
          </w:tcPr>
          <w:p>
            <w:pPr>
              <w:ind w:left="900"/>
              <w:spacing w:after="0"/>
              <w:rPr>
                <w:sz w:val="20"/>
                <w:szCs w:val="20"/>
                <w:color w:val="auto"/>
              </w:rPr>
            </w:pPr>
            <w:r>
              <w:rPr>
                <w:rFonts w:ascii="Arial" w:cs="Arial" w:eastAsia="Arial" w:hAnsi="Arial"/>
                <w:sz w:val="18"/>
                <w:szCs w:val="18"/>
                <w:color w:val="auto"/>
              </w:rPr>
              <w:t>32.2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Certification Pursuant to 18 U.S.C. §1350 of Robert G. Simpson, 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40" w:hanging="232"/>
        <w:spacing w:after="0"/>
        <w:tabs>
          <w:tab w:leader="none" w:pos="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case of incorporation by reference to documents filed under the Securities Exchange Act of 1934, the Company’s file number under that Act is 1-12154.</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P. Steiner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2005</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98" w:lineRule="exact"/>
        <w:rPr>
          <w:sz w:val="20"/>
          <w:szCs w:val="20"/>
          <w:color w:val="auto"/>
        </w:rPr>
      </w:pPr>
    </w:p>
    <w:p>
      <w:pPr>
        <w:ind w:left="2420"/>
        <w:spacing w:after="0"/>
        <w:tabs>
          <w:tab w:leader="none" w:pos="6920" w:val="left"/>
          <w:tab w:leader="none" w:pos="99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68580</wp:posOffset>
            </wp:positionV>
            <wp:extent cx="65176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/s/ DAVID P. STEINER</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Chief Executive Officer and Director (Principal</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vMerge w:val="restart"/>
          </w:tcPr>
          <w:p>
            <w:pPr>
              <w:jc w:val="center"/>
              <w:ind w:left="112"/>
              <w:spacing w:after="0"/>
              <w:rPr>
                <w:sz w:val="20"/>
                <w:szCs w:val="20"/>
                <w:color w:val="auto"/>
              </w:rPr>
            </w:pPr>
            <w:r>
              <w:rPr>
                <w:rFonts w:ascii="Arial" w:cs="Arial" w:eastAsia="Arial" w:hAnsi="Arial"/>
                <w:sz w:val="18"/>
                <w:szCs w:val="18"/>
                <w:color w:val="auto"/>
                <w:w w:val="91"/>
              </w:rPr>
              <w:t>Executive Officer)</w:t>
            </w: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7"/>
              </w:rPr>
              <w:t>David P. Steiner</w:t>
            </w:r>
          </w:p>
        </w:tc>
        <w:tc>
          <w:tcPr>
            <w:tcW w:w="430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/s/ ROBERT G. SIMPSON</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89"/>
              </w:rPr>
              <w:t>Senior Vice President and Chief Financial Officer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vMerge w:val="restart"/>
          </w:tcPr>
          <w:p>
            <w:pPr>
              <w:jc w:val="center"/>
              <w:ind w:left="92"/>
              <w:spacing w:after="0"/>
              <w:rPr>
                <w:sz w:val="20"/>
                <w:szCs w:val="20"/>
                <w:color w:val="auto"/>
              </w:rPr>
            </w:pPr>
            <w:r>
              <w:rPr>
                <w:rFonts w:ascii="Arial" w:cs="Arial" w:eastAsia="Arial" w:hAnsi="Arial"/>
                <w:sz w:val="18"/>
                <w:szCs w:val="18"/>
                <w:color w:val="auto"/>
                <w:w w:val="92"/>
              </w:rPr>
              <w:t>(Principal Financial Officer)</w:t>
            </w: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8"/>
              </w:rPr>
              <w:t>Robert G. Simpson</w:t>
            </w:r>
          </w:p>
        </w:tc>
        <w:tc>
          <w:tcPr>
            <w:tcW w:w="430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/s/ GREG A. ROBERTSON</w:t>
            </w:r>
          </w:p>
        </w:tc>
        <w:tc>
          <w:tcPr>
            <w:tcW w:w="4300" w:type="dxa"/>
            <w:vAlign w:val="bottom"/>
          </w:tcPr>
          <w:p>
            <w:pPr>
              <w:jc w:val="center"/>
              <w:ind w:left="92"/>
              <w:spacing w:after="0"/>
              <w:rPr>
                <w:sz w:val="20"/>
                <w:szCs w:val="20"/>
                <w:color w:val="auto"/>
              </w:rPr>
            </w:pPr>
            <w:r>
              <w:rPr>
                <w:rFonts w:ascii="Arial" w:cs="Arial" w:eastAsia="Arial" w:hAnsi="Arial"/>
                <w:sz w:val="18"/>
                <w:szCs w:val="18"/>
                <w:color w:val="auto"/>
                <w:w w:val="90"/>
              </w:rPr>
              <w:t>Vice President and Chief Accounting Officer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vMerge w:val="restart"/>
          </w:tcPr>
          <w:p>
            <w:pPr>
              <w:jc w:val="center"/>
              <w:ind w:left="92"/>
              <w:spacing w:after="0"/>
              <w:rPr>
                <w:sz w:val="20"/>
                <w:szCs w:val="20"/>
                <w:color w:val="auto"/>
              </w:rPr>
            </w:pPr>
            <w:r>
              <w:rPr>
                <w:rFonts w:ascii="Arial" w:cs="Arial" w:eastAsia="Arial" w:hAnsi="Arial"/>
                <w:sz w:val="18"/>
                <w:szCs w:val="18"/>
                <w:color w:val="auto"/>
                <w:w w:val="92"/>
              </w:rPr>
              <w:t>(Principal Accounting Officer)</w:t>
            </w: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7"/>
              </w:rPr>
              <w:t>Greg A. Robertson</w:t>
            </w:r>
          </w:p>
        </w:tc>
        <w:tc>
          <w:tcPr>
            <w:tcW w:w="430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/s/ PASTORA SAN JUAN CAFFERTY</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6"/>
              </w:rPr>
              <w:t>Pastora San Juan Cafferty</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5"/>
              </w:rPr>
              <w:t>/s/ FRANK M. CLARK</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Frank M. Clark</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3"/>
              </w:rPr>
              <w:t>/s/ ROBERT S. MILLER</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Robert S. Miller</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/s/ JOHN C. POPE</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89"/>
              </w:rPr>
              <w:t>Chairman of the Board and 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6"/>
              </w:rPr>
              <w:t>John C. Pope</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/s/ W. ROBERT REUM</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W. Robert Reum</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/s/ STEVEN G. ROTHMEIER</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Steven G. Rothmeier</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/s/ CARL W. VOGT</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Carl W. Vogt</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5"/>
              </w:rPr>
              <w:t>/s/ THOMAS H. WEIDEMEYER</w:t>
            </w:r>
          </w:p>
        </w:tc>
        <w:tc>
          <w:tcPr>
            <w:tcW w:w="430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300" w:type="dxa"/>
            <w:vAlign w:val="bottom"/>
          </w:tcPr>
          <w:p>
            <w:pPr>
              <w:ind w:left="320"/>
              <w:spacing w:after="0"/>
              <w:rPr>
                <w:sz w:val="20"/>
                <w:szCs w:val="20"/>
                <w:color w:val="auto"/>
              </w:rPr>
            </w:pPr>
            <w:r>
              <w:rPr>
                <w:rFonts w:ascii="Arial" w:cs="Arial" w:eastAsia="Arial" w:hAnsi="Arial"/>
                <w:sz w:val="18"/>
                <w:szCs w:val="18"/>
                <w:color w:val="auto"/>
              </w:rPr>
              <w:t>February 17, 2005</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7"/>
              </w:rPr>
              <w:t>Thomas H. Weidemeyer</w:t>
            </w:r>
          </w:p>
        </w:tc>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300" w:type="dxa"/>
            <w:vAlign w:val="bottom"/>
          </w:tcPr>
          <w:p>
            <w:pPr>
              <w:jc w:val="right"/>
              <w:ind w:right="3192"/>
              <w:spacing w:after="0"/>
              <w:rPr>
                <w:sz w:val="20"/>
                <w:szCs w:val="20"/>
                <w:color w:val="auto"/>
              </w:rPr>
            </w:pPr>
            <w:r>
              <w:rPr>
                <w:rFonts w:ascii="Arial" w:cs="Arial" w:eastAsia="Arial" w:hAnsi="Arial"/>
                <w:sz w:val="18"/>
                <w:szCs w:val="18"/>
                <w:color w:val="auto"/>
              </w:rPr>
              <w:t>114</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978" w:gutter="0" w:footer="0" w:header="0"/>
        </w:sectPr>
      </w:pPr>
    </w:p>
    <w:bookmarkStart w:id="122" w:name="page123"/>
    <w:bookmarkEnd w:id="122"/>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consolidated financial statements of Waste Management, Inc. (the “Company”) as of December 31, 2004 and 2003, and for each of the three years in the period ended December 31, 2004, and have issued our report thereon dated February 16, 2005 (included elsewhere in this Form 10-K). Our audits also included the financial statement schedule listed in Item 15(a)(2) of this Form 10-K. This schedule is the responsibility of the Company’s management. Our responsibility is to express an opinion based on our audits.</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our opinion, the financial statement schedule referred to above, when considered in relation to the basic consolidated financial statements taken as a whole, presents fairly, in all material respects, the information set forth therein.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Charged</w:t>
            </w:r>
          </w:p>
        </w:tc>
        <w:tc>
          <w:tcPr>
            <w:tcW w:w="3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Written</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3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Off/Use of</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of Year</w:t>
            </w:r>
          </w:p>
        </w:tc>
        <w:tc>
          <w:tcPr>
            <w:tcW w:w="3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 Income</w:t>
            </w:r>
          </w:p>
        </w:tc>
        <w:tc>
          <w:tcPr>
            <w:tcW w:w="3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Reserve</w:t>
            </w:r>
          </w:p>
        </w:tc>
        <w:tc>
          <w:tcPr>
            <w:tcW w:w="340" w:type="dxa"/>
            <w:vAlign w:val="bottom"/>
          </w:tcPr>
          <w:p>
            <w:pPr>
              <w:spacing w:after="0"/>
              <w:rPr>
                <w:sz w:val="15"/>
                <w:szCs w:val="15"/>
                <w:color w:val="auto"/>
              </w:rPr>
            </w:pP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Other(A)</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2002</w:t>
            </w:r>
          </w:p>
        </w:tc>
        <w:tc>
          <w:tcPr>
            <w:tcW w:w="47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Reserves for doubtful accounts(B)</w:t>
            </w:r>
          </w:p>
        </w:tc>
        <w:tc>
          <w:tcPr>
            <w:tcW w:w="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94</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67</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w w:val="81"/>
              </w:rPr>
              <w:t>(83)</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 Reserves for doubtful accounts(B)</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78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2"/>
              <w:spacing w:after="0"/>
              <w:rPr>
                <w:sz w:val="20"/>
                <w:szCs w:val="20"/>
                <w:color w:val="auto"/>
              </w:rPr>
            </w:pPr>
            <w:r>
              <w:rPr>
                <w:rFonts w:ascii="Arial" w:cs="Arial" w:eastAsia="Arial" w:hAnsi="Arial"/>
                <w:sz w:val="18"/>
                <w:szCs w:val="18"/>
                <w:color w:val="auto"/>
                <w:w w:val="81"/>
              </w:rPr>
              <w:t>(49)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2004</w:t>
            </w:r>
          </w:p>
        </w:tc>
        <w:tc>
          <w:tcPr>
            <w:tcW w:w="47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Reserves for doubtful accounts(B)</w:t>
            </w:r>
          </w:p>
        </w:tc>
        <w:tc>
          <w:tcPr>
            <w:tcW w:w="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75</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47</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w w:val="81"/>
              </w:rPr>
              <w:t>(60)</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2002</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 Merger and restructuring accruals(C)</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2"/>
              <w:spacing w:after="0"/>
              <w:rPr>
                <w:sz w:val="20"/>
                <w:szCs w:val="20"/>
                <w:color w:val="auto"/>
              </w:rPr>
            </w:pPr>
            <w:r>
              <w:rPr>
                <w:rFonts w:ascii="Arial" w:cs="Arial" w:eastAsia="Arial" w:hAnsi="Arial"/>
                <w:sz w:val="18"/>
                <w:szCs w:val="18"/>
                <w:color w:val="auto"/>
                <w:w w:val="81"/>
              </w:rPr>
              <w:t>(35)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2003</w:t>
            </w:r>
          </w:p>
        </w:tc>
        <w:tc>
          <w:tcPr>
            <w:tcW w:w="47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Merger and restructuring accruals(C)</w:t>
            </w:r>
          </w:p>
        </w:tc>
        <w:tc>
          <w:tcPr>
            <w:tcW w:w="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44</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w w:val="81"/>
              </w:rPr>
              <w:t>(37)</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99"/>
              </w:rPr>
              <w:t>(6)</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 Merger and restructuring accruals(C)</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2"/>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2002</w:t>
            </w:r>
          </w:p>
        </w:tc>
        <w:tc>
          <w:tcPr>
            <w:tcW w:w="47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52</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w w:val="81"/>
              </w:rPr>
              <w:t>(14)</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87"/>
              </w:rPr>
              <w:t>(48)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2004</w:t>
            </w:r>
          </w:p>
        </w:tc>
        <w:tc>
          <w:tcPr>
            <w:tcW w:w="478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44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Reserves for doubtful accounts related to purchase business combinations, reserves associated with dispositions of businesses, reserves reclassified to operations held for sale, and reclasses among reserve accounts.</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long-term notes receivable.</w:t>
      </w:r>
    </w:p>
    <w:p>
      <w:pPr>
        <w:spacing w:after="0" w:line="252"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Accruals are included in accrued liabilities and other liabilities. These accruals represent transaction or deal costs, employee severance, separation, and transitional costs.</w:t>
      </w:r>
    </w:p>
    <w:p>
      <w:pPr>
        <w:spacing w:after="0" w:line="212"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major maintenance expenditures at the Company’s waste-to-energy and independent power production facilities. Policy changed in January 2003 to a method of expensing expenditures as incurred. See Note 2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tcPr>
          <w:p>
            <w:pPr>
              <w:ind w:left="1840"/>
              <w:spacing w:after="0"/>
              <w:rPr>
                <w:sz w:val="20"/>
                <w:szCs w:val="20"/>
                <w:color w:val="auto"/>
              </w:rPr>
            </w:pPr>
            <w:r>
              <w:rPr>
                <w:rFonts w:ascii="Arial" w:cs="Arial" w:eastAsia="Arial" w:hAnsi="Arial"/>
                <w:sz w:val="18"/>
                <w:szCs w:val="18"/>
                <w:b w:val="1"/>
                <w:bCs w:val="1"/>
                <w:color w:val="auto"/>
              </w:rPr>
              <w:t>INDEX TO EXHIBITS</w:t>
            </w:r>
          </w:p>
        </w:tc>
      </w:tr>
      <w:tr>
        <w:trPr>
          <w:trHeight w:val="596"/>
        </w:trPr>
        <w:tc>
          <w:tcPr>
            <w:tcW w:w="1880" w:type="dxa"/>
            <w:vAlign w:val="bottom"/>
          </w:tcPr>
          <w:p>
            <w:pPr>
              <w:ind w:left="580"/>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ind w:left="980"/>
              <w:spacing w:after="0"/>
              <w:rPr>
                <w:sz w:val="20"/>
                <w:szCs w:val="20"/>
                <w:color w:val="auto"/>
              </w:rPr>
            </w:pPr>
            <w:r>
              <w:rPr>
                <w:rFonts w:ascii="Arial" w:cs="Arial" w:eastAsia="Arial" w:hAnsi="Arial"/>
                <w:sz w:val="18"/>
                <w:szCs w:val="18"/>
                <w:color w:val="auto"/>
              </w:rPr>
              <w:t>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Second Amended and Restated Certificate of Incorporation [Incorporated by reference to Exhibit 3.1 to Form 10-Q for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the quarter ended June 30, 2002].</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3.2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Bylaws effective as of November 11, 2004.</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4.1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Specimen Stock Certificate [Incorporated by reference to Exhibit 4.1 to Form 10-K for the year ended December 31,</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1998].</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4.2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Indenture for Subordinated Debt Securities dated February 1, 1997, among the Registrant and Texas Commerce Bank</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National Association, as trustee [Incorporated by reference to Exhibit 4.1 to Form 8-K dated February 7, 1997].</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4.3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Indenture for Senior Debt Securities dated September 10, 1997, among the Registrant and Texas Commerce Bank</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National Association, as trustee [Incorporated by reference to Exhibit 4.1 to Form 8-K dated September 10,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2004 Stock Incentive Plan [Incorporated by reference to Appendix C-1 to the Proxy Statement for the 2004 Annual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Meeting of Stockholders].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2005 Annual Incentive Plan [Incorporated by reference to Appendix D-1 to the Proxy Statement for the 2004 Annual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Meeting of Stockholders].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1997 Employee Stock Purchase Plan [Incorporated by reference to Appendix C to the Proxy Statement for the 2000</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Annual Meeting of Stockholders].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Waste Management, Inc. Retirement Savings Restoration Plan [Incorporated by reference to Exhibit 10.1 to Form 10-Q</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 the quarter ended June 30,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$2.4 Billion Revolving Credit Agreement dated as of October 15, 2004, by and among Waste Management, Inc., Waste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Management Holdings, Inc. and Certain Banks and Citibank, N.A. as Administrative Agent, JPMorgan Chase Bank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3"/>
              </w:rPr>
              <w:t>Bank of America, N.A. as Syndication Agents and Barclays Bank PLC and Deutsche Bank AG as Documentation</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Agents and J.P. Morgan Securities Inc. and Banc of America Securities LLC as Lead Arrangers and Book Managers.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10.1 to Form 10-Q for the quarter ended September 30,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Ten-Year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10.2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Five-Year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10.3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Seven-Year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10.4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Reimbursement Agreement between the Company and Oakmont Asset Trust, dated as of December 22, 2003.</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10.10 to Form 10-K for the year ended December 31,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of Restricted Stock Unit Award Agreement under the 2004 Stock Incentive Plan.</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of Performance Share Unit Award Agreement under the 2004 Stock Incentive Plan.</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2003 Waste Management, Inc. Directors Deferred Compensation Plan [Incorporated by reference to Exhibit 10.5 to</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Cherie C. Rice, dated July 11, 1998 [Incorporated by reference to</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Exhibit 10.1 to Form 10-Q for the quarter ended June 30,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4"/>
              </w:rPr>
              <w:t>Employment Agreement between the Company and Greg A. Robertson, dated August 1, 2003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 to Form 10-Q for the quarter ended June 30,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Lawrence O’Donnell III, dated January 21,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10.1 to Form 10-Q for the quarter ended June 30,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Lynn M. Caddell, dated March 12, 2004 [Incorporated by reference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 10.1 to Form 10-Q for the quarter ended March 31,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between the Company and Robert A. Damico, dated December 17, 1998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10.39 to Form 10-K for the year ended 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4"/>
              </w:rPr>
              <w:t>Employment Agreement between the Company and Duane C. Woods, dated October 20, 2004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Form 8-K dated October 20,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Employment Agreement between the Company and David R. Hopkins, dated March 30,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 to Form 10-Q for the quarter ended March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David Steiner, dated as of May 6, 2002 [Incorporated by reference</w:t>
            </w:r>
          </w:p>
        </w:tc>
      </w:tr>
      <w:tr>
        <w:trPr>
          <w:trHeight w:val="222"/>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Exhibits 10.1 to Form 10-Q for the quarter ended March 31, 2002].</w:t>
            </w:r>
          </w:p>
        </w:tc>
      </w:tr>
      <w:tr>
        <w:trPr>
          <w:trHeight w:val="228"/>
        </w:trPr>
        <w:tc>
          <w:tcPr>
            <w:tcW w:w="18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4"/>
        </w:trPr>
        <w:tc>
          <w:tcPr>
            <w:tcW w:w="1880" w:type="dxa"/>
            <w:vAlign w:val="bottom"/>
          </w:tcPr>
          <w:p>
            <w:pPr>
              <w:ind w:left="580"/>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ind w:left="900"/>
              <w:spacing w:after="0"/>
              <w:rPr>
                <w:sz w:val="20"/>
                <w:szCs w:val="20"/>
                <w:color w:val="auto"/>
              </w:rPr>
            </w:pPr>
            <w:r>
              <w:rPr>
                <w:rFonts w:ascii="Arial" w:cs="Arial" w:eastAsia="Arial" w:hAnsi="Arial"/>
                <w:sz w:val="18"/>
                <w:szCs w:val="18"/>
                <w:color w:val="auto"/>
              </w:rPr>
              <w:t>10.21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Employment Agreement between the Company and James E. Trevathan, dated as of June 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10.19 to Form 10-K for the year ended December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between the Company and Charles E. Williams, dated as of June 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10.20 to Form 10-K for the year ended December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Domenic Pio, dated as of April 1, 2001 [Incorporated by reference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 10.4 to Form 10-Q for the quarter ended June 30,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Employment Agreement between the Company and Richard T. Felago, dated as of May 14, 2001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10.5 to Form 10-Q for the quarter ended June 30,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Robert G. Simpson, dated as of October 20, 2004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Form 8-K dated October 20,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Barry H. Caldwell, dated as of September 23, 2002 [Incorporated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by reference to Exhibit 10.24 to Form 10-K for the year ended December 31,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3"/>
              </w:rPr>
              <w:t>Employment Agreement between Recycle America Alliance, L.L.C and Steve Raigel, dated as of March 30, 2003</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10.1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Rick L Wittenbraker, dated as of November 10, 2003 [Incorporated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by reference to Exhibit 10.30 to Form 10-K for the year ended December 31,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Jimmy D. LaValley, dated as of January 21, 2004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10.31 to Form 10-K for the year ended December 31,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and First Amendment to Employment Agreement between Wheelabrator Technologies Inc.</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and Drennan Lowell, dated as of July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2000 Broad-Based Employee Plan [Incorporated by reference to Exhibit 10.49 to Form 10-K for the year ended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21.1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23.1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31.1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Certification Pursuant to Rule 15d-14(a) under the Securities Exchange Act of 1934, as amended of David P. Steiner,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Chief Executive Officer.</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31.2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Certification Pursuant to Rule 15d-14(a) under the Securities Exchange Act of 1934, as amended, of Robert 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Simpson,, Senior Vice President and Chief Financial Officer.</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32.1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22"/>
        </w:trPr>
        <w:tc>
          <w:tcPr>
            <w:tcW w:w="1880" w:type="dxa"/>
            <w:vAlign w:val="bottom"/>
          </w:tcPr>
          <w:p>
            <w:pPr>
              <w:ind w:left="900"/>
              <w:spacing w:after="0"/>
              <w:rPr>
                <w:sz w:val="20"/>
                <w:szCs w:val="20"/>
                <w:color w:val="auto"/>
              </w:rPr>
            </w:pPr>
            <w:r>
              <w:rPr>
                <w:rFonts w:ascii="Arial" w:cs="Arial" w:eastAsia="Arial" w:hAnsi="Arial"/>
                <w:sz w:val="18"/>
                <w:szCs w:val="18"/>
                <w:color w:val="auto"/>
              </w:rPr>
              <w:t>32.2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Certification Pursuant to 18 U.S.C. §1350 of Robert G. Simpson, 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 the case of incorporation by reference to documents filed under the Securities Exchange Act of 1934, the Company’s file number under that Act is 1-12154.</w:t>
      </w:r>
    </w:p>
    <w:p>
      <w:pPr>
        <w:sectPr>
          <w:pgSz w:w="11900" w:h="16838" w:orient="portrait"/>
          <w:cols w:equalWidth="0" w:num="1">
            <w:col w:w="11420"/>
          </w:cols>
          <w:pgMar w:left="240" w:top="1153" w:right="239" w:bottom="1440" w:gutter="0" w:footer="0" w:header="0"/>
        </w:sectPr>
      </w:pPr>
    </w:p>
    <w:bookmarkStart w:id="126" w:name="page127"/>
    <w:bookmarkEnd w:id="126"/>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AS OF NOVEMBER 11, 2004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6"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 meeting is to be held, which place shall be specified in the notice, or if not so specified, at the place where the meeting is to be held.</w:t>
      </w: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127" w:name="page128"/>
    <w:bookmarkEnd w:id="127"/>
    <w:p>
      <w:pPr>
        <w:jc w:val="both"/>
        <w:ind w:right="2099"/>
        <w:spacing w:after="0" w:line="236" w:lineRule="auto"/>
        <w:rPr>
          <w:sz w:val="20"/>
          <w:szCs w:val="20"/>
          <w:color w:val="auto"/>
        </w:rPr>
      </w:pPr>
      <w:r>
        <w:rPr>
          <w:rFonts w:ascii="Courier New" w:cs="Courier New" w:eastAsia="Courier New" w:hAnsi="Courier New"/>
          <w:sz w:val="18"/>
          <w:szCs w:val="18"/>
          <w:color w:val="auto"/>
        </w:rPr>
        <w:t>The list shall also be produced and kept at the time and place of the meeting during the whole time thereof, and may be inspected by any stockholder who is present.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212"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86"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211"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Notwithstanding the other provisions of the Certificate of Incorporation or these by-laws, the chairman of the meeting or the holders of a majority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28" w:name="page129"/>
    <w:bookmarkEnd w:id="128"/>
    <w:p>
      <w:pPr>
        <w:ind w:right="1779" w:firstLine="1264"/>
        <w:spacing w:after="0" w:line="238" w:lineRule="auto"/>
        <w:rPr>
          <w:sz w:val="20"/>
          <w:szCs w:val="20"/>
          <w:color w:val="auto"/>
        </w:rPr>
      </w:pPr>
      <w:r>
        <w:rPr>
          <w:rFonts w:ascii="Courier New" w:cs="Courier New" w:eastAsia="Courier New" w:hAnsi="Courier New"/>
          <w:sz w:val="18"/>
          <w:szCs w:val="18"/>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209"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39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2.8. Voting of Stock of Certain Holders; Elections: Inspectors. Shares held in the name of another corporation, domestic or foreign, may be voted by such officer, agent or proxy as the by-laws of such corporation may prescribe, or in the absence of such provision, as the Board of Directors of such corporation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29" w:name="page130"/>
    <w:bookmarkEnd w:id="129"/>
    <w:p>
      <w:pPr>
        <w:ind w:right="1999"/>
        <w:spacing w:after="0" w:line="236" w:lineRule="auto"/>
        <w:rPr>
          <w:sz w:val="20"/>
          <w:szCs w:val="20"/>
          <w:color w:val="auto"/>
        </w:rPr>
      </w:pPr>
      <w:r>
        <w:rPr>
          <w:rFonts w:ascii="Courier New" w:cs="Courier New" w:eastAsia="Courier New" w:hAnsi="Courier New"/>
          <w:sz w:val="18"/>
          <w:szCs w:val="18"/>
          <w:color w:val="auto"/>
        </w:rPr>
        <w:t>notice to the contrary and is furnished with a copy of the instrument or order appointing them or creating the relationship wherein it is so provided, their acts with respect to voting shall have the following effect:</w:t>
      </w:r>
    </w:p>
    <w:p>
      <w:pPr>
        <w:spacing w:after="0" w:line="203" w:lineRule="exact"/>
        <w:rPr>
          <w:sz w:val="20"/>
          <w:szCs w:val="20"/>
          <w:color w:val="auto"/>
        </w:rPr>
      </w:pPr>
    </w:p>
    <w:p>
      <w:pPr>
        <w:ind w:left="1700" w:hanging="428"/>
        <w:spacing w:after="0"/>
        <w:tabs>
          <w:tab w:leader="none" w:pos="17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only one votes, his act binds all;</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more than one vote, the act of the majority so voting binds</w:t>
      </w:r>
    </w:p>
    <w:p>
      <w:pPr>
        <w:ind w:left="640"/>
        <w:spacing w:after="0" w:line="238" w:lineRule="auto"/>
        <w:rPr>
          <w:sz w:val="20"/>
          <w:szCs w:val="20"/>
          <w:color w:val="auto"/>
        </w:rPr>
      </w:pPr>
      <w:r>
        <w:rPr>
          <w:rFonts w:ascii="Courier New" w:cs="Courier New" w:eastAsia="Courier New" w:hAnsi="Courier New"/>
          <w:sz w:val="18"/>
          <w:szCs w:val="18"/>
          <w:color w:val="auto"/>
        </w:rPr>
        <w:t>all;</w:t>
      </w:r>
    </w:p>
    <w:p>
      <w:pPr>
        <w:spacing w:after="0" w:line="207" w:lineRule="exact"/>
        <w:rPr>
          <w:sz w:val="20"/>
          <w:szCs w:val="20"/>
          <w:color w:val="auto"/>
        </w:rPr>
      </w:pPr>
    </w:p>
    <w:p>
      <w:pPr>
        <w:ind w:left="640" w:right="1779" w:firstLine="632"/>
        <w:spacing w:after="0" w:line="237" w:lineRule="auto"/>
        <w:tabs>
          <w:tab w:leader="none" w:pos="1693"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21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216" w:lineRule="exact"/>
        <w:rPr>
          <w:sz w:val="20"/>
          <w:szCs w:val="20"/>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Unless otherwise provided in the Certificate of Incorporation, cumulative voting for the election of directors shall be prohibited.</w:t>
      </w:r>
    </w:p>
    <w:p>
      <w:pPr>
        <w:spacing w:after="0" w:line="170"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209" w:lineRule="exact"/>
        <w:rPr>
          <w:sz w:val="20"/>
          <w:szCs w:val="20"/>
          <w:color w:val="auto"/>
        </w:rPr>
      </w:pPr>
    </w:p>
    <w:p>
      <w:pPr>
        <w:jc w:val="right"/>
        <w:ind w:left="4120" w:right="5999" w:hanging="3480"/>
        <w:spacing w:after="0" w:line="399" w:lineRule="auto"/>
        <w:tabs>
          <w:tab w:leader="none" w:pos="1276"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Calling of meeting to order. 4</w:t>
      </w:r>
    </w:p>
    <w:p>
      <w:pPr>
        <w:sectPr>
          <w:pgSz w:w="11900" w:h="16838" w:orient="portrait"/>
          <w:cols w:equalWidth="0" w:num="1">
            <w:col w:w="10219"/>
          </w:cols>
          <w:pgMar w:left="240" w:top="723" w:right="1440" w:bottom="1440" w:gutter="0" w:footer="0" w:header="0"/>
        </w:sectPr>
      </w:pPr>
    </w:p>
    <w:bookmarkStart w:id="130" w:name="page131"/>
    <w:bookmarkEnd w:id="130"/>
    <w:p>
      <w:pPr>
        <w:ind w:left="1280" w:right="2619" w:hanging="640"/>
        <w:spacing w:after="0" w:line="235" w:lineRule="auto"/>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a chairman and the appointment of a secretary if necessary.</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of proof of the due calling of the meeting.</w:t>
      </w:r>
    </w:p>
    <w:p>
      <w:pPr>
        <w:spacing w:after="0" w:line="206" w:lineRule="exact"/>
        <w:rPr>
          <w:rFonts w:ascii="Courier New" w:cs="Courier New" w:eastAsia="Courier New" w:hAnsi="Courier New"/>
          <w:sz w:val="18"/>
          <w:szCs w:val="18"/>
          <w:color w:val="auto"/>
        </w:rPr>
      </w:pPr>
    </w:p>
    <w:p>
      <w:pPr>
        <w:ind w:left="1280" w:right="2419" w:hanging="640"/>
        <w:spacing w:after="0" w:line="235" w:lineRule="auto"/>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and examination of proxies and determination of a quorum.</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Reading and settlement of the minutes of the previous meeting.</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of officers and committees.</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directors if an annual meeting, or a meeting called for that purpose.</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Unfinished business.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business.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Adjournment.</w:t>
      </w:r>
    </w:p>
    <w:p>
      <w:pPr>
        <w:spacing w:after="0" w:line="207"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78"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 after any such record dated fixed as aforesaid. With respect to a meeting of stockholders, the record date shall not be less than ten days before the date of such meeting.</w:t>
      </w:r>
    </w:p>
    <w:p>
      <w:pPr>
        <w:spacing w:after="0" w:line="210"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31" w:name="page132"/>
    <w:bookmarkEnd w:id="131"/>
    <w:p>
      <w:pPr>
        <w:ind w:right="1779"/>
        <w:spacing w:after="0" w:line="236" w:lineRule="auto"/>
        <w:rPr>
          <w:sz w:val="20"/>
          <w:szCs w:val="20"/>
          <w:color w:val="auto"/>
        </w:rPr>
      </w:pPr>
      <w:r>
        <w:rPr>
          <w:rFonts w:ascii="Courier New" w:cs="Courier New" w:eastAsia="Courier New" w:hAnsi="Courier New"/>
          <w:sz w:val="18"/>
          <w:szCs w:val="18"/>
          <w:color w:val="auto"/>
        </w:rPr>
        <w:t>notice of or to vote at a meeting of stockholders shall apply to any adjournment of the meeting; provided, however, that the Board of Directors may fix a new record date for the adjourned meeting.</w:t>
      </w:r>
    </w:p>
    <w:p>
      <w:pPr>
        <w:spacing w:after="0" w:line="209"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Chief Executive Officer, or the Board of Directors, (b) otherwise properly brought before the meeting by or at the direction of the Chairman of the Board, the Chief Executive Officer, or the Board of Directors, or (c) otherwise properly brought before the meeting by a stockholder.</w:t>
      </w:r>
    </w:p>
    <w:p>
      <w:pPr>
        <w:spacing w:after="0" w:line="38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2" w:name="page133"/>
    <w:bookmarkEnd w:id="132"/>
    <w:p>
      <w:pPr>
        <w:ind w:right="1999"/>
        <w:spacing w:after="0" w:line="275" w:lineRule="auto"/>
        <w:rPr>
          <w:sz w:val="20"/>
          <w:szCs w:val="20"/>
          <w:color w:val="auto"/>
        </w:rPr>
      </w:pPr>
      <w:r>
        <w:rPr>
          <w:rFonts w:ascii="Courier New" w:cs="Courier New" w:eastAsia="Courier New" w:hAnsi="Courier New"/>
          <w:sz w:val="16"/>
          <w:szCs w:val="16"/>
          <w:color w:val="auto"/>
        </w:rPr>
        <w:t>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215"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133" w:name="page134"/>
    <w:bookmarkEnd w:id="133"/>
    <w:p>
      <w:pPr>
        <w:ind w:right="1779"/>
        <w:spacing w:after="0" w:line="237" w:lineRule="auto"/>
        <w:rPr>
          <w:sz w:val="20"/>
          <w:szCs w:val="20"/>
          <w:color w:val="auto"/>
        </w:rPr>
      </w:pPr>
      <w:r>
        <w:rPr>
          <w:rFonts w:ascii="Courier New" w:cs="Courier New" w:eastAsia="Courier New" w:hAnsi="Courier New"/>
          <w:sz w:val="18"/>
          <w:szCs w:val="18"/>
          <w:color w:val="auto"/>
        </w:rPr>
        <w:t>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9"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85"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Delaware or stockholders of the Corporation.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134" w:name="page135"/>
    <w:bookmarkEnd w:id="134"/>
    <w:p>
      <w:pPr>
        <w:ind w:right="1779"/>
        <w:spacing w:after="0" w:line="235" w:lineRule="auto"/>
        <w:rPr>
          <w:sz w:val="20"/>
          <w:szCs w:val="20"/>
          <w:color w:val="auto"/>
        </w:rPr>
      </w:pPr>
      <w:r>
        <w:rPr>
          <w:rFonts w:ascii="Courier New" w:cs="Courier New" w:eastAsia="Courier New" w:hAnsi="Courier New"/>
          <w:sz w:val="18"/>
          <w:szCs w:val="18"/>
          <w:color w:val="auto"/>
        </w:rPr>
        <w:t>the election of directors, voting together as a single class, but only if notice of such proposal was contained in the notice of such meeting.</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of any increase or decrease in the authorized number of directors, the newly created or eliminated directorships resulting from such increase or decrease shall be appointed or determined by the Board of Directors. Vacancies in the Board of Directors, however caused, and newly-created directorships shall be filled solely by a majority vote of the directors then in office, whether or not a quorum, and any director so chosen shall hold office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21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either within or without the State of Delaware, without notice.</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210"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SECTION 3.6. Notice of Special Meeting. Personal written or electronic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8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391" w:lineRule="exact"/>
        <w:rPr>
          <w:sz w:val="20"/>
          <w:szCs w:val="20"/>
          <w:color w:val="auto"/>
        </w:rPr>
      </w:pPr>
    </w:p>
    <w:p>
      <w:pPr>
        <w:ind w:right="2099" w:firstLine="1264"/>
        <w:spacing w:after="0" w:line="275" w:lineRule="auto"/>
        <w:rPr>
          <w:sz w:val="20"/>
          <w:szCs w:val="20"/>
          <w:color w:val="auto"/>
        </w:rPr>
      </w:pPr>
      <w:r>
        <w:rPr>
          <w:rFonts w:ascii="Courier New" w:cs="Courier New" w:eastAsia="Courier New" w:hAnsi="Courier New"/>
          <w:sz w:val="16"/>
          <w:szCs w:val="16"/>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5" w:name="page136"/>
    <w:bookmarkEnd w:id="135"/>
    <w:p>
      <w:pPr>
        <w:ind w:right="1779"/>
        <w:spacing w:after="0" w:line="270" w:lineRule="auto"/>
        <w:rPr>
          <w:sz w:val="20"/>
          <w:szCs w:val="20"/>
          <w:color w:val="auto"/>
        </w:rPr>
      </w:pPr>
      <w:r>
        <w:rPr>
          <w:rFonts w:ascii="Courier New" w:cs="Courier New" w:eastAsia="Courier New" w:hAnsi="Courier New"/>
          <w:sz w:val="16"/>
          <w:szCs w:val="16"/>
          <w:color w:val="auto"/>
        </w:rPr>
        <w:t>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 adjourn the meeting from time to time, without notice other than announcement at the meeting, until a quorum shall be present.</w:t>
      </w:r>
    </w:p>
    <w:p>
      <w:pPr>
        <w:spacing w:after="0" w:line="39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21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6" w:name="page137"/>
    <w:bookmarkEnd w:id="136"/>
    <w:p>
      <w:pPr>
        <w:ind w:right="1779" w:firstLine="1264"/>
        <w:spacing w:after="0" w:line="237" w:lineRule="auto"/>
        <w:rPr>
          <w:sz w:val="20"/>
          <w:szCs w:val="20"/>
          <w:color w:val="auto"/>
        </w:rPr>
      </w:pPr>
      <w:r>
        <w:rPr>
          <w:rFonts w:ascii="Courier New" w:cs="Courier New" w:eastAsia="Courier New" w:hAnsi="Courier New"/>
          <w:sz w:val="18"/>
          <w:szCs w:val="18"/>
          <w:color w:val="auto"/>
        </w:rPr>
        <w:t>SECTION 3.13. Chairman of the Board.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COMMITTEES OF DIRECTORS</w:t>
      </w:r>
    </w:p>
    <w:p>
      <w:pPr>
        <w:spacing w:after="0" w:line="207"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SECTION 4.1. Designation, Powers and Name.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by the Charter for such committee adopted by the Board of Directors, or by a resolution adopted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SECTION 4.2. Procedure; Meetings; Quorum. Any committee designated pursuant to Section 4.1 shall keep regular minutes of its proceedings and report the same to the Board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37" w:name="page138"/>
    <w:bookmarkEnd w:id="137"/>
    <w:p>
      <w:pPr>
        <w:ind w:right="1779"/>
        <w:spacing w:after="0" w:line="238" w:lineRule="auto"/>
        <w:rPr>
          <w:sz w:val="20"/>
          <w:szCs w:val="20"/>
          <w:color w:val="auto"/>
        </w:rPr>
      </w:pPr>
      <w:r>
        <w:rPr>
          <w:rFonts w:ascii="Courier New" w:cs="Courier New" w:eastAsia="Courier New" w:hAnsi="Courier New"/>
          <w:sz w:val="18"/>
          <w:szCs w:val="18"/>
          <w:color w:val="auto"/>
        </w:rPr>
        <w:t>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4.3. Compensation.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Notice shall be deemed to have been given on the date such transmission is sent.</w:t>
      </w:r>
    </w:p>
    <w:p>
      <w:pPr>
        <w:spacing w:after="0" w:line="208"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138" w:name="page139"/>
    <w:bookmarkEnd w:id="138"/>
    <w:p>
      <w:pPr>
        <w:ind w:right="1879"/>
        <w:spacing w:after="0" w:line="236" w:lineRule="auto"/>
        <w:rPr>
          <w:sz w:val="20"/>
          <w:szCs w:val="20"/>
          <w:color w:val="auto"/>
        </w:rPr>
      </w:pPr>
      <w:r>
        <w:rPr>
          <w:rFonts w:ascii="Courier New" w:cs="Courier New" w:eastAsia="Courier New" w:hAnsi="Courier New"/>
          <w:sz w:val="18"/>
          <w:szCs w:val="18"/>
          <w:color w:val="auto"/>
        </w:rPr>
        <w:t>regular or special meeting of the stockholders, directors, or members of a committee of directors need be specified in any written waiver of notice unless so required by the Certificate of Incorporation or the by-laws.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6.1. Officers.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211"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SECTION 6.2. Term of Office. Each officer shall hold office until his successor shall have been chosen and shall have qualified or until his death or the effective date of his resignation or removal.</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139" w:name="page140"/>
    <w:bookmarkEnd w:id="139"/>
    <w:p>
      <w:pPr>
        <w:ind w:right="1999" w:firstLine="1264"/>
        <w:spacing w:after="0" w:line="236" w:lineRule="auto"/>
        <w:rPr>
          <w:sz w:val="20"/>
          <w:szCs w:val="20"/>
          <w:color w:val="auto"/>
        </w:rPr>
      </w:pPr>
      <w:r>
        <w:rPr>
          <w:rFonts w:ascii="Courier New" w:cs="Courier New" w:eastAsia="Courier New" w:hAnsi="Courier New"/>
          <w:sz w:val="18"/>
          <w:szCs w:val="18"/>
          <w:color w:val="auto"/>
        </w:rPr>
        <w:t>SECTION 6.4. Vacancies. Any vacancy occurring in any office of the Corporation by death, resignation, removal or otherwise, may be filled by the Board of Directors for the unexpired portion of the term.</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6.6. Chairman of the Board.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216"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6.7. Vice Chairman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and any Vice Chairman of the Board, the Chief Executive Officer shall preside at all meetings of the stockholders. He may also preside at any such meeting attended by the 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40" w:name="page141"/>
    <w:bookmarkEnd w:id="140"/>
    <w:p>
      <w:pPr>
        <w:ind w:right="1779" w:firstLine="1264"/>
        <w:spacing w:after="0" w:line="238" w:lineRule="auto"/>
        <w:rPr>
          <w:sz w:val="20"/>
          <w:szCs w:val="20"/>
          <w:color w:val="auto"/>
        </w:rPr>
      </w:pPr>
      <w:r>
        <w:rPr>
          <w:rFonts w:ascii="Courier New" w:cs="Courier New" w:eastAsia="Courier New" w:hAnsi="Courier New"/>
          <w:sz w:val="18"/>
          <w:szCs w:val="18"/>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212"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6.10. Chief Financial Officer.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6.11.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if any, but if there is more than one, the Executive Vice President who is senior in terms of time as such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 in terms of time as a Vice President of the Corporation shall so act. Any Vice President may sign, with the Secretary or Assistant Secretary, certificates for shares of the Corporation. Each Vice President shall perform 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41" w:name="page142"/>
    <w:bookmarkEnd w:id="141"/>
    <w:p>
      <w:pPr>
        <w:ind w:right="1879"/>
        <w:spacing w:after="0" w:line="237" w:lineRule="auto"/>
        <w:rPr>
          <w:sz w:val="20"/>
          <w:szCs w:val="20"/>
          <w:color w:val="auto"/>
        </w:rPr>
      </w:pPr>
      <w:r>
        <w:rPr>
          <w:rFonts w:ascii="Courier New" w:cs="Courier New" w:eastAsia="Courier New" w:hAnsi="Courier New"/>
          <w:sz w:val="18"/>
          <w:szCs w:val="18"/>
          <w:color w:val="auto"/>
        </w:rPr>
        <w:t>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6.12. General Counsel.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211"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6.13.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Chief Executive Officer, the President, or any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210"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6.14. Chief Accounting Officer. The Chief Accounting Offficer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39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6.15. Treasurer.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officer of treasurer of a</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42" w:name="page143"/>
    <w:bookmarkEnd w:id="142"/>
    <w:p>
      <w:pPr>
        <w:ind w:right="2619"/>
        <w:spacing w:after="0" w:line="279" w:lineRule="auto"/>
        <w:rPr>
          <w:sz w:val="20"/>
          <w:szCs w:val="20"/>
          <w:color w:val="auto"/>
        </w:rPr>
      </w:pPr>
      <w:r>
        <w:rPr>
          <w:rFonts w:ascii="Courier New" w:cs="Courier New" w:eastAsia="Courier New" w:hAnsi="Courier New"/>
          <w:sz w:val="16"/>
          <w:szCs w:val="16"/>
          <w:color w:val="auto"/>
        </w:rPr>
        <w:t>corporation and such other duties as may be assigned to him directly or indirectly by the Board of Directors, the Chief Executive Officer, the President, or the Chief Financial Officer, or as may be provided by law.</w:t>
      </w:r>
    </w:p>
    <w:p>
      <w:pPr>
        <w:spacing w:after="0" w:line="178"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6.16.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(if any). The Assistant 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Chief Executive Officer,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CONTRACTS, CHECKS AND DEPOSITS</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SECTION 7.1. Contracts.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39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43" w:name="page144"/>
    <w:bookmarkEnd w:id="143"/>
    <w:p>
      <w:pPr>
        <w:ind w:right="1779" w:firstLine="1264"/>
        <w:spacing w:after="0" w:line="237" w:lineRule="auto"/>
        <w:rPr>
          <w:sz w:val="20"/>
          <w:szCs w:val="20"/>
          <w:color w:val="auto"/>
        </w:rPr>
      </w:pPr>
      <w:r>
        <w:rPr>
          <w:rFonts w:ascii="Courier New" w:cs="Courier New" w:eastAsia="Courier New" w:hAnsi="Courier New"/>
          <w:sz w:val="18"/>
          <w:szCs w:val="18"/>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212"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CERTIFICATES OF STOCK</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SECTION 8.1. Issuance. The shares of the Corporation shall be represented by certificates or shall be uncertificated shares evidenced by a book-entry system maintained by the registrar of such stock, or a combination of both. Every holder of stock represented by certificates and upon request every holder of uncertificated shares shall be entitled to a certificate or certificates showing the number of shares of stock registered in his name on the books of the Corporation.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44" w:name="page145"/>
    <w:bookmarkEnd w:id="144"/>
    <w:p>
      <w:pPr>
        <w:ind w:right="1779" w:firstLine="1264"/>
        <w:spacing w:after="0" w:line="238" w:lineRule="auto"/>
        <w:rPr>
          <w:sz w:val="20"/>
          <w:szCs w:val="20"/>
          <w:color w:val="auto"/>
        </w:rPr>
      </w:pPr>
      <w:r>
        <w:rPr>
          <w:rFonts w:ascii="Courier New" w:cs="Courier New" w:eastAsia="Courier New" w:hAnsi="Courier New"/>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as provided for in these by-laws. Certificates shall not be issued representing fractional shares of stock.</w:t>
      </w:r>
    </w:p>
    <w:p>
      <w:pPr>
        <w:spacing w:after="0" w:line="210"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38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8.3. Transfers.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145" w:name="page146"/>
    <w:bookmarkEnd w:id="145"/>
    <w:p>
      <w:pPr>
        <w:ind w:right="1879"/>
        <w:spacing w:after="0" w:line="275" w:lineRule="auto"/>
        <w:rPr>
          <w:sz w:val="20"/>
          <w:szCs w:val="20"/>
          <w:color w:val="auto"/>
        </w:rPr>
      </w:pPr>
      <w:r>
        <w:rPr>
          <w:rFonts w:ascii="Courier New" w:cs="Courier New" w:eastAsia="Courier New" w:hAnsi="Courier New"/>
          <w:sz w:val="16"/>
          <w:szCs w:val="16"/>
          <w:color w:val="auto"/>
        </w:rPr>
        <w:t>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146" w:name="page147"/>
    <w:bookmarkEnd w:id="146"/>
    <w:p>
      <w:pPr>
        <w:ind w:right="1779"/>
        <w:spacing w:after="0" w:line="238" w:lineRule="auto"/>
        <w:rPr>
          <w:sz w:val="20"/>
          <w:szCs w:val="20"/>
          <w:color w:val="auto"/>
        </w:rPr>
      </w:pPr>
      <w:r>
        <w:rPr>
          <w:rFonts w:ascii="Courier New" w:cs="Courier New" w:eastAsia="Courier New" w:hAnsi="Courier New"/>
          <w:sz w:val="18"/>
          <w:szCs w:val="18"/>
          <w:color w:val="auto"/>
        </w:rPr>
        <w:t>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210"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21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8"/>
          <w:szCs w:val="18"/>
          <w:color w:val="auto"/>
        </w:rPr>
        <w:t>therein, he shall be indemnified against expenses (including attorneys' fees)</w:t>
      </w:r>
    </w:p>
    <w:p>
      <w:pPr>
        <w:spacing w:after="0" w:line="238" w:lineRule="auto"/>
        <w:rPr>
          <w:sz w:val="20"/>
          <w:szCs w:val="20"/>
          <w:color w:val="auto"/>
        </w:rPr>
      </w:pPr>
      <w:r>
        <w:rPr>
          <w:rFonts w:ascii="Courier New" w:cs="Courier New" w:eastAsia="Courier New" w:hAnsi="Courier New"/>
          <w:sz w:val="18"/>
          <w:szCs w:val="18"/>
          <w:color w:val="auto"/>
        </w:rPr>
        <w:t>actually and reasonable incurred by him in connection therewith.</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214"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w:t>
      </w:r>
    </w:p>
    <w:p>
      <w:pPr>
        <w:spacing w:after="0" w:line="207"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8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148" w:name="page149"/>
    <w:bookmarkEnd w:id="148"/>
    <w:p>
      <w:pPr>
        <w:ind w:right="1879"/>
        <w:spacing w:after="0" w:line="236" w:lineRule="auto"/>
        <w:rPr>
          <w:sz w:val="20"/>
          <w:szCs w:val="20"/>
          <w:color w:val="auto"/>
        </w:rPr>
      </w:pPr>
      <w:r>
        <w:rPr>
          <w:rFonts w:ascii="Courier New" w:cs="Courier New" w:eastAsia="Courier New" w:hAnsi="Courier New"/>
          <w:sz w:val="18"/>
          <w:szCs w:val="18"/>
          <w:color w:val="auto"/>
        </w:rPr>
        <w:t>another capacity while holding officer, and shall continue as to a person who has ceased to be a director, officer, employee, or agent and shall inure to the benefit of the heirs, executors, and administrators of such a person.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SECTION 11.3. Fiscal Year. The fiscal year of the Corporation shall be such as established from time to time by the Board of Directors.</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1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AMENDMENT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49" w:name="page150"/>
    <w:bookmarkEnd w:id="149"/>
    <w:p>
      <w:pPr>
        <w:ind w:right="1779" w:firstLine="1264"/>
        <w:spacing w:after="0" w:line="237" w:lineRule="auto"/>
        <w:rPr>
          <w:sz w:val="20"/>
          <w:szCs w:val="20"/>
          <w:color w:val="auto"/>
        </w:rPr>
      </w:pPr>
      <w:r>
        <w:rPr>
          <w:rFonts w:ascii="Courier New" w:cs="Courier New" w:eastAsia="Courier New" w:hAnsi="Courier New"/>
          <w:sz w:val="18"/>
          <w:szCs w:val="18"/>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50" w:name="page151"/>
    <w:bookmarkEnd w:id="150"/>
    <w:p>
      <w:pPr>
        <w:jc w:val="right"/>
        <w:ind w:right="1779"/>
        <w:spacing w:after="0"/>
        <w:rPr>
          <w:sz w:val="20"/>
          <w:szCs w:val="20"/>
          <w:color w:val="auto"/>
        </w:rPr>
      </w:pPr>
      <w:r>
        <w:rPr>
          <w:rFonts w:ascii="Courier New" w:cs="Courier New" w:eastAsia="Courier New" w:hAnsi="Courier New"/>
          <w:sz w:val="18"/>
          <w:szCs w:val="18"/>
          <w:color w:val="auto"/>
        </w:rPr>
        <w:t>EXHIBIT 10.10</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RESTRICTED STOCK UNIT AWARD AGREEMENT</w:t>
      </w:r>
    </w:p>
    <w:p>
      <w:pPr>
        <w:spacing w:after="0" w:line="207"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This Restricted Stock Unit Award Agreement ("Agreement") is entered into effective as of ________________ (the "Grant Date"), by and between Waste</w:t>
      </w:r>
    </w:p>
    <w:p>
      <w:pPr>
        <w:ind w:right="2199"/>
        <w:spacing w:after="0" w:line="268" w:lineRule="auto"/>
        <w:rPr>
          <w:sz w:val="20"/>
          <w:szCs w:val="20"/>
          <w:color w:val="auto"/>
        </w:rPr>
      </w:pPr>
      <w:r>
        <w:rPr>
          <w:rFonts w:ascii="Courier New" w:cs="Courier New" w:eastAsia="Courier New" w:hAnsi="Courier New"/>
          <w:sz w:val="16"/>
          <w:szCs w:val="16"/>
          <w:color w:val="auto"/>
        </w:rPr>
        <w:t>Management, Inc., a Delaware corporation (together with its Subsidiaries and Affiliates, the "Company"), and ________________________ (the "Employee"),</w:t>
      </w:r>
    </w:p>
    <w:p>
      <w:pPr>
        <w:ind w:right="1999"/>
        <w:spacing w:after="0" w:line="237" w:lineRule="auto"/>
        <w:rPr>
          <w:sz w:val="20"/>
          <w:szCs w:val="20"/>
          <w:color w:val="auto"/>
        </w:rPr>
      </w:pPr>
      <w:r>
        <w:rPr>
          <w:rFonts w:ascii="Courier New" w:cs="Courier New" w:eastAsia="Courier New" w:hAnsi="Courier New"/>
          <w:sz w:val="18"/>
          <w:szCs w:val="18"/>
          <w:color w:val="auto"/>
        </w:rPr>
        <w:t>pursuant to the Waste Management, Inc. 2004 Stock Incentive Plan (the "Plan"). Employee and the Company agree to execute such further instruments and to take such further action as may reasonably be necessary to carry out the intent of this Agreement.</w:t>
      </w:r>
    </w:p>
    <w:p>
      <w:pPr>
        <w:spacing w:after="0" w:line="202" w:lineRule="exact"/>
        <w:rPr>
          <w:sz w:val="20"/>
          <w:szCs w:val="20"/>
          <w:color w:val="auto"/>
        </w:rPr>
      </w:pPr>
    </w:p>
    <w:p>
      <w:pPr>
        <w:ind w:left="1280" w:hanging="640"/>
        <w:spacing w:after="0"/>
        <w:tabs>
          <w:tab w:leader="none" w:pos="12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The Company hereby grants to Employee ___________________</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Units". Restricted Stock Units are notational units of measurement denominated in shares of common stock of Waste Management, Inc., $.01 par value ("Common Stock"). Each Restricted Stock Unit represents a hypothetical share of Common Stock, subject to the conditions and restrictions on transferability set forth below and in the Plan. The Restricted Stock Units will be credited to Employee in an unfunded bookkeeping account established for Employee.</w:t>
      </w:r>
    </w:p>
    <w:p>
      <w:pPr>
        <w:spacing w:after="0" w:line="211" w:lineRule="exact"/>
        <w:rPr>
          <w:rFonts w:ascii="Courier New" w:cs="Courier New" w:eastAsia="Courier New" w:hAnsi="Courier New"/>
          <w:sz w:val="18"/>
          <w:szCs w:val="18"/>
          <w:color w:val="auto"/>
        </w:rPr>
      </w:pPr>
    </w:p>
    <w:p>
      <w:pPr>
        <w:ind w:right="2099" w:firstLine="640"/>
        <w:spacing w:after="0" w:line="279" w:lineRule="auto"/>
        <w:tabs>
          <w:tab w:leader="none" w:pos="126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of Restricted Stock Units. The period of time between the Grant Date and the vesting of Restricted Stock Units (and the termination of restriction thereon) will be referred to herein as the "Restricted Period."</w:t>
      </w:r>
    </w:p>
    <w:p>
      <w:pPr>
        <w:spacing w:after="0" w:line="178" w:lineRule="exact"/>
        <w:rPr>
          <w:rFonts w:ascii="Courier New" w:cs="Courier New" w:eastAsia="Courier New" w:hAnsi="Courier New"/>
          <w:sz w:val="16"/>
          <w:szCs w:val="16"/>
          <w:color w:val="auto"/>
        </w:rPr>
      </w:pPr>
    </w:p>
    <w:p>
      <w:pPr>
        <w:ind w:left="640" w:right="1779" w:firstLine="632"/>
        <w:spacing w:after="0" w:line="237" w:lineRule="auto"/>
        <w:tabs>
          <w:tab w:leader="none" w:pos="1904"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Schedule. For a period of four (4) years commencing on the Grant Date, the Restricted Stock Units will be subject to the restrictions as set forth herein; provided, however, that, unless earlier vested or forfeited pursuant to this Agreement, the restrictions will lapse on certain anniversary dates of the Grant Date on a number of units during the Restricted Period as determined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8"/>
                <w:szCs w:val="18"/>
                <w:color w:val="auto"/>
              </w:rPr>
              <w:t>PERCENTAGE OF UNITS GRANTED ON THE</w:t>
            </w:r>
          </w:p>
        </w:tc>
      </w:tr>
      <w:tr>
        <w:trPr>
          <w:trHeight w:val="203"/>
        </w:trPr>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1940" w:type="dxa"/>
            <w:vAlign w:val="bottom"/>
          </w:tcPr>
          <w:p>
            <w:pPr>
              <w:spacing w:after="0"/>
              <w:rPr>
                <w:sz w:val="17"/>
                <w:szCs w:val="17"/>
                <w:color w:val="auto"/>
              </w:rPr>
            </w:pPr>
          </w:p>
        </w:tc>
        <w:tc>
          <w:tcPr>
            <w:tcW w:w="4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GRANT DATE TO BE VESTED</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4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First anniversary of Grant Date</w:t>
            </w:r>
          </w:p>
        </w:tc>
        <w:tc>
          <w:tcPr>
            <w:tcW w:w="412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25%</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Second anniversary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Grant Date</w:t>
            </w:r>
          </w:p>
        </w:tc>
        <w:tc>
          <w:tcPr>
            <w:tcW w:w="41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Third anniversary of Grant Date</w:t>
            </w:r>
          </w:p>
        </w:tc>
        <w:tc>
          <w:tcPr>
            <w:tcW w:w="41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Fourth anniversary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Grant Date</w:t>
            </w:r>
          </w:p>
        </w:tc>
        <w:tc>
          <w:tcPr>
            <w:tcW w:w="41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200" w:lineRule="exact"/>
        <w:rPr>
          <w:sz w:val="20"/>
          <w:szCs w:val="20"/>
          <w:color w:val="auto"/>
        </w:rPr>
      </w:pPr>
    </w:p>
    <w:p>
      <w:pPr>
        <w:spacing w:after="0" w:line="209"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When applying this schedule, any fractional units shall be rounded up to the next whole unit, but in the aggregate may not exceed the total number of Restricted Stock Units granted on the Grant Date. Unless timely deferred by Employee in accordance with Section 5, upon vesting, each Restricted Stock Unit will be converted into one share of Company Common Stock and Employee will be issued shares of Common Stock equal to the number of Restricted Stock Units held, free of any restrictions.</w:t>
      </w:r>
    </w:p>
    <w:p>
      <w:pPr>
        <w:spacing w:after="0" w:line="211" w:lineRule="exact"/>
        <w:rPr>
          <w:sz w:val="20"/>
          <w:szCs w:val="20"/>
          <w:color w:val="auto"/>
        </w:rPr>
      </w:pPr>
    </w:p>
    <w:p>
      <w:pPr>
        <w:ind w:left="640" w:right="1879" w:firstLine="632"/>
        <w:spacing w:after="0" w:line="237" w:lineRule="auto"/>
        <w:tabs>
          <w:tab w:leader="none" w:pos="169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in Event of Retirement. Upon Termination of Employment from the Company by reason of retirement (as determined by the Committee, as defined in Section 16 below), Restricted Stock Units subject to this Agreement will continue to vest pursuant to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151" w:name="page152"/>
    <w:bookmarkEnd w:id="151"/>
    <w:p>
      <w:pPr>
        <w:ind w:right="1779"/>
        <w:spacing w:after="0" w:line="237" w:lineRule="auto"/>
        <w:rPr>
          <w:sz w:val="20"/>
          <w:szCs w:val="20"/>
          <w:color w:val="auto"/>
        </w:rPr>
      </w:pPr>
      <w:r>
        <w:rPr>
          <w:rFonts w:ascii="Courier New" w:cs="Courier New" w:eastAsia="Courier New" w:hAnsi="Courier New"/>
          <w:sz w:val="18"/>
          <w:szCs w:val="18"/>
          <w:color w:val="auto"/>
        </w:rPr>
        <w:t>schedule set forth in Subsection 3(a) for the 36-month period commencing on the date of such termination; provided, however, that if Employee is determined by the Company to have violated any post-termination obligations to the Company (including, but not limited to, non-competition, non-solicitation or non-disparagement obligations under Employee's employment agreement, if any), then Employee shall immediately forfeit all Restricted Stock Units that remain unvested on the date such violation is discovered by the Company. Employee shall immediately forfeit all Restricted Stock Units that remain unvested on the date on which such 36-month period expires.</w:t>
      </w:r>
    </w:p>
    <w:p>
      <w:pPr>
        <w:spacing w:after="0" w:line="209" w:lineRule="exact"/>
        <w:rPr>
          <w:sz w:val="20"/>
          <w:szCs w:val="20"/>
          <w:color w:val="auto"/>
        </w:rPr>
      </w:pPr>
    </w:p>
    <w:p>
      <w:pPr>
        <w:ind w:left="1260" w:hanging="628"/>
        <w:spacing w:after="0"/>
        <w:tabs>
          <w:tab w:leader="none" w:pos="126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Accelerated Vesting of Restricted Stock Units.</w:t>
      </w:r>
    </w:p>
    <w:p>
      <w:pPr>
        <w:spacing w:after="0" w:line="206" w:lineRule="exact"/>
        <w:rPr>
          <w:rFonts w:ascii="Courier New" w:cs="Courier New" w:eastAsia="Courier New" w:hAnsi="Courier New"/>
          <w:sz w:val="18"/>
          <w:szCs w:val="18"/>
          <w:color w:val="auto"/>
        </w:rPr>
      </w:pPr>
    </w:p>
    <w:p>
      <w:pPr>
        <w:ind w:left="640" w:right="1779" w:firstLine="624"/>
        <w:spacing w:after="0" w:line="237" w:lineRule="auto"/>
        <w:tabs>
          <w:tab w:leader="none" w:pos="1904"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on Death or Disability. Upon Termination of Employment from the Company by reason of Employee's death or disability (as determined by the Committee), or upon Employee's disability prior to a Termination of Employment (as determined by the Committee and within the meaning of Section 409A of the Internal Revenue Code of 1986, as amended (the "Internal Revenue Code")) all Restricted Stock Units that are not vested at that time immediately will become vested in full.</w:t>
      </w:r>
    </w:p>
    <w:p>
      <w:pPr>
        <w:spacing w:after="0" w:line="212" w:lineRule="exact"/>
        <w:rPr>
          <w:rFonts w:ascii="Courier New" w:cs="Courier New" w:eastAsia="Courier New" w:hAnsi="Courier New"/>
          <w:sz w:val="18"/>
          <w:szCs w:val="18"/>
          <w:color w:val="auto"/>
        </w:rPr>
      </w:pPr>
    </w:p>
    <w:p>
      <w:pPr>
        <w:ind w:left="640" w:right="1779" w:firstLine="624"/>
        <w:spacing w:after="0" w:line="237" w:lineRule="auto"/>
        <w:tabs>
          <w:tab w:leader="none" w:pos="1799"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Pro-rated Vesting upon Involuntary Termination. Upon involuntary Termination of Employment without Cause by the Company, Employee will be entitled to have vested under this award (including the amount of Restricted Stock Units that have already vested at that time) the amount of Restricted Stock Units equivalent to the total Restricted Stock Units granted under this Agreement multiplied by the fraction which has as its numerator the total number of days that the Employee was employed by the Company during the period beginning on the Grant Date, and has as its denominator 1,460 (being four times 365 days).</w:t>
      </w:r>
    </w:p>
    <w:p>
      <w:pPr>
        <w:spacing w:after="0" w:line="214" w:lineRule="exact"/>
        <w:rPr>
          <w:rFonts w:ascii="Courier New" w:cs="Courier New" w:eastAsia="Courier New" w:hAnsi="Courier New"/>
          <w:sz w:val="18"/>
          <w:szCs w:val="18"/>
          <w:color w:val="auto"/>
        </w:rPr>
      </w:pPr>
    </w:p>
    <w:p>
      <w:pPr>
        <w:ind w:left="640" w:right="1879" w:firstLine="624"/>
        <w:spacing w:after="0" w:line="270" w:lineRule="auto"/>
        <w:tabs>
          <w:tab w:leader="none" w:pos="1904"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Acceleration upon Change in Control or Certain Terminations Following Change in Control. If there is a Change in Control of Waste Management, Inc., all outstanding but unvested Restricted Stock Units that are not vested will become immediately vested in full, unless the successor entity assumes all awards granted under the Plan and converts the awards to equivalent grants in the successor effective as of the Change in Control. Provided, however, even if the successor entity so assumes and converts all awards granted under the Plan, if the successor entity terminates Employee's employment during the Window Period without Cause (as each term is defined in Section 16 below), or due to Employee's death or disability, then all outstanding but unvested Restricted Stock Units (or its equivalent grant in the successor entity) will become immediately vested in full as of such termination.</w:t>
      </w:r>
    </w:p>
    <w:p>
      <w:pPr>
        <w:spacing w:after="0" w:line="387" w:lineRule="exact"/>
        <w:rPr>
          <w:rFonts w:ascii="Courier New" w:cs="Courier New" w:eastAsia="Courier New" w:hAnsi="Courier New"/>
          <w:sz w:val="16"/>
          <w:szCs w:val="16"/>
          <w:color w:val="auto"/>
        </w:rPr>
      </w:pPr>
    </w:p>
    <w:p>
      <w:pPr>
        <w:ind w:left="-640" w:right="1779" w:firstLine="640"/>
        <w:spacing w:after="0" w:line="273" w:lineRule="auto"/>
        <w:tabs>
          <w:tab w:leader="none" w:pos="62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Forfeitures of Restricted Stock Units. Upon Termination of Employment from the Company for any reason other than as described in Section 2, Employee shall immediately forfeit all unvested Restricted Stock Units, without the payment of any consideration or further consideration by the Company. Upon forfeiture, neither Employee nor any successors, heirs, assigns, or legal</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722" w:right="1440" w:bottom="1440" w:gutter="0" w:footer="0" w:header="0"/>
        </w:sectPr>
      </w:pPr>
    </w:p>
    <w:bookmarkStart w:id="152" w:name="page153"/>
    <w:bookmarkEnd w:id="152"/>
    <w:p>
      <w:pPr>
        <w:ind w:right="1779"/>
        <w:spacing w:after="0" w:line="235" w:lineRule="auto"/>
        <w:rPr>
          <w:sz w:val="20"/>
          <w:szCs w:val="20"/>
          <w:color w:val="auto"/>
        </w:rPr>
      </w:pPr>
      <w:r>
        <w:rPr>
          <w:rFonts w:ascii="Courier New" w:cs="Courier New" w:eastAsia="Courier New" w:hAnsi="Courier New"/>
          <w:sz w:val="18"/>
          <w:szCs w:val="18"/>
          <w:color w:val="auto"/>
        </w:rPr>
        <w:t>representatives of Employee shall thereafter have any further rights or interest in the unvested Restricted Stock Units or certificates therefor.</w:t>
      </w:r>
    </w:p>
    <w:p>
      <w:pPr>
        <w:spacing w:after="0" w:line="203" w:lineRule="exact"/>
        <w:rPr>
          <w:sz w:val="20"/>
          <w:szCs w:val="20"/>
          <w:color w:val="auto"/>
        </w:rPr>
      </w:pPr>
    </w:p>
    <w:p>
      <w:pPr>
        <w:ind w:left="1280" w:hanging="640"/>
        <w:spacing w:after="0"/>
        <w:tabs>
          <w:tab w:leader="none" w:pos="12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Before Vesting.</w:t>
      </w:r>
    </w:p>
    <w:p>
      <w:pPr>
        <w:spacing w:after="0" w:line="206" w:lineRule="exact"/>
        <w:rPr>
          <w:rFonts w:ascii="Courier New" w:cs="Courier New" w:eastAsia="Courier New" w:hAnsi="Courier New"/>
          <w:sz w:val="18"/>
          <w:szCs w:val="18"/>
          <w:color w:val="auto"/>
        </w:rPr>
      </w:pPr>
    </w:p>
    <w:p>
      <w:pPr>
        <w:ind w:left="640" w:right="1779" w:firstLine="632"/>
        <w:spacing w:after="0" w:line="273" w:lineRule="auto"/>
        <w:tabs>
          <w:tab w:leader="none" w:pos="1904"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Absent prior written consent of the Committee, the Restricted Stock Units granted hereunder to Employee may not be sold, assigned, transferred, pledged or otherwise encumbered, whether voluntarily or involuntarily, by operation of law or otherwise, from the Grant Date until such shares have become vested and not subject to deferral.</w:t>
      </w:r>
    </w:p>
    <w:p>
      <w:pPr>
        <w:spacing w:after="0" w:line="184" w:lineRule="exact"/>
        <w:rPr>
          <w:rFonts w:ascii="Courier New" w:cs="Courier New" w:eastAsia="Courier New" w:hAnsi="Courier New"/>
          <w:sz w:val="16"/>
          <w:szCs w:val="16"/>
          <w:color w:val="auto"/>
        </w:rPr>
      </w:pPr>
    </w:p>
    <w:p>
      <w:pPr>
        <w:ind w:left="640" w:right="1779" w:firstLine="632"/>
        <w:spacing w:after="0" w:line="238" w:lineRule="auto"/>
        <w:tabs>
          <w:tab w:leader="none" w:pos="1904"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or her Beneficiary hereunder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Deferrals Prior to Vesting.</w:t>
      </w:r>
    </w:p>
    <w:p>
      <w:pPr>
        <w:spacing w:after="0" w:line="206" w:lineRule="exact"/>
        <w:rPr>
          <w:rFonts w:ascii="Courier New" w:cs="Courier New" w:eastAsia="Courier New" w:hAnsi="Courier New"/>
          <w:sz w:val="18"/>
          <w:szCs w:val="18"/>
          <w:color w:val="auto"/>
        </w:rPr>
      </w:pPr>
    </w:p>
    <w:p>
      <w:pPr>
        <w:ind w:left="640" w:right="1879" w:firstLine="632"/>
        <w:spacing w:after="0" w:line="270" w:lineRule="auto"/>
        <w:tabs>
          <w:tab w:leader="none" w:pos="1693"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establish procedures pursuant to which Employee may elect to defer, until a time or times later than the vesting of a Restricted Stock Unit, receipt of all or a portion of the shares of Common Stock deliverable in respect of a Restricted Stock Unit, all on such terms and conditions as Company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w:t>
      </w:r>
    </w:p>
    <w:p>
      <w:pPr>
        <w:spacing w:after="0" w:line="391" w:lineRule="exact"/>
        <w:rPr>
          <w:rFonts w:ascii="Courier New" w:cs="Courier New" w:eastAsia="Courier New" w:hAnsi="Courier New"/>
          <w:sz w:val="16"/>
          <w:szCs w:val="16"/>
          <w:color w:val="auto"/>
        </w:rPr>
      </w:pPr>
    </w:p>
    <w:p>
      <w:pPr>
        <w:ind w:left="640" w:right="1779" w:firstLine="632"/>
        <w:spacing w:after="0" w:line="237" w:lineRule="auto"/>
        <w:tabs>
          <w:tab w:leader="none" w:pos="1693"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in this Agreement, if deferral of Restricted Stock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and the Company further hereby agree to execute such further instruments and take such further action as reasonably may be necessary to comply with Section 409A of the Internal Revenue Code.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153" w:name="page154"/>
    <w:bookmarkEnd w:id="153"/>
    <w:p>
      <w:pPr>
        <w:ind w:left="-640" w:right="1779" w:firstLine="640"/>
        <w:spacing w:after="0" w:line="237" w:lineRule="auto"/>
        <w:tabs>
          <w:tab w:leader="none" w:pos="624"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Employee will have no rights as a stockholder with regard to the Restricted Stock Units prior to vesting. However, the Company will pay Dividend Equivalents on unvested Restricted Stock Units, in the form of cash at such time as dividends are paid on the Company's outstanding shares of Common Stock; provided that, for Restricted Stock Units that are subject to a deferral election of Employee pursuant to Section 5, the Company will pay Dividend Equivalents in the form of cash or additional Restricted Stock Units, at Employee's election, at such time as dividends are paid on the Company's outstanding shares of Common Stock.</w:t>
      </w:r>
    </w:p>
    <w:p>
      <w:pPr>
        <w:spacing w:after="0" w:line="213" w:lineRule="exact"/>
        <w:rPr>
          <w:rFonts w:ascii="Courier New" w:cs="Courier New" w:eastAsia="Courier New" w:hAnsi="Courier New"/>
          <w:sz w:val="18"/>
          <w:szCs w:val="18"/>
          <w:color w:val="auto"/>
        </w:rPr>
      </w:pPr>
    </w:p>
    <w:p>
      <w:pPr>
        <w:ind w:left="-640" w:right="1779" w:firstLine="640"/>
        <w:spacing w:after="0" w:line="270" w:lineRule="auto"/>
        <w:tabs>
          <w:tab w:leader="none" w:pos="62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To the extent that the vesting or receipt of the Restricted Stock Units or the lapse of any restrictions results in income to Employee for federal or state tax purposes, Employee shall deliver to the Company at the time of such receipt or lapse, as the case may be, such amount of money or shares of Common Stock received upon vesting of Restricted Stock Units or other shares of Common Stock owned by employee, at Employee's election, as the Company may require to meet its obligation under applicable tax laws or regulations, and, if Employee fails to do so, the Company is authorized to withhold from the shares of Common Stock deliverable as a result of the vesting of the Restricted Stock Units or from any cash or other form of remuneration then or thereafter payable to Employee an amount equivalent to any tax required to be withheld by reasons of such resulting compensation income.</w:t>
      </w:r>
    </w:p>
    <w:p>
      <w:pPr>
        <w:spacing w:after="0" w:line="390" w:lineRule="exact"/>
        <w:rPr>
          <w:rFonts w:ascii="Courier New" w:cs="Courier New" w:eastAsia="Courier New" w:hAnsi="Courier New"/>
          <w:sz w:val="16"/>
          <w:szCs w:val="16"/>
          <w:color w:val="auto"/>
        </w:rPr>
      </w:pPr>
    </w:p>
    <w:p>
      <w:pPr>
        <w:ind w:left="-640" w:right="1879" w:firstLine="640"/>
        <w:spacing w:after="0" w:line="237" w:lineRule="auto"/>
        <w:tabs>
          <w:tab w:leader="none" w:pos="624"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 Structure. If the outstanding shares of Common Stock or other securities of Waste Management, Inc., or both, shall at any time be changed or exchanged by declaration of a stock dividend, stock split, combination of shares, or recapitalization, the number and kind of Restricted Stock Units shall be appropriately and equitably adjusted so as to maintain the proportionate number of shares.</w:t>
      </w:r>
    </w:p>
    <w:p>
      <w:pPr>
        <w:spacing w:after="0" w:line="209" w:lineRule="exact"/>
        <w:rPr>
          <w:rFonts w:ascii="Courier New" w:cs="Courier New" w:eastAsia="Courier New" w:hAnsi="Courier New"/>
          <w:sz w:val="18"/>
          <w:szCs w:val="18"/>
          <w:color w:val="auto"/>
        </w:rPr>
      </w:pPr>
    </w:p>
    <w:p>
      <w:pPr>
        <w:ind w:left="-640" w:right="1779" w:firstLine="640"/>
        <w:spacing w:after="0" w:line="237" w:lineRule="auto"/>
        <w:tabs>
          <w:tab w:leader="none" w:pos="624"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Laws.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213" w:lineRule="exact"/>
        <w:rPr>
          <w:rFonts w:ascii="Courier New" w:cs="Courier New" w:eastAsia="Courier New" w:hAnsi="Courier New"/>
          <w:sz w:val="18"/>
          <w:szCs w:val="18"/>
          <w:color w:val="auto"/>
        </w:rPr>
      </w:pPr>
    </w:p>
    <w:p>
      <w:pPr>
        <w:ind w:left="-640" w:right="1779" w:firstLine="640"/>
        <w:spacing w:after="0" w:line="270" w:lineRule="auto"/>
        <w:tabs>
          <w:tab w:leader="none" w:pos="62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The Restricted Stock Units are not transferable (either voluntarily or involuntarily), other than pursuant to a domestic relations order. Employee may designate a beneficiary or beneficiaries (the "Beneficiary") to whom the Restricted Stock Units will pass upon Employee's death and may change such designation from time to time by filing a written designation of Beneficiary on the form attached hereto as Exhibit A, or such other form as may be prescribed by the Committee; provided that no such designation shall be effective until filed with the Company. Employee may change his or her Beneficiary without the consent of any prior Beneficiary by filing a new designation with the Company; provided that no such designation shall be effective prior to receipt by the Company. Following Employee's death, the Restricted Stock Units will pass to the designated Beneficiary and such person will be deemed Employee for purposes of any applicable provisions of this Agreement. If no such designation is made or if the designated Beneficiary does</w:t>
      </w: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3" w:right="1440" w:bottom="1440" w:gutter="0" w:footer="0" w:header="0"/>
        </w:sectPr>
      </w:pPr>
    </w:p>
    <w:bookmarkStart w:id="154" w:name="page155"/>
    <w:bookmarkEnd w:id="154"/>
    <w:p>
      <w:pPr>
        <w:ind w:right="1879"/>
        <w:spacing w:after="0" w:line="235" w:lineRule="auto"/>
        <w:rPr>
          <w:sz w:val="20"/>
          <w:szCs w:val="20"/>
          <w:color w:val="auto"/>
        </w:rPr>
      </w:pPr>
      <w:r>
        <w:rPr>
          <w:rFonts w:ascii="Courier New" w:cs="Courier New" w:eastAsia="Courier New" w:hAnsi="Courier New"/>
          <w:sz w:val="18"/>
          <w:szCs w:val="18"/>
          <w:color w:val="auto"/>
        </w:rPr>
        <w:t>not survive Employee's death, the Restricted Stock Units shall pass by will or, if none, then by the laws of descent and distribution.</w:t>
      </w:r>
    </w:p>
    <w:p>
      <w:pPr>
        <w:spacing w:after="0" w:line="203" w:lineRule="exact"/>
        <w:rPr>
          <w:sz w:val="20"/>
          <w:szCs w:val="20"/>
          <w:color w:val="auto"/>
        </w:rPr>
      </w:pPr>
    </w:p>
    <w:p>
      <w:pPr>
        <w:ind w:left="1280" w:hanging="640"/>
        <w:spacing w:after="0"/>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w:t>
      </w:r>
    </w:p>
    <w:p>
      <w:pPr>
        <w:spacing w:after="0" w:line="206" w:lineRule="exact"/>
        <w:rPr>
          <w:rFonts w:ascii="Courier New" w:cs="Courier New" w:eastAsia="Courier New" w:hAnsi="Courier New"/>
          <w:sz w:val="18"/>
          <w:szCs w:val="18"/>
          <w:color w:val="auto"/>
        </w:rPr>
      </w:pPr>
    </w:p>
    <w:p>
      <w:pPr>
        <w:ind w:left="640" w:right="1999" w:firstLine="632"/>
        <w:spacing w:after="0" w:line="237" w:lineRule="auto"/>
        <w:tabs>
          <w:tab w:leader="none" w:pos="169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209" w:lineRule="exact"/>
        <w:rPr>
          <w:rFonts w:ascii="Courier New" w:cs="Courier New" w:eastAsia="Courier New" w:hAnsi="Courier New"/>
          <w:sz w:val="18"/>
          <w:szCs w:val="18"/>
          <w:color w:val="auto"/>
        </w:rPr>
      </w:pPr>
    </w:p>
    <w:p>
      <w:pPr>
        <w:ind w:left="640" w:right="2419" w:firstLine="632"/>
        <w:spacing w:after="0" w:line="268" w:lineRule="auto"/>
        <w:tabs>
          <w:tab w:leader="none" w:pos="1693"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require any successor (whether direct or indirect, by purchase, merger, consolidation or otherwise) to all or substantially all of the business and/or assets of the Company that assumes all Awards granted under the Plan as contemplated by Section</w:t>
      </w:r>
    </w:p>
    <w:p>
      <w:pPr>
        <w:jc w:val="both"/>
        <w:ind w:left="64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2(c)(iii) to assume expressly and agree to perform this Agreement in the same manner and to the same extent that the Company would be required to perform it if no such succession had taken place, subject to the vesting rights under Section 2(c)(iii).</w:t>
      </w:r>
    </w:p>
    <w:p>
      <w:pPr>
        <w:spacing w:after="0" w:line="207" w:lineRule="exact"/>
        <w:rPr>
          <w:rFonts w:ascii="Courier New" w:cs="Courier New" w:eastAsia="Courier New" w:hAnsi="Courier New"/>
          <w:sz w:val="16"/>
          <w:szCs w:val="16"/>
          <w:color w:val="auto"/>
        </w:rPr>
      </w:pPr>
    </w:p>
    <w:p>
      <w:pPr>
        <w:ind w:right="1999" w:firstLine="640"/>
        <w:spacing w:after="0" w:line="235" w:lineRule="auto"/>
        <w:tabs>
          <w:tab w:leader="none" w:pos="126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Rights. Nothing in this Agreement or the Plan may be construed to:</w:t>
      </w:r>
    </w:p>
    <w:p>
      <w:pPr>
        <w:spacing w:after="0" w:line="208" w:lineRule="exact"/>
        <w:rPr>
          <w:rFonts w:ascii="Courier New" w:cs="Courier New" w:eastAsia="Courier New" w:hAnsi="Courier New"/>
          <w:sz w:val="18"/>
          <w:szCs w:val="18"/>
          <w:color w:val="auto"/>
        </w:rPr>
      </w:pPr>
    </w:p>
    <w:p>
      <w:pPr>
        <w:ind w:left="640" w:right="1999" w:firstLine="632"/>
        <w:spacing w:after="0" w:line="236" w:lineRule="auto"/>
        <w:tabs>
          <w:tab w:leader="none" w:pos="1904"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Employee any right to be awarded any further Restricted Stock Units (or other form of stock incentive awards) other than in the sole discretion of the Committee;</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904"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Employee or any other person any interest in any fund or in any specified asset or assets of the Company (other than the Restricted Stock Units and applicable Common Stock following the vesting of such Restricted Stock Units); or</w:t>
      </w:r>
    </w:p>
    <w:p>
      <w:pPr>
        <w:spacing w:after="0" w:line="207" w:lineRule="exact"/>
        <w:rPr>
          <w:rFonts w:ascii="Courier New" w:cs="Courier New" w:eastAsia="Courier New" w:hAnsi="Courier New"/>
          <w:sz w:val="18"/>
          <w:szCs w:val="18"/>
          <w:color w:val="auto"/>
        </w:rPr>
      </w:pPr>
    </w:p>
    <w:p>
      <w:pPr>
        <w:ind w:left="640" w:right="1999" w:firstLine="632"/>
        <w:spacing w:after="0" w:line="235" w:lineRule="auto"/>
        <w:tabs>
          <w:tab w:leader="none" w:pos="1904"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confer upon Employee the right to continue in the employment or service of the Company.</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26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internal laws of the State of Texas, without reference to principles of conflict of laws.</w:t>
      </w:r>
    </w:p>
    <w:p>
      <w:pPr>
        <w:spacing w:after="0" w:line="208" w:lineRule="exact"/>
        <w:rPr>
          <w:rFonts w:ascii="Courier New" w:cs="Courier New" w:eastAsia="Courier New" w:hAnsi="Courier New"/>
          <w:sz w:val="18"/>
          <w:szCs w:val="18"/>
          <w:color w:val="auto"/>
        </w:rPr>
      </w:pPr>
    </w:p>
    <w:p>
      <w:pPr>
        <w:ind w:right="1779" w:firstLine="640"/>
        <w:spacing w:after="0" w:line="236" w:lineRule="auto"/>
        <w:tabs>
          <w:tab w:leader="none" w:pos="126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The invalidity or unenforceability of any provision of this Agreement shall not affect the validity or enforceability of any other provision of this Agreement.</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26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in this Agreement and not otherwise defined herein shall have the meanings set forth in the Plan. Certain other terms used herein have definitions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55" w:name="page156"/>
    <w:bookmarkEnd w:id="155"/>
    <w:p>
      <w:pPr>
        <w:ind w:right="2519"/>
        <w:spacing w:after="0" w:line="290" w:lineRule="auto"/>
        <w:rPr>
          <w:sz w:val="20"/>
          <w:szCs w:val="20"/>
          <w:color w:val="auto"/>
        </w:rPr>
      </w:pPr>
      <w:r>
        <w:rPr>
          <w:rFonts w:ascii="Courier New" w:cs="Courier New" w:eastAsia="Courier New" w:hAnsi="Courier New"/>
          <w:sz w:val="16"/>
          <w:szCs w:val="16"/>
          <w:color w:val="auto"/>
        </w:rPr>
        <w:t>given to them in the first place in which they are used. In addition, the following terms shall have the meanings set forth in this Section 16.</w:t>
      </w:r>
    </w:p>
    <w:p>
      <w:pPr>
        <w:spacing w:after="0" w:line="170" w:lineRule="exact"/>
        <w:rPr>
          <w:sz w:val="20"/>
          <w:szCs w:val="20"/>
          <w:color w:val="auto"/>
        </w:rPr>
      </w:pPr>
    </w:p>
    <w:p>
      <w:pPr>
        <w:ind w:left="1900" w:hanging="628"/>
        <w:spacing w:after="0"/>
        <w:tabs>
          <w:tab w:leader="none" w:pos="19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Waste Management, Inc.</w:t>
      </w:r>
    </w:p>
    <w:p>
      <w:pPr>
        <w:spacing w:after="0" w:line="223" w:lineRule="exact"/>
        <w:rPr>
          <w:rFonts w:ascii="Courier New" w:cs="Courier New" w:eastAsia="Courier New" w:hAnsi="Courier New"/>
          <w:sz w:val="16"/>
          <w:szCs w:val="16"/>
          <w:color w:val="auto"/>
        </w:rPr>
      </w:pPr>
    </w:p>
    <w:p>
      <w:pPr>
        <w:ind w:left="640" w:right="1779" w:firstLine="632"/>
        <w:spacing w:after="0" w:line="238" w:lineRule="auto"/>
        <w:tabs>
          <w:tab w:leader="none" w:pos="1904"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nolo contendre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208" w:lineRule="exact"/>
        <w:rPr>
          <w:rFonts w:ascii="Courier New" w:cs="Courier New" w:eastAsia="Courier New" w:hAnsi="Courier New"/>
          <w:sz w:val="18"/>
          <w:szCs w:val="18"/>
          <w:color w:val="auto"/>
        </w:rPr>
      </w:pPr>
    </w:p>
    <w:p>
      <w:pPr>
        <w:ind w:left="640" w:right="1999" w:firstLine="632"/>
        <w:spacing w:after="0" w:line="235" w:lineRule="auto"/>
        <w:tabs>
          <w:tab w:leader="none" w:pos="1904"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first to occur on or after the Grant Date of any of the following events:</w:t>
      </w:r>
    </w:p>
    <w:p>
      <w:pPr>
        <w:spacing w:after="0" w:line="208" w:lineRule="exact"/>
        <w:rPr>
          <w:rFonts w:ascii="Courier New" w:cs="Courier New" w:eastAsia="Courier New" w:hAnsi="Courier New"/>
          <w:sz w:val="18"/>
          <w:szCs w:val="18"/>
          <w:color w:val="auto"/>
        </w:rPr>
      </w:pPr>
    </w:p>
    <w:p>
      <w:pPr>
        <w:ind w:left="1280" w:right="1779" w:firstLine="624"/>
        <w:spacing w:after="0" w:line="237" w:lineRule="auto"/>
        <w:tabs>
          <w:tab w:leader="none" w:pos="2544"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207" w:lineRule="exact"/>
        <w:rPr>
          <w:rFonts w:ascii="Courier New" w:cs="Courier New" w:eastAsia="Courier New" w:hAnsi="Courier New"/>
          <w:sz w:val="18"/>
          <w:szCs w:val="18"/>
          <w:color w:val="auto"/>
        </w:rPr>
      </w:pPr>
    </w:p>
    <w:p>
      <w:pPr>
        <w:ind w:left="1280" w:right="1779" w:firstLine="624"/>
        <w:spacing w:after="0" w:line="238" w:lineRule="auto"/>
        <w:tabs>
          <w:tab w:leader="none" w:pos="2544"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individuals cease for any reason to constitute a majority of the number of directors then serving: individuals who, on the Grant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(2/3rds) of the directors then still in office who either were directors on the Grant Date or whose appointment, election or nomination for election was previously so approved or recommended (the "Incumbent Board");</w:t>
      </w:r>
    </w:p>
    <w:p>
      <w:pPr>
        <w:spacing w:after="0" w:line="207" w:lineRule="exact"/>
        <w:rPr>
          <w:rFonts w:ascii="Courier New" w:cs="Courier New" w:eastAsia="Courier New" w:hAnsi="Courier New"/>
          <w:sz w:val="18"/>
          <w:szCs w:val="18"/>
          <w:color w:val="auto"/>
        </w:rPr>
      </w:pPr>
    </w:p>
    <w:p>
      <w:pPr>
        <w:ind w:left="1280" w:right="1879" w:firstLine="624"/>
        <w:spacing w:after="0" w:line="237" w:lineRule="auto"/>
        <w:tabs>
          <w:tab w:leader="none" w:pos="2544"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156" w:name="page157"/>
    <w:bookmarkEnd w:id="156"/>
    <w:p>
      <w:pPr>
        <w:jc w:val="both"/>
        <w:ind w:left="640" w:right="2099"/>
        <w:spacing w:after="0" w:line="279" w:lineRule="auto"/>
        <w:rPr>
          <w:sz w:val="20"/>
          <w:szCs w:val="20"/>
          <w:color w:val="auto"/>
        </w:rPr>
      </w:pPr>
      <w:r>
        <w:rPr>
          <w:rFonts w:ascii="Courier New" w:cs="Courier New" w:eastAsia="Courier New" w:hAnsi="Courier New"/>
          <w:sz w:val="16"/>
          <w:szCs w:val="16"/>
          <w:color w:val="auto"/>
        </w:rPr>
        <w:t>similar transaction) in which no Person, directly or indirectly, acquired twenty-five percent (25%) or more of the combined voting power of the Company's then outstanding securities; or</w:t>
      </w:r>
    </w:p>
    <w:p>
      <w:pPr>
        <w:spacing w:after="0" w:line="178" w:lineRule="exact"/>
        <w:rPr>
          <w:sz w:val="20"/>
          <w:szCs w:val="20"/>
          <w:color w:val="auto"/>
        </w:rPr>
      </w:pPr>
    </w:p>
    <w:p>
      <w:pPr>
        <w:ind w:left="640" w:right="1779" w:firstLine="624"/>
        <w:spacing w:after="0" w:line="237" w:lineRule="auto"/>
        <w:tabs>
          <w:tab w:leader="none" w:pos="1904"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215" w:lineRule="exact"/>
        <w:rPr>
          <w:sz w:val="20"/>
          <w:szCs w:val="20"/>
          <w:color w:val="auto"/>
        </w:rPr>
      </w:pPr>
    </w:p>
    <w:p>
      <w:pPr>
        <w:ind w:left="640" w:right="2199" w:firstLine="1264"/>
        <w:spacing w:after="0" w:line="235" w:lineRule="auto"/>
        <w:rPr>
          <w:sz w:val="20"/>
          <w:szCs w:val="20"/>
          <w:color w:val="auto"/>
        </w:rPr>
      </w:pPr>
      <w:r>
        <w:rPr>
          <w:rFonts w:ascii="Courier New" w:cs="Courier New" w:eastAsia="Courier New" w:hAnsi="Courier New"/>
          <w:sz w:val="18"/>
          <w:szCs w:val="18"/>
          <w:color w:val="auto"/>
        </w:rPr>
        <w:t>For purposes of this definition, the following terms shall have the following meanings:</w:t>
      </w:r>
    </w:p>
    <w:p>
      <w:pPr>
        <w:spacing w:after="0" w:line="208" w:lineRule="exact"/>
        <w:rPr>
          <w:sz w:val="20"/>
          <w:szCs w:val="20"/>
          <w:color w:val="auto"/>
        </w:rPr>
      </w:pPr>
    </w:p>
    <w:p>
      <w:pPr>
        <w:ind w:left="1260" w:right="2319" w:firstLine="636"/>
        <w:spacing w:after="0" w:line="235" w:lineRule="auto"/>
        <w:tabs>
          <w:tab w:leader="none" w:pos="2524"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set forth in Rule 13d-3 under the Exchange Act;</w:t>
      </w:r>
    </w:p>
    <w:p>
      <w:pPr>
        <w:spacing w:after="0" w:line="208" w:lineRule="exact"/>
        <w:rPr>
          <w:rFonts w:ascii="Courier New" w:cs="Courier New" w:eastAsia="Courier New" w:hAnsi="Courier New"/>
          <w:sz w:val="18"/>
          <w:szCs w:val="18"/>
          <w:color w:val="auto"/>
        </w:rPr>
      </w:pPr>
    </w:p>
    <w:p>
      <w:pPr>
        <w:ind w:left="1260" w:right="1999" w:firstLine="636"/>
        <w:spacing w:after="0" w:line="235" w:lineRule="auto"/>
        <w:tabs>
          <w:tab w:leader="none" w:pos="2524"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and Exchange Act of 1934, as amended from time to time;</w:t>
      </w:r>
    </w:p>
    <w:p>
      <w:pPr>
        <w:spacing w:after="0" w:line="208" w:lineRule="exact"/>
        <w:rPr>
          <w:rFonts w:ascii="Courier New" w:cs="Courier New" w:eastAsia="Courier New" w:hAnsi="Courier New"/>
          <w:sz w:val="18"/>
          <w:szCs w:val="18"/>
          <w:color w:val="auto"/>
        </w:rPr>
      </w:pPr>
    </w:p>
    <w:p>
      <w:pPr>
        <w:ind w:left="1260" w:right="1879" w:firstLine="636"/>
        <w:spacing w:after="0" w:line="237" w:lineRule="auto"/>
        <w:tabs>
          <w:tab w:leader="none" w:pos="2524"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21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definition of Change in Control will be modified if and to the extent necessary to ensure compliance with the requirements of Section 409A of the Code, and Employee and the Company agree to execute such further instruments and take such further action as reasonably may be necessary to comply with Section 409A of the Code.</w:t>
      </w:r>
    </w:p>
    <w:p>
      <w:pPr>
        <w:spacing w:after="0" w:line="209" w:lineRule="exact"/>
        <w:rPr>
          <w:sz w:val="20"/>
          <w:szCs w:val="20"/>
          <w:color w:val="auto"/>
        </w:rPr>
      </w:pPr>
    </w:p>
    <w:p>
      <w:pPr>
        <w:ind w:right="1879" w:firstLine="632"/>
        <w:spacing w:after="0" w:line="236" w:lineRule="auto"/>
        <w:tabs>
          <w:tab w:leader="none" w:pos="1264"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Committee of the Board or such other committee of the Board as the Board may designate from time to time.</w:t>
      </w:r>
    </w:p>
    <w:p>
      <w:pPr>
        <w:spacing w:after="0" w:line="208" w:lineRule="exact"/>
        <w:rPr>
          <w:rFonts w:ascii="Courier New" w:cs="Courier New" w:eastAsia="Courier New" w:hAnsi="Courier New"/>
          <w:sz w:val="18"/>
          <w:szCs w:val="18"/>
          <w:color w:val="auto"/>
        </w:rPr>
      </w:pPr>
    </w:p>
    <w:p>
      <w:pPr>
        <w:ind w:right="1879" w:firstLine="632"/>
        <w:spacing w:after="0" w:line="237" w:lineRule="auto"/>
        <w:tabs>
          <w:tab w:leader="none" w:pos="1264"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Equivalent" means an amount of cash equal to all dividends and other distributions (or the economic equivalent thereof) that are payable by the Company on one share of Common Stock to stockholders of record, which, in the discretion of the Committee, may be awarded (a) in connection with any Award under the Plan while such Award is</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579"/>
          </w:cols>
          <w:pgMar w:left="880" w:top="723" w:right="1440" w:bottom="1440" w:gutter="0" w:footer="0" w:header="0"/>
        </w:sectPr>
      </w:pPr>
    </w:p>
    <w:bookmarkStart w:id="157" w:name="page158"/>
    <w:bookmarkEnd w:id="157"/>
    <w:p>
      <w:pPr>
        <w:ind w:right="2199"/>
        <w:spacing w:after="0" w:line="290" w:lineRule="auto"/>
        <w:rPr>
          <w:sz w:val="20"/>
          <w:szCs w:val="20"/>
          <w:color w:val="auto"/>
        </w:rPr>
      </w:pPr>
      <w:r>
        <w:rPr>
          <w:rFonts w:ascii="Courier New" w:cs="Courier New" w:eastAsia="Courier New" w:hAnsi="Courier New"/>
          <w:sz w:val="16"/>
          <w:szCs w:val="16"/>
          <w:color w:val="auto"/>
        </w:rPr>
        <w:t>outstanding or otherwise subject to a Restriction Period and on a like number of shares of Common Stock under such Award or (b) singly.</w:t>
      </w:r>
    </w:p>
    <w:p>
      <w:pPr>
        <w:spacing w:after="0" w:line="170" w:lineRule="exact"/>
        <w:rPr>
          <w:sz w:val="20"/>
          <w:szCs w:val="20"/>
          <w:color w:val="auto"/>
        </w:rPr>
      </w:pPr>
    </w:p>
    <w:p>
      <w:pPr>
        <w:ind w:right="1779" w:firstLine="632"/>
        <w:spacing w:after="0" w:line="237" w:lineRule="auto"/>
        <w:tabs>
          <w:tab w:leader="none" w:pos="1264"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212" w:lineRule="exact"/>
        <w:rPr>
          <w:rFonts w:ascii="Courier New" w:cs="Courier New" w:eastAsia="Courier New" w:hAnsi="Courier New"/>
          <w:sz w:val="18"/>
          <w:szCs w:val="18"/>
          <w:color w:val="auto"/>
        </w:rPr>
      </w:pPr>
    </w:p>
    <w:p>
      <w:pPr>
        <w:jc w:val="both"/>
        <w:ind w:right="1879" w:firstLine="632"/>
        <w:spacing w:after="0" w:line="237" w:lineRule="auto"/>
        <w:tabs>
          <w:tab w:leader="none" w:pos="1264"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"Window Period" means the period commencing on the date six months immediately prior to the date on which a Change in Control first occurs and ending the second anniversary of the date on which a Change in Control occurs.</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6" w:lineRule="exact"/>
        <w:rPr>
          <w:rFonts w:ascii="Courier New" w:cs="Courier New" w:eastAsia="Courier New" w:hAnsi="Courier New"/>
          <w:sz w:val="18"/>
          <w:szCs w:val="18"/>
          <w:color w:val="auto"/>
        </w:rPr>
      </w:pPr>
    </w:p>
    <w:p>
      <w:pPr>
        <w:ind w:right="1999" w:firstLine="632"/>
        <w:spacing w:after="0" w:line="237" w:lineRule="auto"/>
        <w:tabs>
          <w:tab w:leader="none" w:pos="1264"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11" w:lineRule="exact"/>
        <w:rPr>
          <w:rFonts w:ascii="Courier New" w:cs="Courier New" w:eastAsia="Courier New" w:hAnsi="Courier New"/>
          <w:sz w:val="18"/>
          <w:szCs w:val="18"/>
          <w:color w:val="auto"/>
        </w:rPr>
      </w:pPr>
    </w:p>
    <w:p>
      <w:pPr>
        <w:ind w:right="1779" w:firstLine="632"/>
        <w:spacing w:after="0" w:line="237" w:lineRule="auto"/>
        <w:tabs>
          <w:tab w:leader="none" w:pos="1264"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207" w:lineRule="exact"/>
        <w:rPr>
          <w:rFonts w:ascii="Courier New" w:cs="Courier New" w:eastAsia="Courier New" w:hAnsi="Courier New"/>
          <w:sz w:val="18"/>
          <w:szCs w:val="18"/>
          <w:color w:val="auto"/>
        </w:rPr>
      </w:pPr>
    </w:p>
    <w:p>
      <w:pPr>
        <w:ind w:right="1999" w:firstLine="632"/>
        <w:spacing w:after="0" w:line="275" w:lineRule="auto"/>
        <w:tabs>
          <w:tab w:leader="none" w:pos="1264"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182" w:lineRule="exact"/>
        <w:rPr>
          <w:rFonts w:ascii="Courier New" w:cs="Courier New" w:eastAsia="Courier New" w:hAnsi="Courier New"/>
          <w:sz w:val="16"/>
          <w:szCs w:val="16"/>
          <w:color w:val="auto"/>
        </w:rPr>
      </w:pPr>
    </w:p>
    <w:p>
      <w:pPr>
        <w:ind w:left="-640" w:right="1879" w:firstLine="640"/>
        <w:spacing w:after="0" w:line="235" w:lineRule="auto"/>
        <w:tabs>
          <w:tab w:leader="none" w:pos="624"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which together shall constitute one and the same original.</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2" w:right="1440" w:bottom="1440" w:gutter="0" w:footer="0" w:header="0"/>
        </w:sectPr>
      </w:pPr>
    </w:p>
    <w:bookmarkStart w:id="158" w:name="page159"/>
    <w:bookmarkEnd w:id="158"/>
    <w:p>
      <w:pPr>
        <w:ind w:right="1779" w:firstLine="632"/>
        <w:spacing w:after="0" w:line="237" w:lineRule="auto"/>
        <w:rPr>
          <w:sz w:val="20"/>
          <w:szCs w:val="20"/>
          <w:color w:val="auto"/>
        </w:rPr>
      </w:pPr>
      <w:r>
        <w:rPr>
          <w:rFonts w:ascii="Courier New" w:cs="Courier New" w:eastAsia="Courier New" w:hAnsi="Courier New"/>
          <w:sz w:val="18"/>
          <w:szCs w:val="18"/>
          <w:color w:val="auto"/>
        </w:rPr>
        <w:t>IN WITNESS WHEREOF, Waste Management, Inc. has caused this Agreement to be duly executed by one of its officers thereunto duly authorized, which execution may be facsimile, engraved or printed, which shall be deemed an original, and Employee has executed this Agreement, effective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EMPLOYEE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59" w:name="page160"/>
    <w:bookmarkEnd w:id="159"/>
    <w:p>
      <w:pPr>
        <w:jc w:val="right"/>
        <w:ind w:right="1779"/>
        <w:spacing w:after="0"/>
        <w:rPr>
          <w:sz w:val="20"/>
          <w:szCs w:val="20"/>
          <w:color w:val="auto"/>
        </w:rPr>
      </w:pPr>
      <w:r>
        <w:rPr>
          <w:rFonts w:ascii="Courier New" w:cs="Courier New" w:eastAsia="Courier New" w:hAnsi="Courier New"/>
          <w:sz w:val="18"/>
          <w:szCs w:val="18"/>
          <w:color w:val="auto"/>
        </w:rPr>
        <w:t>EXHIBIT A TO RESTRICTED STOCK</w:t>
      </w:r>
    </w:p>
    <w:p>
      <w:pPr>
        <w:jc w:val="right"/>
        <w:ind w:right="1779"/>
        <w:spacing w:after="0" w:line="238" w:lineRule="auto"/>
        <w:rPr>
          <w:sz w:val="20"/>
          <w:szCs w:val="20"/>
          <w:color w:val="auto"/>
        </w:rPr>
      </w:pPr>
      <w:r>
        <w:rPr>
          <w:rFonts w:ascii="Courier New" w:cs="Courier New" w:eastAsia="Courier New" w:hAnsi="Courier New"/>
          <w:sz w:val="18"/>
          <w:szCs w:val="18"/>
          <w:color w:val="auto"/>
        </w:rPr>
        <w:t>UNIT AWARD AGREEMENT</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RESTRICTED STOCK UNIT AGREEMENT PURSUANT TO THE</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 2004 STOCK INCENTIVE PLAN</w:t>
      </w:r>
    </w:p>
    <w:p>
      <w:pPr>
        <w:ind w:left="2860"/>
        <w:spacing w:after="0"/>
        <w:rPr>
          <w:sz w:val="20"/>
          <w:szCs w:val="20"/>
          <w:color w:val="auto"/>
        </w:rPr>
      </w:pPr>
      <w:r>
        <w:rPr>
          <w:rFonts w:ascii="Courier New" w:cs="Courier New" w:eastAsia="Courier New" w:hAnsi="Courier New"/>
          <w:sz w:val="18"/>
          <w:szCs w:val="18"/>
          <w:color w:val="auto"/>
        </w:rPr>
        <w:t>DESIGNATION OF BENEFICIARY</w:t>
      </w: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 _____________________________________ ("Employee") hereby declare that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my death ___________________ (the "Beneficiary") of _______________________</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Street Address</w:t>
      </w:r>
    </w:p>
    <w:p>
      <w:pPr>
        <w:spacing w:after="0" w:line="200" w:lineRule="exact"/>
        <w:rPr>
          <w:sz w:val="20"/>
          <w:szCs w:val="20"/>
          <w:color w:val="auto"/>
        </w:rPr>
      </w:pPr>
    </w:p>
    <w:p>
      <w:pPr>
        <w:sectPr>
          <w:pgSz w:w="11900" w:h="16838" w:orient="portrait"/>
          <w:cols w:equalWidth="0" w:num="2">
            <w:col w:w="6140" w:space="720"/>
            <w:col w:w="3359"/>
          </w:cols>
          <w:pgMar w:left="240" w:top="717" w:right="1440" w:bottom="1440" w:gutter="0" w:footer="0" w:header="0"/>
          <w:type w:val="continuous"/>
        </w:sectPr>
      </w:pPr>
    </w:p>
    <w:p>
      <w:pPr>
        <w:spacing w:after="0" w:line="2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___________________________, who is my _______________________, will be entitled City State Zip Code Relationship to Employee</w:t>
      </w:r>
    </w:p>
    <w:p>
      <w:pPr>
        <w:sectPr>
          <w:pgSz w:w="11900" w:h="16838" w:orient="portrait"/>
          <w:cols w:equalWidth="0" w:num="1">
            <w:col w:w="10219"/>
          </w:cols>
          <w:pgMar w:left="240" w:top="717" w:right="1440" w:bottom="1440" w:gutter="0" w:footer="0" w:header="0"/>
          <w:type w:val="continuous"/>
        </w:sectPr>
      </w:pP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to the Restricted Stock Units and all other rights accorded Employee by the above-referenced Restricted Stock Unit Award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It is understood that this designation of Beneficiary is made pursuant to the Agreement and is subject to the conditions stated therein, including the Beneficiary's survival of Employee. If any such condition is not satisfied, such rights shall devolve according to Employee's last will and testament, or if none, then the laws of descent and distribution.</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It is further understood that all prior designations of beneficiary under the Agreement are hereby revoked and that this designation of Beneficiary may only be revoked in writing, signed by Employee, duly notarized, and filed with the Company.</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__________________________________</w:t>
      </w:r>
    </w:p>
    <w:p>
      <w:pPr>
        <w:ind w:left="4440"/>
        <w:spacing w:after="0" w:line="238" w:lineRule="auto"/>
        <w:rPr>
          <w:sz w:val="20"/>
          <w:szCs w:val="20"/>
          <w:color w:val="auto"/>
        </w:rPr>
      </w:pPr>
      <w:r>
        <w:rPr>
          <w:rFonts w:ascii="Courier New" w:cs="Courier New" w:eastAsia="Courier New" w:hAnsi="Courier New"/>
          <w:sz w:val="18"/>
          <w:szCs w:val="18"/>
          <w:color w:val="auto"/>
        </w:rPr>
        <w:t>Employee</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__________________________________</w:t>
      </w:r>
    </w:p>
    <w:p>
      <w:pPr>
        <w:ind w:left="444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before me, this _______</w:t>
      </w:r>
    </w:p>
    <w:p>
      <w:pPr>
        <w:spacing w:after="0" w:line="238" w:lineRule="auto"/>
        <w:rPr>
          <w:sz w:val="20"/>
          <w:szCs w:val="20"/>
          <w:color w:val="auto"/>
        </w:rPr>
      </w:pPr>
      <w:r>
        <w:rPr>
          <w:rFonts w:ascii="Courier New" w:cs="Courier New" w:eastAsia="Courier New" w:hAnsi="Courier New"/>
          <w:sz w:val="18"/>
          <w:szCs w:val="18"/>
          <w:color w:val="auto"/>
        </w:rPr>
        <w:t>day of ______, 20____.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Notary Public, State of ___________</w:t>
      </w:r>
    </w:p>
    <w:p>
      <w:pPr>
        <w:sectPr>
          <w:pgSz w:w="11900" w:h="16838" w:orient="portrait"/>
          <w:cols w:equalWidth="0" w:num="1">
            <w:col w:w="10219"/>
          </w:cols>
          <w:pgMar w:left="240" w:top="717" w:right="1440" w:bottom="1440" w:gutter="0" w:footer="0" w:header="0"/>
          <w:type w:val="continuous"/>
        </w:sectPr>
      </w:pPr>
    </w:p>
    <w:bookmarkStart w:id="160" w:name="page161"/>
    <w:bookmarkEnd w:id="160"/>
    <w:p>
      <w:pPr>
        <w:jc w:val="right"/>
        <w:ind w:right="1779"/>
        <w:spacing w:after="0"/>
        <w:rPr>
          <w:sz w:val="20"/>
          <w:szCs w:val="20"/>
          <w:color w:val="auto"/>
        </w:rPr>
      </w:pPr>
      <w:r>
        <w:rPr>
          <w:rFonts w:ascii="Courier New" w:cs="Courier New" w:eastAsia="Courier New" w:hAnsi="Courier New"/>
          <w:sz w:val="18"/>
          <w:szCs w:val="18"/>
          <w:color w:val="auto"/>
        </w:rPr>
        <w:t>Exhibit 10.11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PERFORMANCE SHARE UNIT AWARD AGREEMENT</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This Performance Share Unit Award Agreement ("Agreement") is entered into effective as of ________________ the "Grant Date"), by and between Waste</w:t>
      </w:r>
    </w:p>
    <w:p>
      <w:pPr>
        <w:spacing w:after="0" w:line="6"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Management, Inc., a Delaware corporation (together with its Subsidiaries and Affiliates, the "Company"), and_____________________ (the "Employee"), pursuant</w:t>
      </w:r>
    </w:p>
    <w:p>
      <w:pPr>
        <w:ind w:right="1999"/>
        <w:spacing w:after="0" w:line="237" w:lineRule="auto"/>
        <w:rPr>
          <w:sz w:val="20"/>
          <w:szCs w:val="20"/>
          <w:color w:val="auto"/>
        </w:rPr>
      </w:pPr>
      <w:r>
        <w:rPr>
          <w:rFonts w:ascii="Courier New" w:cs="Courier New" w:eastAsia="Courier New" w:hAnsi="Courier New"/>
          <w:sz w:val="18"/>
          <w:szCs w:val="18"/>
          <w:color w:val="auto"/>
        </w:rPr>
        <w:t>to the Waste Management, Inc. 2004 Stock Incentive Plan (the "Plan"). Employee and the Company agree to execute such further instruments and to take such further action as may reasonably be necessary to carry out the intent of this Agreement.</w:t>
      </w:r>
    </w:p>
    <w:p>
      <w:pPr>
        <w:spacing w:after="0" w:line="207" w:lineRule="exact"/>
        <w:rPr>
          <w:sz w:val="20"/>
          <w:szCs w:val="20"/>
          <w:color w:val="auto"/>
        </w:rPr>
      </w:pPr>
    </w:p>
    <w:p>
      <w:pPr>
        <w:ind w:right="1999" w:firstLine="640"/>
        <w:spacing w:after="0" w:line="272" w:lineRule="auto"/>
        <w:tabs>
          <w:tab w:leader="none" w:pos="948"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In accordance with the terms of the Plan, the Company hereby grants to the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179" w:lineRule="exact"/>
        <w:rPr>
          <w:rFonts w:ascii="Courier New" w:cs="Courier New" w:eastAsia="Courier New" w:hAnsi="Courier New"/>
          <w:sz w:val="16"/>
          <w:szCs w:val="16"/>
          <w:color w:val="auto"/>
        </w:rPr>
      </w:pPr>
    </w:p>
    <w:p>
      <w:pPr>
        <w:ind w:left="960" w:hanging="320"/>
        <w:spacing w:after="0"/>
        <w:tabs>
          <w:tab w:leader="none" w:pos="9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Vesting Requirement.</w:t>
      </w:r>
    </w:p>
    <w:p>
      <w:pPr>
        <w:spacing w:after="0" w:line="206"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Period" for this Award shall be the 36-month period commencing on _______________ and ending on _________________. The Award shall be subject to performance vesting requirements based upon the achievement of the Performance Target specified below, subject to certification of the degree of achievement of such Performance Target by the Committee pursuant to Section 7 of the Plan.</w:t>
      </w:r>
    </w:p>
    <w:p>
      <w:pPr>
        <w:spacing w:after="0" w:line="209"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measurement tool for determining level of achievement shall be the average Return on Invested Capital ("ROIC") for the 36-month period beginning _______________ and ending _________________. ROIC is defined to mean (i) the Company's average "as reported" Net Operating Profit After Taxes ("NOPAT") for the Performance Period, divided by (ii) the Company's average Invested Capital for the Performance Period. For purposes of this Agreement, the average ROIC for the Performance Period will be calculated using the following equation: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(2005 NOPAT + 2006 NOPAT + 2007 NOPAT)</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(2005 Invested Capital + 2006 Invested Capital + 2007 Invested Capital)</w:t>
      </w:r>
    </w:p>
    <w:p>
      <w:pPr>
        <w:spacing w:after="0" w:line="202" w:lineRule="exact"/>
        <w:rPr>
          <w:sz w:val="20"/>
          <w:szCs w:val="20"/>
          <w:color w:val="auto"/>
        </w:rPr>
      </w:pPr>
    </w:p>
    <w:p>
      <w:pPr>
        <w:ind w:left="960" w:hanging="320"/>
        <w:spacing w:after="0"/>
        <w:tabs>
          <w:tab w:leader="none" w:pos="9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Number of Performance Share Units Earned.</w:t>
      </w:r>
    </w:p>
    <w:p>
      <w:pPr>
        <w:spacing w:after="0" w:line="206" w:lineRule="exact"/>
        <w:rPr>
          <w:rFonts w:ascii="Courier New" w:cs="Courier New" w:eastAsia="Courier New" w:hAnsi="Courier New"/>
          <w:sz w:val="18"/>
          <w:szCs w:val="18"/>
          <w:color w:val="auto"/>
        </w:rPr>
      </w:pPr>
    </w:p>
    <w:p>
      <w:pPr>
        <w:ind w:left="640" w:right="1779" w:firstLine="632"/>
        <w:spacing w:after="0" w:line="271" w:lineRule="auto"/>
        <w:tabs>
          <w:tab w:leader="none" w:pos="1693"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"Target Award" for Employee under this Agreement is________________ Performance Share Units. The actual number of Performance Share Units earned by Employee will be determined as described below, based upon the actual achievement of ROIC for the Performance Period. The "Threshold ROIC" is the minimum ROIC that must be achieved to qualify for any Award; "Target ROIC" is the expected achievement in ROIC; and "Maximum ROIC" is the maximum ROIC that could be achieved that would result in an increase in the number of Performance Share Units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161" w:name="page162"/>
    <w:bookmarkEnd w:id="161"/>
    <w:p>
      <w:pPr>
        <w:ind w:left="640" w:right="1879"/>
        <w:spacing w:after="0" w:line="237" w:lineRule="auto"/>
        <w:rPr>
          <w:sz w:val="20"/>
          <w:szCs w:val="20"/>
          <w:color w:val="auto"/>
        </w:rPr>
      </w:pPr>
      <w:r>
        <w:rPr>
          <w:rFonts w:ascii="Courier New" w:cs="Courier New" w:eastAsia="Courier New" w:hAnsi="Courier New"/>
          <w:sz w:val="18"/>
          <w:szCs w:val="18"/>
          <w:color w:val="auto"/>
        </w:rPr>
        <w:t>earned under this Award. These targets will be announced to Employee by March 15, 2005, following calculation of year-end financial reporting for 2004. Subject to adjustment pursuant to Subsection 3(b), 3(c) and 3(d), each such percentage correlates to a number of Performance Share Units that may be earned under this Award, as follows: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ROIC Achieved During</w:t>
      </w:r>
    </w:p>
    <w:p>
      <w:pPr>
        <w:ind w:left="320"/>
        <w:spacing w:after="0" w:line="238" w:lineRule="auto"/>
        <w:rPr>
          <w:sz w:val="20"/>
          <w:szCs w:val="20"/>
          <w:color w:val="auto"/>
        </w:rPr>
      </w:pPr>
      <w:r>
        <w:rPr>
          <w:rFonts w:ascii="Courier New" w:cs="Courier New" w:eastAsia="Courier New" w:hAnsi="Courier New"/>
          <w:sz w:val="18"/>
          <w:szCs w:val="18"/>
          <w:color w:val="auto"/>
        </w:rPr>
        <w:t>Performance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Resulting Performance Share Units Earned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160" w:space="0"/>
            <w:col w:w="7059"/>
          </w:cols>
          <w:pgMar w:left="240" w:top="723"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Threshold ROIC</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Target ROIC</w:t>
      </w:r>
    </w:p>
    <w:p>
      <w:pPr>
        <w:ind w:left="640"/>
        <w:spacing w:after="0" w:line="238" w:lineRule="auto"/>
        <w:rPr>
          <w:sz w:val="20"/>
          <w:szCs w:val="20"/>
          <w:color w:val="auto"/>
        </w:rPr>
      </w:pPr>
      <w:r>
        <w:rPr>
          <w:rFonts w:ascii="Courier New" w:cs="Courier New" w:eastAsia="Courier New" w:hAnsi="Courier New"/>
          <w:sz w:val="18"/>
          <w:szCs w:val="18"/>
          <w:color w:val="auto"/>
        </w:rPr>
        <w:t>Maximum ROIC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50% of Target Award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of Target Award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of Target Award</w:t>
      </w:r>
    </w:p>
    <w:p>
      <w:pPr>
        <w:spacing w:after="0" w:line="216"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10" w:lineRule="exact"/>
        <w:rPr>
          <w:sz w:val="20"/>
          <w:szCs w:val="20"/>
          <w:color w:val="auto"/>
        </w:rPr>
      </w:pPr>
    </w:p>
    <w:p>
      <w:pPr>
        <w:jc w:val="both"/>
        <w:ind w:left="640" w:right="1779" w:firstLine="632"/>
        <w:spacing w:after="0" w:line="236" w:lineRule="auto"/>
        <w:tabs>
          <w:tab w:leader="none" w:pos="169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Company's actual performance does not meet the Threshold ROIC, no Performance Shares Units shall be earned under this Award.</w:t>
      </w:r>
    </w:p>
    <w:p>
      <w:pPr>
        <w:spacing w:after="0" w:line="208" w:lineRule="exact"/>
        <w:rPr>
          <w:rFonts w:ascii="Courier New" w:cs="Courier New" w:eastAsia="Courier New" w:hAnsi="Courier New"/>
          <w:sz w:val="18"/>
          <w:szCs w:val="18"/>
          <w:color w:val="auto"/>
        </w:rPr>
      </w:pPr>
    </w:p>
    <w:p>
      <w:pPr>
        <w:ind w:left="640" w:right="2099" w:firstLine="632"/>
        <w:spacing w:after="0" w:line="237" w:lineRule="auto"/>
        <w:tabs>
          <w:tab w:leader="none" w:pos="169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Company's actual ROIC for the Performance Period is between Threshold ROIC and Target ROIC, the number of Performance Share Units earned shall equal to the sum of (i) the Performance Shares Units for achievement of Threshold ROIC plus (ii) the number of Performance Shares determined under the following formula:</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(TAS - TS) X (AP - TP)</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TAP - TP</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TAS = Performance Share Units earned for achievement of the Target ROIC.</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TS = Performance Share Units earned for achievement of the Threshold ROIC.</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 = Company's actual ROIC.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TP = Threshold ROIC.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TAP = Target ROIC.</w:t>
      </w:r>
    </w:p>
    <w:p>
      <w:pPr>
        <w:spacing w:after="0" w:line="207" w:lineRule="exact"/>
        <w:rPr>
          <w:sz w:val="20"/>
          <w:szCs w:val="20"/>
          <w:color w:val="auto"/>
        </w:rPr>
      </w:pPr>
    </w:p>
    <w:p>
      <w:pPr>
        <w:ind w:left="640" w:right="1879" w:firstLine="632"/>
        <w:spacing w:after="0" w:line="237" w:lineRule="auto"/>
        <w:tabs>
          <w:tab w:leader="none" w:pos="169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Company's actual ROIC for the Performance Period is between Target ROIC and Maximum ROIC, the number of Performance Share Units earned shall equal to the sum of (i) the Performance Share Units earned for achievement of Target ROIC plus (ii) the number of Performance Share Units determined under the following formula:</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(MS - TAS) X (AP - TAP)</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MP - TAP</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MS = Performance Share Units earned for achievement of the Maximum ROIC.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TAS = Performance Share Units earned for achievement of the Target ROIC.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 = Company's actual ROIC.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TAP = Target ROIC.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MP = Maximum ROIC.</w:t>
      </w:r>
    </w:p>
    <w:p>
      <w:pPr>
        <w:spacing w:after="0" w:line="207" w:lineRule="exact"/>
        <w:rPr>
          <w:sz w:val="20"/>
          <w:szCs w:val="20"/>
          <w:color w:val="auto"/>
        </w:rPr>
      </w:pPr>
    </w:p>
    <w:p>
      <w:pPr>
        <w:ind w:right="2099" w:firstLine="640"/>
        <w:spacing w:after="0" w:line="236" w:lineRule="auto"/>
        <w:tabs>
          <w:tab w:leader="none" w:pos="94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and Form of Payout. Except as hereinafter provided, after the end of the Performance Period, the Employee shall be entitled to receive his total number of Performance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type w:val="continuous"/>
        </w:sectPr>
      </w:pPr>
    </w:p>
    <w:bookmarkStart w:id="162" w:name="page163"/>
    <w:bookmarkEnd w:id="162"/>
    <w:p>
      <w:pPr>
        <w:ind w:right="1779"/>
        <w:spacing w:after="0" w:line="237" w:lineRule="auto"/>
        <w:rPr>
          <w:sz w:val="20"/>
          <w:szCs w:val="20"/>
          <w:color w:val="auto"/>
        </w:rPr>
      </w:pPr>
      <w:r>
        <w:rPr>
          <w:rFonts w:ascii="Courier New" w:cs="Courier New" w:eastAsia="Courier New" w:hAnsi="Courier New"/>
          <w:sz w:val="18"/>
          <w:szCs w:val="18"/>
          <w:color w:val="auto"/>
        </w:rPr>
        <w:t>Shares Units determined under Section 3. Unless timely deferred by Employee in accordance with Section 9,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w:t>
      </w:r>
    </w:p>
    <w:p>
      <w:pPr>
        <w:spacing w:after="0" w:line="210" w:lineRule="exact"/>
        <w:rPr>
          <w:sz w:val="20"/>
          <w:szCs w:val="20"/>
          <w:color w:val="auto"/>
        </w:rPr>
      </w:pPr>
    </w:p>
    <w:p>
      <w:pPr>
        <w:ind w:right="1779" w:firstLine="640"/>
        <w:spacing w:after="0" w:line="237"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Due to Death, Retirement or Disability. Upon Termination of Employment from the Company by reason of Employee's death, retirement or disability (as determined by the Committee), the Employee (or in the case of Employee's death, the Employee's beneficiary) shall be entitled to receive the Performance Share Units the Employee would have been entitled to under Section 3 if he had remained employed until the last day of the Performance Period. Unless directed otherwise pursuant to Employee's deferral election, the delivery of shares of Common Stock in satisfaction of such Performance Share Units shall be made as soon as administratively feasible after the end of the Performance Period.</w:t>
      </w:r>
    </w:p>
    <w:p>
      <w:pPr>
        <w:spacing w:after="0" w:line="214" w:lineRule="exact"/>
        <w:rPr>
          <w:rFonts w:ascii="Courier New" w:cs="Courier New" w:eastAsia="Courier New" w:hAnsi="Courier New"/>
          <w:sz w:val="18"/>
          <w:szCs w:val="18"/>
          <w:color w:val="auto"/>
        </w:rPr>
      </w:pPr>
    </w:p>
    <w:p>
      <w:pPr>
        <w:ind w:right="1779" w:firstLine="640"/>
        <w:spacing w:after="0" w:line="271" w:lineRule="auto"/>
        <w:tabs>
          <w:tab w:leader="none" w:pos="94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Involuntary Termination of Employment Without Cause by the Company. Upon involuntary Termination of Employment from the Company without Cause by the Company, the Employee shall be entitled to receive the Performance Share Units the Employee would have been entitled to under Section 3 if he had remained employed until the last day of the Performance Period, prorated for the number of days he was employed during the Performance Period. Unless directed otherwise pursuant to Employee's deferral election, the delivery of shares of Common Stock in satisfaction of such Performance Share Units shall be made as soon as administratively feasible after the end of the Performance Period.</w:t>
      </w:r>
    </w:p>
    <w:p>
      <w:pPr>
        <w:spacing w:after="0" w:line="183" w:lineRule="exact"/>
        <w:rPr>
          <w:rFonts w:ascii="Courier New" w:cs="Courier New" w:eastAsia="Courier New" w:hAnsi="Courier New"/>
          <w:sz w:val="16"/>
          <w:szCs w:val="16"/>
          <w:color w:val="auto"/>
        </w:rPr>
      </w:pPr>
    </w:p>
    <w:p>
      <w:pPr>
        <w:jc w:val="both"/>
        <w:ind w:right="1999" w:firstLine="640"/>
        <w:spacing w:after="0" w:line="237"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for Any Other Reason. Except as provided in Sections 5 and 6, the Employee must be an employee of the Company continuously from the date of this Award until the last day of the Performance Period to be entitled to receive any shares of Common Stock with respect to any Performance Share Units he may have earned hereunder.</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upon Change in Control. Notwithstanding anything to the contrary, if there is a Change in Control of Waste Management, Inc. prior to the end of the Performance Period, Employee will be entitled to immediately receive both (a) and (b), as follows:</w:t>
      </w:r>
    </w:p>
    <w:p>
      <w:pPr>
        <w:spacing w:after="0" w:line="207"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Share Units that he would have otherwise received based upon achievement of ROIC after reducing the Performance Period so that it ends on the last day of the quarter preceding the Change in Control (the "Early Measurement Date") and making adjustments to Target ROIC so as to be equal to the ROIC budgeted for that period and appropriate adjustments to Threshold ROIC and Maximum ROIC so that they bear the same ratio to the Threshold ROIC and Maximum ROIC amounts above as the revised Target ROIC amount bear to the Target ROIC amount above, converted into a cash payment equivalent to the number of Performance Share Units earned under this Section 8 multiplied by the closing price of the Common Stock on the Early Measurement Date; and</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63" w:name="page164"/>
    <w:bookmarkEnd w:id="163"/>
    <w:p>
      <w:pPr>
        <w:ind w:right="1879" w:firstLine="632"/>
        <w:spacing w:after="0" w:line="236" w:lineRule="auto"/>
        <w:tabs>
          <w:tab w:leader="none" w:pos="105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substitute award for the lost opportunity to earn Performance Stock Units for the entire length of the original Performance Period:</w:t>
      </w:r>
    </w:p>
    <w:p>
      <w:pPr>
        <w:spacing w:after="0" w:line="208" w:lineRule="exact"/>
        <w:rPr>
          <w:rFonts w:ascii="Courier New" w:cs="Courier New" w:eastAsia="Courier New" w:hAnsi="Courier New"/>
          <w:sz w:val="18"/>
          <w:szCs w:val="18"/>
          <w:color w:val="auto"/>
        </w:rPr>
      </w:pPr>
    </w:p>
    <w:p>
      <w:pPr>
        <w:ind w:left="640" w:right="1779" w:firstLine="624"/>
        <w:spacing w:after="0" w:line="237" w:lineRule="auto"/>
        <w:tabs>
          <w:tab w:leader="none" w:pos="1693"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of such stock on the Early Measurement Date with an amount of cash equal to the product of the following equation:</w:t>
      </w:r>
    </w:p>
    <w:p>
      <w:pPr>
        <w:spacing w:after="0" w:line="20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TAP X EMD__ X CP</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1096-EMD</w:t>
      </w:r>
    </w:p>
    <w:p>
      <w:pPr>
        <w:spacing w:after="0" w:line="206"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TAP = the number of Performance Share Units that could be earned for achievement of the original Target ROIC specified in Section 3(a)</w:t>
      </w:r>
    </w:p>
    <w:p>
      <w:pPr>
        <w:spacing w:after="0" w:line="170"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EMD = the number of days occurring from the Grant Date to the Early Measurement Date</w:t>
      </w:r>
    </w:p>
    <w:p>
      <w:pPr>
        <w:spacing w:after="0" w:line="200" w:lineRule="exact"/>
        <w:rPr>
          <w:sz w:val="20"/>
          <w:szCs w:val="20"/>
          <w:color w:val="auto"/>
        </w:rPr>
      </w:pPr>
    </w:p>
    <w:p>
      <w:pPr>
        <w:spacing w:after="0" w:line="211" w:lineRule="exact"/>
        <w:rPr>
          <w:sz w:val="20"/>
          <w:szCs w:val="20"/>
          <w:color w:val="auto"/>
        </w:rPr>
      </w:pPr>
    </w:p>
    <w:p>
      <w:pPr>
        <w:ind w:left="640" w:right="2839"/>
        <w:spacing w:after="0" w:line="235" w:lineRule="auto"/>
        <w:rPr>
          <w:sz w:val="20"/>
          <w:szCs w:val="20"/>
          <w:color w:val="auto"/>
        </w:rPr>
      </w:pPr>
      <w:r>
        <w:rPr>
          <w:rFonts w:ascii="Courier New" w:cs="Courier New" w:eastAsia="Courier New" w:hAnsi="Courier New"/>
          <w:sz w:val="18"/>
          <w:szCs w:val="18"/>
          <w:color w:val="auto"/>
        </w:rPr>
        <w:t>CP = the closing price of a share of Common Stock of Waste Management, Inc. on the Early Measurement Date</w:t>
      </w:r>
    </w:p>
    <w:p>
      <w:pPr>
        <w:spacing w:after="0" w:line="208" w:lineRule="exact"/>
        <w:rPr>
          <w:sz w:val="20"/>
          <w:szCs w:val="20"/>
          <w:color w:val="auto"/>
        </w:rPr>
      </w:pPr>
    </w:p>
    <w:p>
      <w:pPr>
        <w:ind w:left="640" w:right="1879"/>
        <w:spacing w:after="0" w:line="271" w:lineRule="auto"/>
        <w:rPr>
          <w:sz w:val="20"/>
          <w:szCs w:val="20"/>
          <w:color w:val="auto"/>
        </w:rPr>
      </w:pPr>
      <w:r>
        <w:rPr>
          <w:rFonts w:ascii="Courier New" w:cs="Courier New" w:eastAsia="Courier New" w:hAnsi="Courier New"/>
          <w:sz w:val="16"/>
          <w:szCs w:val="16"/>
          <w:color w:val="auto"/>
        </w:rPr>
        <w:t>Any restricted stock units in the successor entity awarded under this Section 8(b)(i) will vest completely on or before December 31, 2007,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restricted stock units in the successor entity awarded pursuant to this Section 8(b)(i).</w:t>
      </w:r>
    </w:p>
    <w:p>
      <w:pPr>
        <w:spacing w:after="0" w:line="186" w:lineRule="exact"/>
        <w:rPr>
          <w:sz w:val="20"/>
          <w:szCs w:val="20"/>
          <w:color w:val="auto"/>
        </w:rPr>
      </w:pPr>
    </w:p>
    <w:p>
      <w:pPr>
        <w:ind w:left="640" w:right="1779" w:firstLine="624"/>
        <w:spacing w:after="0" w:line="236" w:lineRule="auto"/>
        <w:tabs>
          <w:tab w:leader="none" w:pos="179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successor entity was not a publicly traded company as of the Early Measurement Date, a cash payment equal to the product of the following equation:</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TAP X EMD__ X CP</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1096-EMD</w:t>
      </w:r>
    </w:p>
    <w:p>
      <w:pPr>
        <w:spacing w:after="0" w:line="206"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TAP = the number of Performance Share Units that could be earned for achievement of the original Target ROIC specified in Section 3(a)</w:t>
      </w:r>
    </w:p>
    <w:p>
      <w:pPr>
        <w:spacing w:after="0" w:line="170"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EMD = the number of days occurring from the Grant Date to the Early Measurement Date</w:t>
      </w:r>
    </w:p>
    <w:p>
      <w:pPr>
        <w:spacing w:after="0" w:line="208" w:lineRule="exact"/>
        <w:rPr>
          <w:sz w:val="20"/>
          <w:szCs w:val="20"/>
          <w:color w:val="auto"/>
        </w:rPr>
      </w:pPr>
    </w:p>
    <w:p>
      <w:pPr>
        <w:ind w:left="640" w:right="2839"/>
        <w:spacing w:after="0" w:line="235" w:lineRule="auto"/>
        <w:rPr>
          <w:sz w:val="20"/>
          <w:szCs w:val="20"/>
          <w:color w:val="auto"/>
        </w:rPr>
      </w:pPr>
      <w:r>
        <w:rPr>
          <w:rFonts w:ascii="Courier New" w:cs="Courier New" w:eastAsia="Courier New" w:hAnsi="Courier New"/>
          <w:sz w:val="18"/>
          <w:szCs w:val="18"/>
          <w:color w:val="auto"/>
        </w:rPr>
        <w:t>CP = the closing price of a share of Common Stock of Waste Management, Inc. on the Early Measurement Date</w:t>
      </w:r>
    </w:p>
    <w:p>
      <w:pPr>
        <w:spacing w:after="0" w:line="208"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Any cash payment calculated under this Section 8(b)(ii) will be paid to Employee on December 31, 2007, provided that Employee remain continuously employed with the successor entity until such date. The foregoing notwithstanding, if there is an involuntary Termination of Employee for reason other than Cause during the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3" w:right="1440" w:bottom="1440" w:gutter="0" w:footer="0" w:header="0"/>
        </w:sectPr>
      </w:pPr>
    </w:p>
    <w:bookmarkStart w:id="164" w:name="page165"/>
    <w:bookmarkEnd w:id="164"/>
    <w:p>
      <w:pPr>
        <w:ind w:left="640" w:right="2199"/>
        <w:spacing w:after="0" w:line="235" w:lineRule="auto"/>
        <w:rPr>
          <w:sz w:val="20"/>
          <w:szCs w:val="20"/>
          <w:color w:val="auto"/>
        </w:rPr>
      </w:pPr>
      <w:r>
        <w:rPr>
          <w:rFonts w:ascii="Courier New" w:cs="Courier New" w:eastAsia="Courier New" w:hAnsi="Courier New"/>
          <w:sz w:val="18"/>
          <w:szCs w:val="18"/>
          <w:color w:val="auto"/>
        </w:rPr>
        <w:t>Window Period, Employee will be paid by the successor entity the amount determined pursuant to this Section 8(b)(ii).</w:t>
      </w:r>
    </w:p>
    <w:p>
      <w:pPr>
        <w:spacing w:after="0" w:line="208" w:lineRule="exact"/>
        <w:rPr>
          <w:sz w:val="20"/>
          <w:szCs w:val="20"/>
          <w:color w:val="auto"/>
        </w:rPr>
      </w:pPr>
    </w:p>
    <w:p>
      <w:pPr>
        <w:ind w:left="-640" w:right="1879" w:firstLine="640"/>
        <w:spacing w:after="0" w:line="237" w:lineRule="auto"/>
        <w:tabs>
          <w:tab w:leader="none" w:pos="30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of Award. Upon Termination of Employment from the Company for any reason other death, retirement, disability, involuntary termination by the Company without Cause, or Change in Control, Employee shall immediately forfeit the unvested portion of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206" w:lineRule="exact"/>
        <w:rPr>
          <w:rFonts w:ascii="Courier New" w:cs="Courier New" w:eastAsia="Courier New" w:hAnsi="Courier New"/>
          <w:sz w:val="18"/>
          <w:szCs w:val="18"/>
          <w:color w:val="auto"/>
        </w:rPr>
      </w:pPr>
    </w:p>
    <w:p>
      <w:pPr>
        <w:ind w:left="420" w:hanging="420"/>
        <w:spacing w:after="0"/>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Deferrals.</w:t>
      </w:r>
    </w:p>
    <w:p>
      <w:pPr>
        <w:spacing w:after="0" w:line="206" w:lineRule="exact"/>
        <w:rPr>
          <w:rFonts w:ascii="Courier New" w:cs="Courier New" w:eastAsia="Courier New" w:hAnsi="Courier New"/>
          <w:sz w:val="18"/>
          <w:szCs w:val="18"/>
          <w:color w:val="auto"/>
        </w:rPr>
      </w:pPr>
    </w:p>
    <w:p>
      <w:pPr>
        <w:ind w:right="1779" w:firstLine="632"/>
        <w:spacing w:after="0" w:line="270" w:lineRule="auto"/>
        <w:tabs>
          <w:tab w:leader="none" w:pos="1053"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w:t>
      </w:r>
    </w:p>
    <w:p>
      <w:pPr>
        <w:spacing w:after="0" w:line="391" w:lineRule="exact"/>
        <w:rPr>
          <w:rFonts w:ascii="Courier New" w:cs="Courier New" w:eastAsia="Courier New" w:hAnsi="Courier New"/>
          <w:sz w:val="16"/>
          <w:szCs w:val="16"/>
          <w:color w:val="auto"/>
        </w:rPr>
      </w:pPr>
    </w:p>
    <w:p>
      <w:pPr>
        <w:ind w:right="1779" w:firstLine="632"/>
        <w:spacing w:after="0" w:line="237" w:lineRule="auto"/>
        <w:tabs>
          <w:tab w:leader="none" w:pos="1053"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of 1986, as amended, (the "Internal Revenue Code") and any provision that would conflict with such requirements shall not be valid or enforceable. Employee and the Company further hereby agree to execute such further instruments and take such further action as reasonably may be necessary to comply with Section 409A of the Internal Revenue Code.</w:t>
      </w:r>
    </w:p>
    <w:p>
      <w:pPr>
        <w:spacing w:after="0" w:line="209" w:lineRule="exact"/>
        <w:rPr>
          <w:rFonts w:ascii="Courier New" w:cs="Courier New" w:eastAsia="Courier New" w:hAnsi="Courier New"/>
          <w:sz w:val="18"/>
          <w:szCs w:val="18"/>
          <w:color w:val="auto"/>
        </w:rPr>
      </w:pPr>
    </w:p>
    <w:p>
      <w:pPr>
        <w:ind w:left="420" w:hanging="420"/>
        <w:spacing w:after="0"/>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w:t>
      </w:r>
    </w:p>
    <w:p>
      <w:pPr>
        <w:spacing w:after="0" w:line="206" w:lineRule="exact"/>
        <w:rPr>
          <w:rFonts w:ascii="Courier New" w:cs="Courier New" w:eastAsia="Courier New" w:hAnsi="Courier New"/>
          <w:sz w:val="18"/>
          <w:szCs w:val="18"/>
          <w:color w:val="auto"/>
        </w:rPr>
      </w:pPr>
    </w:p>
    <w:p>
      <w:pPr>
        <w:ind w:right="1779" w:firstLine="632"/>
        <w:spacing w:after="0" w:line="272" w:lineRule="auto"/>
        <w:tabs>
          <w:tab w:leader="none" w:pos="1053"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185" w:lineRule="exact"/>
        <w:rPr>
          <w:rFonts w:ascii="Courier New" w:cs="Courier New" w:eastAsia="Courier New" w:hAnsi="Courier New"/>
          <w:sz w:val="16"/>
          <w:szCs w:val="16"/>
          <w:color w:val="auto"/>
        </w:rPr>
      </w:pPr>
    </w:p>
    <w:p>
      <w:pPr>
        <w:jc w:val="both"/>
        <w:ind w:right="1779" w:firstLine="632"/>
        <w:spacing w:after="0" w:line="237" w:lineRule="auto"/>
        <w:tabs>
          <w:tab w:leader="none" w:pos="1053"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Consistent with the foregoing, except as contemplated by Section 12, no right or benefit under this Agreement shall be subject to transfer, anticipation, alienation, sale, assignment, pledge, encumbrance or charge, whether voluntary, involuntary, by</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723" w:right="1440" w:bottom="1440" w:gutter="0" w:footer="0" w:header="0"/>
        </w:sectPr>
      </w:pPr>
    </w:p>
    <w:bookmarkStart w:id="165" w:name="page166"/>
    <w:bookmarkEnd w:id="165"/>
    <w:p>
      <w:pPr>
        <w:ind w:right="1779"/>
        <w:spacing w:after="0" w:line="237" w:lineRule="auto"/>
        <w:rPr>
          <w:sz w:val="20"/>
          <w:szCs w:val="20"/>
          <w:color w:val="auto"/>
        </w:rPr>
      </w:pPr>
      <w:r>
        <w:rPr>
          <w:rFonts w:ascii="Courier New" w:cs="Courier New" w:eastAsia="Courier New" w:hAnsi="Courier New"/>
          <w:sz w:val="18"/>
          <w:szCs w:val="18"/>
          <w:color w:val="auto"/>
        </w:rPr>
        <w:t>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12, or if any creditor shall attempt to subject the same to a writ of garnishment, attachment, execution sequestration, or any other form of process or involuntary lien or seizure, then such attempt shall have no effect and shall be void.</w:t>
      </w:r>
    </w:p>
    <w:p>
      <w:pPr>
        <w:spacing w:after="0" w:line="216" w:lineRule="exact"/>
        <w:rPr>
          <w:sz w:val="20"/>
          <w:szCs w:val="20"/>
          <w:color w:val="auto"/>
        </w:rPr>
      </w:pPr>
    </w:p>
    <w:p>
      <w:pPr>
        <w:ind w:left="-640" w:right="1779" w:firstLine="640"/>
        <w:spacing w:after="0" w:line="238" w:lineRule="auto"/>
        <w:tabs>
          <w:tab w:leader="none" w:pos="41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and Transfers.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the form attached hereto as Exhibit A, or such other form as may be prescribed by the Committee,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 To the extent that the receipt of this Award, vesting, or the delivery of the Common Stock with respect to any Performance Share Units earned results in income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compensation income.</w:t>
      </w:r>
    </w:p>
    <w:p>
      <w:pPr>
        <w:spacing w:after="0" w:line="214" w:lineRule="exact"/>
        <w:rPr>
          <w:rFonts w:ascii="Courier New" w:cs="Courier New" w:eastAsia="Courier New" w:hAnsi="Courier New"/>
          <w:sz w:val="18"/>
          <w:szCs w:val="18"/>
          <w:color w:val="auto"/>
        </w:rPr>
      </w:pPr>
    </w:p>
    <w:p>
      <w:pPr>
        <w:ind w:left="-640" w:right="1879" w:firstLine="640"/>
        <w:spacing w:after="0" w:line="237" w:lineRule="auto"/>
        <w:tabs>
          <w:tab w:leader="none" w:pos="41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 Structure.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209"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Laws.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579"/>
          </w:cols>
          <w:pgMar w:left="880" w:top="723" w:right="1440" w:bottom="1440" w:gutter="0" w:footer="0" w:header="0"/>
        </w:sectPr>
      </w:pPr>
    </w:p>
    <w:bookmarkStart w:id="166" w:name="page167"/>
    <w:bookmarkEnd w:id="166"/>
    <w:p>
      <w:pPr>
        <w:ind w:right="2619"/>
        <w:spacing w:after="0" w:line="235" w:lineRule="auto"/>
        <w:rPr>
          <w:sz w:val="20"/>
          <w:szCs w:val="20"/>
          <w:color w:val="auto"/>
        </w:rPr>
      </w:pPr>
      <w:r>
        <w:rPr>
          <w:rFonts w:ascii="Courier New" w:cs="Courier New" w:eastAsia="Courier New" w:hAnsi="Courier New"/>
          <w:sz w:val="18"/>
          <w:szCs w:val="18"/>
          <w:color w:val="auto"/>
        </w:rPr>
        <w:t>agreements as the Company may reasonably request in order to comply with applicable securities laws or with this Agreement.</w:t>
      </w:r>
    </w:p>
    <w:p>
      <w:pPr>
        <w:spacing w:after="0" w:line="208" w:lineRule="exact"/>
        <w:rPr>
          <w:sz w:val="20"/>
          <w:szCs w:val="20"/>
          <w:color w:val="auto"/>
        </w:rPr>
      </w:pPr>
    </w:p>
    <w:p>
      <w:pPr>
        <w:ind w:right="1779" w:firstLine="640"/>
        <w:spacing w:after="0" w:line="237" w:lineRule="auto"/>
        <w:tabs>
          <w:tab w:leader="none" w:pos="105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to Have no Rights as a Stockholder. The Employee shall have no rights as a stockholder with respect to any shares of Common Stock subject to this Award prior to the date on which he or she is recorded as the holder of such shares of Common Stock on the records of the Company. However, for Performance Share Units that are vested and deferred pursuant to Section 9, the Company will pay Dividend Equivalents during the deferral periodin the form, as elected by Employee at the time of the deferral, of either (a) immediate cash payments, or (ii) additional Performance Share Units credited to Employee's deferral account.</w:t>
      </w:r>
    </w:p>
    <w:p>
      <w:pPr>
        <w:spacing w:after="0" w:line="207"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w:t>
      </w:r>
    </w:p>
    <w:p>
      <w:pPr>
        <w:spacing w:after="0" w:line="206" w:lineRule="exact"/>
        <w:rPr>
          <w:rFonts w:ascii="Courier New" w:cs="Courier New" w:eastAsia="Courier New" w:hAnsi="Courier New"/>
          <w:sz w:val="18"/>
          <w:szCs w:val="18"/>
          <w:color w:val="auto"/>
        </w:rPr>
      </w:pPr>
    </w:p>
    <w:p>
      <w:pPr>
        <w:ind w:left="640" w:right="1999" w:firstLine="632"/>
        <w:spacing w:after="0" w:line="237" w:lineRule="auto"/>
        <w:tabs>
          <w:tab w:leader="none" w:pos="169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209" w:lineRule="exact"/>
        <w:rPr>
          <w:rFonts w:ascii="Courier New" w:cs="Courier New" w:eastAsia="Courier New" w:hAnsi="Courier New"/>
          <w:sz w:val="18"/>
          <w:szCs w:val="18"/>
          <w:color w:val="auto"/>
        </w:rPr>
      </w:pPr>
    </w:p>
    <w:p>
      <w:pPr>
        <w:ind w:left="640" w:right="1999" w:firstLine="632"/>
        <w:spacing w:after="0" w:line="237" w:lineRule="auto"/>
        <w:tabs>
          <w:tab w:leader="none" w:pos="169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209" w:lineRule="exact"/>
        <w:rPr>
          <w:rFonts w:ascii="Courier New" w:cs="Courier New" w:eastAsia="Courier New" w:hAnsi="Courier New"/>
          <w:sz w:val="18"/>
          <w:szCs w:val="18"/>
          <w:color w:val="auto"/>
        </w:rPr>
      </w:pPr>
    </w:p>
    <w:p>
      <w:pPr>
        <w:ind w:right="2199" w:firstLine="640"/>
        <w:spacing w:after="0" w:line="235" w:lineRule="auto"/>
        <w:tabs>
          <w:tab w:leader="none" w:pos="105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Rights. Nothing in this Agreement or the Plan may be construed to:</w:t>
      </w:r>
    </w:p>
    <w:p>
      <w:pPr>
        <w:spacing w:after="0" w:line="208" w:lineRule="exact"/>
        <w:rPr>
          <w:rFonts w:ascii="Courier New" w:cs="Courier New" w:eastAsia="Courier New" w:hAnsi="Courier New"/>
          <w:sz w:val="18"/>
          <w:szCs w:val="18"/>
          <w:color w:val="auto"/>
        </w:rPr>
      </w:pPr>
    </w:p>
    <w:p>
      <w:pPr>
        <w:jc w:val="both"/>
        <w:ind w:left="640" w:right="2099" w:firstLine="632"/>
        <w:spacing w:after="0" w:line="236" w:lineRule="auto"/>
        <w:tabs>
          <w:tab w:leader="none" w:pos="169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Employee any right to be awarded any further Performance Share Units (or other form of stock incentive awards) other than in the sole discretion of the Committee;</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69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208" w:lineRule="exact"/>
        <w:rPr>
          <w:rFonts w:ascii="Courier New" w:cs="Courier New" w:eastAsia="Courier New" w:hAnsi="Courier New"/>
          <w:sz w:val="18"/>
          <w:szCs w:val="18"/>
          <w:color w:val="auto"/>
        </w:rPr>
      </w:pPr>
    </w:p>
    <w:p>
      <w:pPr>
        <w:ind w:left="640" w:right="1879" w:firstLine="632"/>
        <w:spacing w:after="0" w:line="235" w:lineRule="auto"/>
        <w:tabs>
          <w:tab w:leader="none" w:pos="169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confer upon Employee the right to continue in the employment or service of the Company.</w:t>
      </w:r>
    </w:p>
    <w:p>
      <w:pPr>
        <w:spacing w:after="0" w:line="208" w:lineRule="exact"/>
        <w:rPr>
          <w:rFonts w:ascii="Courier New" w:cs="Courier New" w:eastAsia="Courier New" w:hAnsi="Courier New"/>
          <w:sz w:val="18"/>
          <w:szCs w:val="18"/>
          <w:color w:val="auto"/>
        </w:rPr>
      </w:pPr>
    </w:p>
    <w:p>
      <w:pPr>
        <w:jc w:val="both"/>
        <w:ind w:right="2099" w:firstLine="640"/>
        <w:spacing w:after="0" w:line="236" w:lineRule="auto"/>
        <w:tabs>
          <w:tab w:leader="none" w:pos="105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internal laws of the State of Texas, without reference to principles of conflict of laws.</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The invalidity or unenforceability of any provision of this Agreement shall not affect the validity or enforceability of any other provision of this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67" w:name="page168"/>
    <w:bookmarkEnd w:id="167"/>
    <w:p>
      <w:pPr>
        <w:ind w:left="-640" w:right="1779" w:firstLine="640"/>
        <w:spacing w:after="0" w:line="237" w:lineRule="auto"/>
        <w:tabs>
          <w:tab w:leader="none" w:pos="41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208" w:lineRule="exact"/>
        <w:rPr>
          <w:rFonts w:ascii="Courier New" w:cs="Courier New" w:eastAsia="Courier New" w:hAnsi="Courier New"/>
          <w:sz w:val="18"/>
          <w:szCs w:val="18"/>
          <w:color w:val="auto"/>
        </w:rPr>
      </w:pPr>
    </w:p>
    <w:p>
      <w:pPr>
        <w:ind w:left="-640" w:right="1879" w:firstLine="640"/>
        <w:spacing w:after="0" w:line="237" w:lineRule="auto"/>
        <w:tabs>
          <w:tab w:leader="none" w:pos="41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22.</w:t>
      </w:r>
    </w:p>
    <w:p>
      <w:pPr>
        <w:spacing w:after="0" w:line="203" w:lineRule="exact"/>
        <w:rPr>
          <w:rFonts w:ascii="Courier New" w:cs="Courier New" w:eastAsia="Courier New" w:hAnsi="Courier New"/>
          <w:sz w:val="18"/>
          <w:szCs w:val="18"/>
          <w:color w:val="auto"/>
        </w:rPr>
      </w:pPr>
    </w:p>
    <w:p>
      <w:pPr>
        <w:ind w:left="1060" w:hanging="428"/>
        <w:spacing w:after="0"/>
        <w:tabs>
          <w:tab w:leader="none" w:pos="10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Waste Management, Inc.</w:t>
      </w:r>
    </w:p>
    <w:p>
      <w:pPr>
        <w:spacing w:after="0" w:line="206" w:lineRule="exact"/>
        <w:rPr>
          <w:rFonts w:ascii="Courier New" w:cs="Courier New" w:eastAsia="Courier New" w:hAnsi="Courier New"/>
          <w:sz w:val="18"/>
          <w:szCs w:val="18"/>
          <w:color w:val="auto"/>
        </w:rPr>
      </w:pPr>
    </w:p>
    <w:p>
      <w:pPr>
        <w:ind w:right="1779" w:firstLine="632"/>
        <w:spacing w:after="0" w:line="238" w:lineRule="auto"/>
        <w:tabs>
          <w:tab w:leader="none" w:pos="1053"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nolo contendre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208" w:lineRule="exact"/>
        <w:rPr>
          <w:rFonts w:ascii="Courier New" w:cs="Courier New" w:eastAsia="Courier New" w:hAnsi="Courier New"/>
          <w:sz w:val="18"/>
          <w:szCs w:val="18"/>
          <w:color w:val="auto"/>
        </w:rPr>
      </w:pPr>
    </w:p>
    <w:p>
      <w:pPr>
        <w:ind w:right="2199" w:firstLine="632"/>
        <w:spacing w:after="0" w:line="235" w:lineRule="auto"/>
        <w:tabs>
          <w:tab w:leader="none" w:pos="1053"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first to occur on or after the Grant Date of any of the following events:</w:t>
      </w:r>
    </w:p>
    <w:p>
      <w:pPr>
        <w:spacing w:after="0" w:line="208" w:lineRule="exact"/>
        <w:rPr>
          <w:rFonts w:ascii="Courier New" w:cs="Courier New" w:eastAsia="Courier New" w:hAnsi="Courier New"/>
          <w:sz w:val="18"/>
          <w:szCs w:val="18"/>
          <w:color w:val="auto"/>
        </w:rPr>
      </w:pPr>
    </w:p>
    <w:p>
      <w:pPr>
        <w:ind w:left="640" w:right="1779" w:firstLine="624"/>
        <w:spacing w:after="0" w:line="237" w:lineRule="auto"/>
        <w:tabs>
          <w:tab w:leader="none" w:pos="1693" w:val="left"/>
        </w:tabs>
        <w:numPr>
          <w:ilvl w:val="2"/>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207" w:lineRule="exact"/>
        <w:rPr>
          <w:rFonts w:ascii="Courier New" w:cs="Courier New" w:eastAsia="Courier New" w:hAnsi="Courier New"/>
          <w:sz w:val="18"/>
          <w:szCs w:val="18"/>
          <w:color w:val="auto"/>
        </w:rPr>
      </w:pPr>
    </w:p>
    <w:p>
      <w:pPr>
        <w:ind w:left="640" w:right="1779" w:firstLine="624"/>
        <w:spacing w:after="0" w:line="238" w:lineRule="auto"/>
        <w:tabs>
          <w:tab w:leader="none" w:pos="1799" w:val="left"/>
        </w:tabs>
        <w:numPr>
          <w:ilvl w:val="2"/>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individuals cease for any reason to constitute a majority of the number of directors then serving: individuals who, on the Grant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(2/3rds) of the directors then still in office who either were directors on the Grant Date or whose appointment, election or nomination for election was previously so approved or recommended (the "Incumbent Board");</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3" w:right="1440" w:bottom="1440" w:gutter="0" w:footer="0" w:header="0"/>
        </w:sectPr>
      </w:pPr>
    </w:p>
    <w:bookmarkStart w:id="168" w:name="page169"/>
    <w:bookmarkEnd w:id="168"/>
    <w:p>
      <w:pPr>
        <w:ind w:left="640" w:right="1779" w:firstLine="624"/>
        <w:spacing w:after="0" w:line="238" w:lineRule="auto"/>
        <w:tabs>
          <w:tab w:leader="none" w:pos="190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207" w:lineRule="exact"/>
        <w:rPr>
          <w:rFonts w:ascii="Courier New" w:cs="Courier New" w:eastAsia="Courier New" w:hAnsi="Courier New"/>
          <w:sz w:val="18"/>
          <w:szCs w:val="18"/>
          <w:color w:val="auto"/>
        </w:rPr>
      </w:pPr>
    </w:p>
    <w:p>
      <w:pPr>
        <w:ind w:left="640" w:right="1779" w:firstLine="624"/>
        <w:spacing w:after="0" w:line="237" w:lineRule="auto"/>
        <w:tabs>
          <w:tab w:leader="none" w:pos="179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215" w:lineRule="exact"/>
        <w:rPr>
          <w:sz w:val="20"/>
          <w:szCs w:val="20"/>
          <w:color w:val="auto"/>
        </w:rPr>
      </w:pPr>
    </w:p>
    <w:p>
      <w:pPr>
        <w:ind w:left="640" w:right="2199" w:firstLine="632"/>
        <w:spacing w:after="0" w:line="235" w:lineRule="auto"/>
        <w:rPr>
          <w:sz w:val="20"/>
          <w:szCs w:val="20"/>
          <w:color w:val="auto"/>
        </w:rPr>
      </w:pPr>
      <w:r>
        <w:rPr>
          <w:rFonts w:ascii="Courier New" w:cs="Courier New" w:eastAsia="Courier New" w:hAnsi="Courier New"/>
          <w:sz w:val="18"/>
          <w:szCs w:val="18"/>
          <w:color w:val="auto"/>
        </w:rPr>
        <w:t>For purposes of this definition, the following terms shall have the following meanings:</w:t>
      </w:r>
    </w:p>
    <w:p>
      <w:pPr>
        <w:spacing w:after="0" w:line="208" w:lineRule="exact"/>
        <w:rPr>
          <w:sz w:val="20"/>
          <w:szCs w:val="20"/>
          <w:color w:val="auto"/>
        </w:rPr>
      </w:pPr>
    </w:p>
    <w:p>
      <w:pPr>
        <w:ind w:left="1260" w:right="1879" w:firstLine="636"/>
        <w:spacing w:after="0" w:line="235" w:lineRule="auto"/>
        <w:tabs>
          <w:tab w:leader="none" w:pos="231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set forth in Rule 13d-3 under the Exchange Act;</w:t>
      </w:r>
    </w:p>
    <w:p>
      <w:pPr>
        <w:spacing w:after="0" w:line="208" w:lineRule="exact"/>
        <w:rPr>
          <w:rFonts w:ascii="Courier New" w:cs="Courier New" w:eastAsia="Courier New" w:hAnsi="Courier New"/>
          <w:sz w:val="18"/>
          <w:szCs w:val="18"/>
          <w:color w:val="auto"/>
        </w:rPr>
      </w:pPr>
    </w:p>
    <w:p>
      <w:pPr>
        <w:ind w:left="1260" w:right="1779" w:firstLine="636"/>
        <w:spacing w:after="0" w:line="235" w:lineRule="auto"/>
        <w:tabs>
          <w:tab w:leader="none" w:pos="231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and Exchange Act of 1934, as amended from time to time;</w:t>
      </w:r>
    </w:p>
    <w:p>
      <w:pPr>
        <w:spacing w:after="0" w:line="208" w:lineRule="exact"/>
        <w:rPr>
          <w:rFonts w:ascii="Courier New" w:cs="Courier New" w:eastAsia="Courier New" w:hAnsi="Courier New"/>
          <w:sz w:val="18"/>
          <w:szCs w:val="18"/>
          <w:color w:val="auto"/>
        </w:rPr>
      </w:pPr>
    </w:p>
    <w:p>
      <w:pPr>
        <w:ind w:left="1260" w:right="1779" w:firstLine="636"/>
        <w:spacing w:after="0" w:line="237" w:lineRule="auto"/>
        <w:tabs>
          <w:tab w:leader="none" w:pos="231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21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definition of Change in Control will be modified if and to the extent necessary to ensure compliance with the requirements of Section 409A of the Internal Revenue Code, and Employee and the Company agree to execute such further instruments and take such further action as reasonably may be necessary to comply with Section 409A of the Internal Revenue Code.</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723" w:right="1440" w:bottom="1440" w:gutter="0" w:footer="0" w:header="0"/>
        </w:sectPr>
      </w:pPr>
    </w:p>
    <w:bookmarkStart w:id="169" w:name="page170"/>
    <w:bookmarkEnd w:id="169"/>
    <w:p>
      <w:pPr>
        <w:ind w:left="-560" w:right="1879" w:firstLine="632"/>
        <w:spacing w:after="0" w:line="236" w:lineRule="auto"/>
        <w:tabs>
          <w:tab w:leader="none" w:pos="4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Committee of the Board or such other committee of the Board as the Board may designate from time to time.</w:t>
      </w:r>
    </w:p>
    <w:p>
      <w:pPr>
        <w:spacing w:after="0" w:line="208" w:lineRule="exact"/>
        <w:rPr>
          <w:rFonts w:ascii="Courier New" w:cs="Courier New" w:eastAsia="Courier New" w:hAnsi="Courier New"/>
          <w:sz w:val="18"/>
          <w:szCs w:val="18"/>
          <w:color w:val="auto"/>
        </w:rPr>
      </w:pPr>
    </w:p>
    <w:p>
      <w:pPr>
        <w:ind w:left="-560" w:right="1879" w:firstLine="632"/>
        <w:spacing w:after="0" w:line="273" w:lineRule="auto"/>
        <w:tabs>
          <w:tab w:leader="none" w:pos="49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and Amortization Costs and Expenses" has the meaning assigned in Item 6 of the Form 10-K filed with the Securities and Exchange Commission by the Waste Management, Inc. on February 20, 2004. And, for purposes of this Award, shall be calculated in accordance with the accounting pronouncements, polices and classifications used therein.</w:t>
      </w:r>
    </w:p>
    <w:p>
      <w:pPr>
        <w:spacing w:after="0" w:line="184" w:lineRule="exact"/>
        <w:rPr>
          <w:rFonts w:ascii="Courier New" w:cs="Courier New" w:eastAsia="Courier New" w:hAnsi="Courier New"/>
          <w:sz w:val="16"/>
          <w:szCs w:val="16"/>
          <w:color w:val="auto"/>
        </w:rPr>
      </w:pPr>
    </w:p>
    <w:p>
      <w:pPr>
        <w:ind w:left="-560" w:right="1779" w:firstLine="632"/>
        <w:spacing w:after="0" w:line="237" w:lineRule="auto"/>
        <w:tabs>
          <w:tab w:leader="none" w:pos="4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Equivalent" means an amount of cash equal to all dividends and other distributions (or the economic equivalent thereof) that are payable by the Company on one share of Common Stock to stockholders of record, which, in the discretion of the Committee, may be awarded (i) in connection with any Award under the Plan while such Award is outstanding or otherwise subject to a Restriction Period and on a like number of shares of Common Stock under such Award or (ii) singly. Dividend Equivalents will be paid at such time as dividends are paid on the Company's outstanding shares of Common Stock.</w:t>
      </w:r>
    </w:p>
    <w:p>
      <w:pPr>
        <w:spacing w:after="0" w:line="213" w:lineRule="exact"/>
        <w:rPr>
          <w:rFonts w:ascii="Courier New" w:cs="Courier New" w:eastAsia="Courier New" w:hAnsi="Courier New"/>
          <w:sz w:val="18"/>
          <w:szCs w:val="18"/>
          <w:color w:val="auto"/>
        </w:rPr>
      </w:pPr>
    </w:p>
    <w:p>
      <w:pPr>
        <w:ind w:left="-560" w:right="1779" w:firstLine="632"/>
        <w:spacing w:after="0" w:line="236" w:lineRule="auto"/>
        <w:tabs>
          <w:tab w:leader="none" w:pos="4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 means the sum of Operating Revenue, less Operating Costs and Expenses, less Selling, General and Administrative Costs and Expenses, less Depreciation and Amortization Costs and Expenses.</w:t>
      </w:r>
    </w:p>
    <w:p>
      <w:pPr>
        <w:spacing w:after="0" w:line="208" w:lineRule="exact"/>
        <w:rPr>
          <w:rFonts w:ascii="Courier New" w:cs="Courier New" w:eastAsia="Courier New" w:hAnsi="Courier New"/>
          <w:sz w:val="18"/>
          <w:szCs w:val="18"/>
          <w:color w:val="auto"/>
        </w:rPr>
      </w:pPr>
    </w:p>
    <w:p>
      <w:pPr>
        <w:ind w:left="-560" w:right="1999" w:firstLine="632"/>
        <w:spacing w:after="0" w:line="273" w:lineRule="auto"/>
        <w:tabs>
          <w:tab w:leader="none" w:pos="49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means the excess of the cost of an acquired company over the sum of the fair market value of its identifiable individual assets less the liabilities. For purposes of calculation of this Award, the value of Goodwill shall be the balance of such as reported by Waste Management, Inc. as of December 31 for each applicable year.</w:t>
      </w:r>
    </w:p>
    <w:p>
      <w:pPr>
        <w:spacing w:after="0" w:line="184" w:lineRule="exact"/>
        <w:rPr>
          <w:rFonts w:ascii="Courier New" w:cs="Courier New" w:eastAsia="Courier New" w:hAnsi="Courier New"/>
          <w:sz w:val="16"/>
          <w:szCs w:val="16"/>
          <w:color w:val="auto"/>
        </w:rPr>
      </w:pPr>
    </w:p>
    <w:p>
      <w:pPr>
        <w:ind w:left="-560" w:right="1779" w:firstLine="632"/>
        <w:spacing w:after="0" w:line="237" w:lineRule="auto"/>
        <w:tabs>
          <w:tab w:leader="none" w:pos="4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"Invested Capital" means economic resources that are expected to help generate future cash inflows or help reduce future cash outflows. Invested Capital is equivalent to current maturities of long term debt, plus long term debt, plus shareholders equity, less cash and less Goodwill. For purposes of calculation of this Award, the value of Invested Capital shall be the balance of such as reported by Waste Management, Inc. as of December 31 for each applicable year.</w:t>
      </w:r>
    </w:p>
    <w:p>
      <w:pPr>
        <w:spacing w:after="0" w:line="211" w:lineRule="exact"/>
        <w:rPr>
          <w:rFonts w:ascii="Courier New" w:cs="Courier New" w:eastAsia="Courier New" w:hAnsi="Courier New"/>
          <w:sz w:val="18"/>
          <w:szCs w:val="18"/>
          <w:color w:val="auto"/>
        </w:rPr>
      </w:pPr>
    </w:p>
    <w:p>
      <w:pPr>
        <w:ind w:left="-560" w:right="1879" w:firstLine="632"/>
        <w:spacing w:after="0" w:line="235" w:lineRule="auto"/>
        <w:tabs>
          <w:tab w:leader="none" w:pos="4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Operating Profit After Taxes" or "NOPAT" means the product of EBIT multiplied by the sum of 1 minus the Tax Rate.</w:t>
      </w:r>
    </w:p>
    <w:p>
      <w:pPr>
        <w:spacing w:after="0" w:line="208" w:lineRule="exact"/>
        <w:rPr>
          <w:rFonts w:ascii="Courier New" w:cs="Courier New" w:eastAsia="Courier New" w:hAnsi="Courier New"/>
          <w:sz w:val="18"/>
          <w:szCs w:val="18"/>
          <w:color w:val="auto"/>
        </w:rPr>
      </w:pPr>
    </w:p>
    <w:p>
      <w:pPr>
        <w:ind w:left="-560" w:right="1779" w:firstLine="632"/>
        <w:spacing w:after="0" w:line="272" w:lineRule="auto"/>
        <w:tabs>
          <w:tab w:leader="none" w:pos="49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Costs and Expenses" has the meaning assigned in Item 6 of the Form 10-K filed with the Securities and Exchange Commission by the Waste Management, Inc. on February 20, 2004, exclusive of Depreciation and Amortization. And, for purposes of this Award, Operating Costs and Expenses shall be calculated in accordance with the accounting pronouncements, polices and classifications used in that Form 10-K.</w:t>
      </w:r>
    </w:p>
    <w:p>
      <w:pPr>
        <w:spacing w:after="0" w:line="185" w:lineRule="exact"/>
        <w:rPr>
          <w:rFonts w:ascii="Courier New" w:cs="Courier New" w:eastAsia="Courier New" w:hAnsi="Courier New"/>
          <w:sz w:val="16"/>
          <w:szCs w:val="16"/>
          <w:color w:val="auto"/>
        </w:rPr>
      </w:pPr>
    </w:p>
    <w:p>
      <w:pPr>
        <w:ind w:left="-560" w:right="1999" w:firstLine="632"/>
        <w:spacing w:after="0" w:line="236" w:lineRule="auto"/>
        <w:tabs>
          <w:tab w:leader="none" w:pos="4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Revenue" has the meaning assigned in Item 6 of the Form 10-K filed with the Securities and Exchange Commission by the Waste Management, Inc. on</w:t>
      </w: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723" w:right="1440" w:bottom="1440" w:gutter="0" w:footer="0" w:header="0"/>
        </w:sectPr>
      </w:pPr>
    </w:p>
    <w:bookmarkStart w:id="170" w:name="page171"/>
    <w:bookmarkEnd w:id="170"/>
    <w:p>
      <w:pPr>
        <w:jc w:val="both"/>
        <w:ind w:right="2319"/>
        <w:spacing w:after="0" w:line="236" w:lineRule="auto"/>
        <w:rPr>
          <w:sz w:val="20"/>
          <w:szCs w:val="20"/>
          <w:color w:val="auto"/>
        </w:rPr>
      </w:pPr>
      <w:r>
        <w:rPr>
          <w:rFonts w:ascii="Courier New" w:cs="Courier New" w:eastAsia="Courier New" w:hAnsi="Courier New"/>
          <w:sz w:val="18"/>
          <w:szCs w:val="18"/>
          <w:color w:val="auto"/>
        </w:rPr>
        <w:t>February 20, 2004. And, for purposes of this Award, Operating Revenue shall be calculated in accordance with the accounting pronouncements, polices and classifications used in that Form 10-K.</w:t>
      </w:r>
    </w:p>
    <w:p>
      <w:pPr>
        <w:spacing w:after="0" w:line="209" w:lineRule="exact"/>
        <w:rPr>
          <w:sz w:val="20"/>
          <w:szCs w:val="20"/>
          <w:color w:val="auto"/>
        </w:rPr>
      </w:pPr>
    </w:p>
    <w:p>
      <w:pPr>
        <w:ind w:right="1779" w:firstLine="632"/>
        <w:spacing w:after="0" w:line="272" w:lineRule="auto"/>
        <w:tabs>
          <w:tab w:leader="none" w:pos="1053"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"Selling, General and Administrative Costs and Expenses" has the meaning assigned in Item 6 of the Form 10-K filed with the Securities and Exchange Commission by the Waste Management, Inc. on February 20, 2004. And, for purposes of this Award, Selling, General and Administrative Costs and Expenses shall be calculated in accordance with the accounting pronouncements, polices and classifications used in that Form 10-K.</w:t>
      </w:r>
    </w:p>
    <w:p>
      <w:pPr>
        <w:spacing w:after="0" w:line="185" w:lineRule="exact"/>
        <w:rPr>
          <w:rFonts w:ascii="Courier New" w:cs="Courier New" w:eastAsia="Courier New" w:hAnsi="Courier New"/>
          <w:sz w:val="16"/>
          <w:szCs w:val="16"/>
          <w:color w:val="auto"/>
        </w:rPr>
      </w:pPr>
    </w:p>
    <w:p>
      <w:pPr>
        <w:ind w:right="2519" w:firstLine="632"/>
        <w:spacing w:after="0" w:line="235" w:lineRule="auto"/>
        <w:tabs>
          <w:tab w:leader="none" w:pos="1053"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Rate" is equal to 38.8%, and shall assumed to remain constant for the Performance Period.</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212" w:lineRule="exact"/>
        <w:rPr>
          <w:rFonts w:ascii="Courier New" w:cs="Courier New" w:eastAsia="Courier New" w:hAnsi="Courier New"/>
          <w:sz w:val="18"/>
          <w:szCs w:val="18"/>
          <w:color w:val="auto"/>
        </w:rPr>
      </w:pPr>
    </w:p>
    <w:p>
      <w:pPr>
        <w:ind w:right="1999" w:firstLine="632"/>
        <w:spacing w:after="0" w:line="237" w:lineRule="auto"/>
        <w:tabs>
          <w:tab w:leader="none" w:pos="1053"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201" w:lineRule="exact"/>
        <w:rPr>
          <w:rFonts w:ascii="Courier New" w:cs="Courier New" w:eastAsia="Courier New" w:hAnsi="Courier New"/>
          <w:sz w:val="18"/>
          <w:szCs w:val="18"/>
          <w:color w:val="auto"/>
        </w:rPr>
      </w:pPr>
    </w:p>
    <w:p>
      <w:pPr>
        <w:ind w:left="420" w:hanging="420"/>
        <w:spacing w:after="0"/>
        <w:tabs>
          <w:tab w:leader="none" w:pos="4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6"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hereby acknowledges that he has received, reviewed and accepted the terms and conditions applicable to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11"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hereby acknowledges that he is to consult with and rely upon only Employee's own tax, legal, and financial advisors regarding the consequences and risks of this Agreement and the award of Performance Share Units.</w:t>
      </w:r>
    </w:p>
    <w:p>
      <w:pPr>
        <w:spacing w:after="0" w:line="207" w:lineRule="exact"/>
        <w:rPr>
          <w:rFonts w:ascii="Courier New" w:cs="Courier New" w:eastAsia="Courier New" w:hAnsi="Courier New"/>
          <w:sz w:val="18"/>
          <w:szCs w:val="18"/>
          <w:color w:val="auto"/>
        </w:rPr>
      </w:pPr>
    </w:p>
    <w:p>
      <w:pPr>
        <w:ind w:right="1999" w:firstLine="632"/>
        <w:spacing w:after="0" w:line="275" w:lineRule="auto"/>
        <w:tabs>
          <w:tab w:leader="none" w:pos="1053"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182" w:lineRule="exact"/>
        <w:rPr>
          <w:rFonts w:ascii="Courier New" w:cs="Courier New" w:eastAsia="Courier New" w:hAnsi="Courier New"/>
          <w:sz w:val="16"/>
          <w:szCs w:val="16"/>
          <w:color w:val="auto"/>
        </w:rPr>
      </w:pPr>
    </w:p>
    <w:p>
      <w:pPr>
        <w:ind w:right="2099"/>
        <w:spacing w:after="0" w:line="235" w:lineRule="auto"/>
        <w:tabs>
          <w:tab w:leader="none" w:pos="42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which together shall constitute one and the same original.</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579"/>
          </w:cols>
          <w:pgMar w:left="880" w:top="723" w:right="1440" w:bottom="1440" w:gutter="0" w:footer="0" w:header="0"/>
        </w:sectPr>
      </w:pPr>
    </w:p>
    <w:bookmarkStart w:id="171" w:name="page172"/>
    <w:bookmarkEnd w:id="171"/>
    <w:p>
      <w:pPr>
        <w:ind w:right="1779" w:firstLine="632"/>
        <w:spacing w:after="0" w:line="237" w:lineRule="auto"/>
        <w:rPr>
          <w:sz w:val="20"/>
          <w:szCs w:val="20"/>
          <w:color w:val="auto"/>
        </w:rPr>
      </w:pPr>
      <w:r>
        <w:rPr>
          <w:rFonts w:ascii="Courier New" w:cs="Courier New" w:eastAsia="Courier New" w:hAnsi="Courier New"/>
          <w:sz w:val="18"/>
          <w:szCs w:val="18"/>
          <w:color w:val="auto"/>
        </w:rPr>
        <w:t>IN WITNESS WHEREOF, Waste Management, Inc. has caused this Agreement to be duly executed by one of its officers thereunto duly authorized, which execution may be facsimile, engraved or printed, which shall be deemed an original, and Employee has executed this Agreement, effective as of the day and year first above written.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EMPLOYEE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172" w:name="page173"/>
    <w:bookmarkEnd w:id="172"/>
    <w:p>
      <w:pPr>
        <w:jc w:val="right"/>
        <w:ind w:right="1779"/>
        <w:spacing w:after="0"/>
        <w:rPr>
          <w:sz w:val="20"/>
          <w:szCs w:val="20"/>
          <w:color w:val="auto"/>
        </w:rPr>
      </w:pPr>
      <w:r>
        <w:rPr>
          <w:rFonts w:ascii="Courier New" w:cs="Courier New" w:eastAsia="Courier New" w:hAnsi="Courier New"/>
          <w:sz w:val="18"/>
          <w:szCs w:val="18"/>
          <w:color w:val="auto"/>
        </w:rPr>
        <w:t>EXHIBIT A TO PERFORMANCE SHARE</w:t>
      </w:r>
    </w:p>
    <w:p>
      <w:pPr>
        <w:jc w:val="right"/>
        <w:ind w:right="1779"/>
        <w:spacing w:after="0" w:line="238" w:lineRule="auto"/>
        <w:rPr>
          <w:sz w:val="20"/>
          <w:szCs w:val="20"/>
          <w:color w:val="auto"/>
        </w:rPr>
      </w:pPr>
      <w:r>
        <w:rPr>
          <w:rFonts w:ascii="Courier New" w:cs="Courier New" w:eastAsia="Courier New" w:hAnsi="Courier New"/>
          <w:sz w:val="18"/>
          <w:szCs w:val="18"/>
          <w:color w:val="auto"/>
        </w:rPr>
        <w:t>UNIT AWARD AGREEMENT</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PERFORMANCE SHARE UNIT AWARD AGREEMENT PURSUANT TO THE WASTE MANAGEMENT, INC. 2004 STOCK INCENTIVE PLAN DESIGNATION OF BENEFICIARY</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 _____________________________________ ("Employee") hereby declare that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my death ___________________ (the "Beneficiary") of _______________________</w:t>
      </w:r>
    </w:p>
    <w:p>
      <w:pPr>
        <w:spacing w:after="0" w:line="218"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Street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 who is my _______________________, will be entitled</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to Employee</w:t>
      </w:r>
    </w:p>
    <w:p>
      <w:pPr>
        <w:spacing w:after="0" w:line="200" w:lineRule="exact"/>
        <w:rPr>
          <w:sz w:val="20"/>
          <w:szCs w:val="20"/>
          <w:color w:val="auto"/>
        </w:rPr>
      </w:pPr>
    </w:p>
    <w:p>
      <w:pPr>
        <w:sectPr>
          <w:pgSz w:w="11900" w:h="16838" w:orient="portrait"/>
          <w:cols w:equalWidth="0" w:num="4">
            <w:col w:w="420" w:space="440"/>
            <w:col w:w="520" w:space="620"/>
            <w:col w:w="1400" w:space="720"/>
            <w:col w:w="6099"/>
          </w:cols>
          <w:pgMar w:left="240" w:top="717" w:right="1440" w:bottom="1440" w:gutter="0" w:footer="0" w:header="0"/>
          <w:type w:val="continuous"/>
        </w:sectPr>
      </w:pPr>
    </w:p>
    <w:p>
      <w:pPr>
        <w:spacing w:after="0" w:line="2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to the Performance Share Units and all other rights accorded Employee by the above-referenced Performance Share Unit Award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It is understood that this designation of Beneficiary is made pursuant to the Agreement and is subject to the conditions stated therein, including the Beneficiary's survival of Employee. If any such condition is not satisfied, such rights shall devolve according to Employee's last will and testament, or if none, then the laws of descent and distribution.</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It is further understood that all prior designations of beneficiary under the Agreement are hereby revoked and that this designation of Beneficiary may only be revoked in writing, signed by Employee, duly notarized, and filed with the Company.</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Employee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before me, this _______</w:t>
      </w:r>
    </w:p>
    <w:p>
      <w:pPr>
        <w:spacing w:after="0" w:line="238" w:lineRule="auto"/>
        <w:rPr>
          <w:sz w:val="20"/>
          <w:szCs w:val="20"/>
          <w:color w:val="auto"/>
        </w:rPr>
      </w:pPr>
      <w:r>
        <w:rPr>
          <w:rFonts w:ascii="Courier New" w:cs="Courier New" w:eastAsia="Courier New" w:hAnsi="Courier New"/>
          <w:sz w:val="18"/>
          <w:szCs w:val="18"/>
          <w:color w:val="auto"/>
        </w:rPr>
        <w:t>day of ______, 20____.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Notary Public, State of ___________</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type w:val="continuous"/>
        </w:sectPr>
      </w:pPr>
    </w:p>
    <w:bookmarkStart w:id="173" w:name="page174"/>
    <w:bookmarkEnd w:id="173"/>
    <w:p>
      <w:pPr>
        <w:jc w:val="right"/>
        <w:ind w:right="1779"/>
        <w:spacing w:after="0"/>
        <w:rPr>
          <w:sz w:val="20"/>
          <w:szCs w:val="20"/>
          <w:color w:val="auto"/>
        </w:rPr>
      </w:pPr>
      <w:r>
        <w:rPr>
          <w:rFonts w:ascii="Courier New" w:cs="Courier New" w:eastAsia="Courier New" w:hAnsi="Courier New"/>
          <w:sz w:val="18"/>
          <w:szCs w:val="18"/>
          <w:color w:val="auto"/>
        </w:rPr>
        <w:t>EXHIBIT 10.30</w:t>
      </w:r>
    </w:p>
    <w:p>
      <w:pPr>
        <w:ind w:left="3160"/>
        <w:spacing w:after="0" w:line="238" w:lineRule="auto"/>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This EMPLOYMENT AGREEMENT (the "Agreement") is made and entered into on this ____ day of July, 2002, by and between Wheelabrator Technologies, Inc. (the</w:t>
      </w:r>
    </w:p>
    <w:p>
      <w:pPr>
        <w:ind w:right="2199"/>
        <w:spacing w:after="0" w:line="235" w:lineRule="auto"/>
        <w:rPr>
          <w:sz w:val="20"/>
          <w:szCs w:val="20"/>
          <w:color w:val="auto"/>
        </w:rPr>
      </w:pPr>
      <w:r>
        <w:rPr>
          <w:rFonts w:ascii="Courier New" w:cs="Courier New" w:eastAsia="Courier New" w:hAnsi="Courier New"/>
          <w:sz w:val="18"/>
          <w:szCs w:val="18"/>
          <w:color w:val="auto"/>
        </w:rPr>
        <w:t>"Company"), and Drennan Lowell (the "Executive"). The Company is an indirect subsidiary of Waste Management, Inc. ("WMI")</w:t>
      </w:r>
    </w:p>
    <w:p>
      <w:pPr>
        <w:spacing w:after="0" w:line="203" w:lineRule="exact"/>
        <w:rPr>
          <w:sz w:val="20"/>
          <w:szCs w:val="20"/>
          <w:color w:val="auto"/>
        </w:rPr>
      </w:pPr>
    </w:p>
    <w:p>
      <w:pPr>
        <w:ind w:left="1280" w:hanging="640"/>
        <w:spacing w:after="0"/>
        <w:tabs>
          <w:tab w:leader="none" w:pos="12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The Company shall employ Executive, and Executive shall be employed by the Company upon the terms and subject to the conditions set forth in this Agreement.</w:t>
      </w:r>
    </w:p>
    <w:p>
      <w:pPr>
        <w:spacing w:after="0" w:line="203" w:lineRule="exact"/>
        <w:rPr>
          <w:sz w:val="20"/>
          <w:szCs w:val="20"/>
          <w:color w:val="auto"/>
        </w:rPr>
      </w:pPr>
    </w:p>
    <w:p>
      <w:pPr>
        <w:ind w:left="1280" w:hanging="640"/>
        <w:spacing w:after="0"/>
        <w:tabs>
          <w:tab w:leader="none" w:pos="12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EMPLOYMENT.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period of Executive's employment under this Agreement shall commence on May 14, 2001 ("Employment Date"), and shall continue for a period of two (2) years thereafter, and shall automatically be renewed for successive one (1) year periods thereafter, unless Executive's employment is terminated in accordance with Section 5 below. The period during which Executive is employed hereunder shall be referred to as the "Employment Period."</w:t>
      </w:r>
    </w:p>
    <w:p>
      <w:pPr>
        <w:spacing w:after="0" w:line="204" w:lineRule="exact"/>
        <w:rPr>
          <w:sz w:val="20"/>
          <w:szCs w:val="20"/>
          <w:color w:val="auto"/>
        </w:rPr>
      </w:pPr>
    </w:p>
    <w:p>
      <w:pPr>
        <w:ind w:left="1280" w:hanging="640"/>
        <w:spacing w:after="0"/>
        <w:tabs>
          <w:tab w:leader="none" w:pos="12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AND RESPONSIBILITIES.</w:t>
      </w:r>
    </w:p>
    <w:p>
      <w:pPr>
        <w:spacing w:after="0" w:line="207" w:lineRule="exact"/>
        <w:rPr>
          <w:sz w:val="20"/>
          <w:szCs w:val="20"/>
          <w:color w:val="auto"/>
        </w:rPr>
      </w:pPr>
    </w:p>
    <w:p>
      <w:pPr>
        <w:ind w:right="1879" w:firstLine="640"/>
        <w:spacing w:after="0" w:line="237" w:lineRule="auto"/>
        <w:tabs>
          <w:tab w:leader="none" w:pos="105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serve as President of Wheelabrator Technologies, Inc.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of WMI.</w:t>
      </w:r>
    </w:p>
    <w:p>
      <w:pPr>
        <w:spacing w:after="0" w:line="209"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8 of this Agreement), be involved in charitable and professional activities, and, with the prior written consent of the WMI Board of Directors, serve on boards of other for profit entities, provided such activities do not materially interfere with the performance of his duties hereunder.</w:t>
      </w:r>
    </w:p>
    <w:p>
      <w:pPr>
        <w:spacing w:after="0" w:line="208" w:lineRule="exact"/>
        <w:rPr>
          <w:sz w:val="20"/>
          <w:szCs w:val="20"/>
          <w:color w:val="auto"/>
        </w:rPr>
      </w:pPr>
    </w:p>
    <w:p>
      <w:pPr>
        <w:ind w:left="1280" w:hanging="640"/>
        <w:spacing w:after="0"/>
        <w:tabs>
          <w:tab w:leader="none" w:pos="128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AND BENEFITS.</w:t>
      </w:r>
    </w:p>
    <w:p>
      <w:pPr>
        <w:spacing w:after="0" w:line="207" w:lineRule="exact"/>
        <w:rPr>
          <w:sz w:val="20"/>
          <w:szCs w:val="20"/>
          <w:color w:val="auto"/>
        </w:rPr>
      </w:pPr>
    </w:p>
    <w:p>
      <w:pPr>
        <w:ind w:right="1779" w:firstLine="640"/>
        <w:spacing w:after="0" w:line="237" w:lineRule="auto"/>
        <w:tabs>
          <w:tab w:leader="none" w:pos="105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 During the Employment Period, the Company shall pay Executive a base salary at the annual rate of Two Hundred Fifty Thousand and 00/100ths Dollars ($250,000.00)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ectPr>
          <w:pgSz w:w="11900" w:h="16838" w:orient="portrait"/>
          <w:cols w:equalWidth="0" w:num="1">
            <w:col w:w="10219"/>
          </w:cols>
          <w:pgMar w:left="240" w:top="541" w:right="1440" w:bottom="1440" w:gutter="0" w:footer="0" w:header="0"/>
        </w:sectPr>
      </w:pPr>
    </w:p>
    <w:bookmarkStart w:id="174" w:name="page175"/>
    <w:bookmarkEnd w:id="174"/>
    <w:p>
      <w:pPr>
        <w:ind w:right="1779" w:firstLine="640"/>
        <w:spacing w:after="0" w:line="268" w:lineRule="auto"/>
        <w:tabs>
          <w:tab w:leader="none" w:pos="1053"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as established by the Compensation Committee of the Board from time to time. The Executive's target annual bonus will be Seventy-Five percent (75%) of his Base Salary in effect for such year (the "Target Bonus"), and his actual annual bonus may range from 0% to 150% (two times target) and will be determined based upon</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achievement of certain WMI and Company performance goals, as may be established and approved by from time to time by the Compensation Committee of the WMI Board of Directors, and (ii) the achievement of personal performance goals as may be established by WMI's Chief Executive Officer.</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Executive shall be eligible to be considered for stock option grants under the Waste Management, Inc.'s annual stock option award program as administered by, and at the sole discretion of, the Compensation Committee of the WMI Board of Directors.</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PLANS AND VACATION. Subject to the terms of such plans, Executive shall be eligible to participate in or receive benefits under any pension plan, profit sharing plan, salary deferral plan, medical and dental benefits plan, life insurance plan, short-term and long-term disability plans, or any other health, welfare or fringe benefit plan, generally made available to similarly-situated WMI executive employees. Neither WMI nor the Company shall be obligated to institute, maintain, or refrain from changing, amending, or discontinuing any benefit plan, or perquisite, so long as such changes are similarly applicable to similarly-situated employees generally.</w:t>
      </w:r>
    </w:p>
    <w:p>
      <w:pPr>
        <w:spacing w:after="0" w:line="214"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78" w:lineRule="exact"/>
        <w:rPr>
          <w:sz w:val="20"/>
          <w:szCs w:val="20"/>
          <w:color w:val="auto"/>
        </w:rPr>
      </w:pPr>
    </w:p>
    <w:p>
      <w:pPr>
        <w:ind w:right="1879" w:firstLine="640"/>
        <w:spacing w:after="0" w:line="237" w:lineRule="auto"/>
        <w:tabs>
          <w:tab w:leader="none" w:pos="1053"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207" w:lineRule="exact"/>
        <w:rPr>
          <w:sz w:val="20"/>
          <w:szCs w:val="20"/>
          <w:color w:val="auto"/>
        </w:rPr>
      </w:pPr>
    </w:p>
    <w:p>
      <w:pPr>
        <w:ind w:left="1280" w:right="1779" w:hanging="640"/>
        <w:spacing w:after="0" w:line="237" w:lineRule="auto"/>
        <w:tabs>
          <w:tab w:leader="none" w:pos="12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 OTHER PERQUISITES. Executive shall be entitled to all perquisites provided to Senior Vice Presidents of WMI as approved by the Compensation Committee of the WMI Board of Directors, and as they may exist from time to time.</w:t>
      </w:r>
    </w:p>
    <w:p>
      <w:pPr>
        <w:spacing w:after="0" w:line="202" w:lineRule="exact"/>
        <w:rPr>
          <w:sz w:val="20"/>
          <w:szCs w:val="20"/>
          <w:color w:val="auto"/>
        </w:rPr>
      </w:pPr>
    </w:p>
    <w:p>
      <w:pPr>
        <w:ind w:left="1280" w:hanging="640"/>
        <w:spacing w:after="0"/>
        <w:tabs>
          <w:tab w:leader="none" w:pos="12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Executive's employment hereunder may be terminated during the Employment Period under the following circumstances:</w:t>
      </w:r>
    </w:p>
    <w:p>
      <w:pPr>
        <w:spacing w:after="0" w:line="208" w:lineRule="exact"/>
        <w:rPr>
          <w:sz w:val="20"/>
          <w:szCs w:val="20"/>
          <w:color w:val="auto"/>
        </w:rPr>
      </w:pPr>
    </w:p>
    <w:p>
      <w:pPr>
        <w:ind w:right="2839" w:firstLine="640"/>
        <w:spacing w:after="0" w:line="235" w:lineRule="auto"/>
        <w:tabs>
          <w:tab w:leader="none" w:pos="10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Executive's employment hereunder shall terminate upon Executive's death.</w:t>
      </w:r>
    </w:p>
    <w:p>
      <w:pPr>
        <w:spacing w:after="0" w:line="208" w:lineRule="exact"/>
        <w:rPr>
          <w:rFonts w:ascii="Courier New" w:cs="Courier New" w:eastAsia="Courier New" w:hAnsi="Courier New"/>
          <w:sz w:val="18"/>
          <w:szCs w:val="18"/>
          <w:color w:val="auto"/>
        </w:rPr>
      </w:pPr>
    </w:p>
    <w:p>
      <w:pPr>
        <w:ind w:right="2199" w:firstLine="640"/>
        <w:spacing w:after="0" w:line="237" w:lineRule="auto"/>
        <w:tabs>
          <w:tab w:leader="none" w:pos="10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DISABILITY. The Company may terminate Executive's employment hereunder upon Executive becoming "Totally Disabled." For purposes of this Agreement, Executive shall be considered "Totally Disabled" if Executive has been physically or mentally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75" w:name="page176"/>
    <w:bookmarkEnd w:id="175"/>
    <w:p>
      <w:pPr>
        <w:ind w:right="1879"/>
        <w:spacing w:after="0" w:line="237" w:lineRule="auto"/>
        <w:rPr>
          <w:sz w:val="20"/>
          <w:szCs w:val="20"/>
          <w:color w:val="auto"/>
        </w:rPr>
      </w:pPr>
      <w:r>
        <w:rPr>
          <w:rFonts w:ascii="Courier New" w:cs="Courier New" w:eastAsia="Courier New" w:hAnsi="Courier New"/>
          <w:sz w:val="18"/>
          <w:szCs w:val="18"/>
          <w:color w:val="auto"/>
        </w:rPr>
        <w:t>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WMI's Board of Directors may, in their reasonable discretion (but based upon appropriate medical evidence), determine that Executive is Totally Disabled.</w:t>
      </w:r>
    </w:p>
    <w:p>
      <w:pPr>
        <w:spacing w:after="0" w:line="214" w:lineRule="exact"/>
        <w:rPr>
          <w:sz w:val="20"/>
          <w:szCs w:val="20"/>
          <w:color w:val="auto"/>
        </w:rPr>
      </w:pPr>
    </w:p>
    <w:p>
      <w:pPr>
        <w:ind w:right="2419" w:firstLine="640"/>
        <w:spacing w:after="0" w:line="236" w:lineRule="auto"/>
        <w:tabs>
          <w:tab w:leader="none" w:pos="105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 The Company may terminate Executive's employment hereunder for "Cause" at any time after providing a Notice of Termination for Cause to Executive.</w:t>
      </w:r>
    </w:p>
    <w:p>
      <w:pPr>
        <w:spacing w:after="0" w:line="209" w:lineRule="exact"/>
        <w:rPr>
          <w:sz w:val="20"/>
          <w:szCs w:val="20"/>
          <w:color w:val="auto"/>
        </w:rPr>
      </w:pPr>
    </w:p>
    <w:p>
      <w:pPr>
        <w:ind w:left="1280" w:right="1779" w:hanging="640"/>
        <w:spacing w:after="0" w:line="238" w:lineRule="auto"/>
        <w:tabs>
          <w:tab w:leader="none" w:pos="128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nolo contendre to, any felony; (D) willfully or intentionally caused material injury to the Company, its property, or its assets; (E) disclosed to unauthorized person(s) proprietary or confidential information of the Company; or (F) breach of any of the covenants set forth in Section 8 hereof.</w:t>
      </w:r>
    </w:p>
    <w:p>
      <w:pPr>
        <w:spacing w:after="0" w:line="207" w:lineRule="exact"/>
        <w:rPr>
          <w:rFonts w:ascii="Courier New" w:cs="Courier New" w:eastAsia="Courier New" w:hAnsi="Courier New"/>
          <w:sz w:val="18"/>
          <w:szCs w:val="18"/>
          <w:color w:val="auto"/>
        </w:rPr>
      </w:pPr>
    </w:p>
    <w:p>
      <w:pPr>
        <w:ind w:left="1280" w:right="1779" w:hanging="640"/>
        <w:spacing w:after="0" w:line="238" w:lineRule="auto"/>
        <w:tabs>
          <w:tab w:leader="none" w:pos="128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WMI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210" w:lineRule="exact"/>
        <w:rPr>
          <w:sz w:val="20"/>
          <w:szCs w:val="20"/>
          <w:color w:val="auto"/>
        </w:rPr>
      </w:pPr>
    </w:p>
    <w:p>
      <w:pPr>
        <w:ind w:right="1779" w:firstLine="640"/>
        <w:spacing w:after="0" w:line="236" w:lineRule="auto"/>
        <w:tabs>
          <w:tab w:leader="none" w:pos="1053"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Executive may terminate his employment hereunder with or without Good Reason at any time upon written notice to the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76" w:name="page177"/>
    <w:bookmarkEnd w:id="176"/>
    <w:p>
      <w:pPr>
        <w:ind w:left="640" w:right="1779" w:hanging="640"/>
        <w:spacing w:after="0" w:line="268" w:lineRule="auto"/>
        <w:tabs>
          <w:tab w:leader="none" w:pos="64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resignation of employment by Executive by written notice ("Notice of Termination for Good Reason") given to WMI's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 Executive's illness or other absence); provided that the change in the geographic area of Executive's responsibility or the change in reporting structure shall not constitute Good Reason under any circumstances; further provided that if the Company becomes a fifty percent or more subsidiary of any other entity, or merges with, transfers assets to, or the business is otherwise transferred to a third party (which may be owned in whole or part by WMI), Executive shall be deemed to have a substantial change in the core duties of his position unless he is also Senior Vice-President of WMI or such other successor entity and retains the core duties and responsibilities of his existing position; (B) other than as contemplated by (A) above,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(D) failure of any successor to the Company or to WMI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current business office location.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640" w:right="1879" w:hanging="640"/>
        <w:spacing w:after="0" w:line="238" w:lineRule="auto"/>
        <w:tabs>
          <w:tab w:leader="none" w:pos="6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w:t>
      </w:r>
    </w:p>
    <w:p>
      <w:pPr>
        <w:spacing w:after="0" w:line="208" w:lineRule="exact"/>
        <w:rPr>
          <w:sz w:val="20"/>
          <w:szCs w:val="20"/>
          <w:color w:val="auto"/>
        </w:rPr>
      </w:pPr>
    </w:p>
    <w:p>
      <w:pPr>
        <w:ind w:left="-640" w:right="1999" w:firstLine="640"/>
        <w:spacing w:after="0" w:line="236" w:lineRule="auto"/>
        <w:tabs>
          <w:tab w:leader="none" w:pos="413"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The Company may terminate Executive's employment hereunder without Cause at any time upon written notice to Executive.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2" w:right="1440" w:bottom="1440" w:gutter="0" w:footer="0" w:header="0"/>
        </w:sectPr>
      </w:pPr>
    </w:p>
    <w:bookmarkStart w:id="177" w:name="page178"/>
    <w:bookmarkEnd w:id="177"/>
    <w:p>
      <w:pPr>
        <w:ind w:right="1879" w:firstLine="640"/>
        <w:spacing w:after="0" w:line="279" w:lineRule="auto"/>
        <w:tabs>
          <w:tab w:leader="none" w:pos="1053"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Upon any termination of employment for any reason, Executive shall immediately resign from all Board memberships and other positions with the Company or any of its subsidiaries held by him at such time.</w:t>
      </w:r>
    </w:p>
    <w:p>
      <w:pPr>
        <w:spacing w:after="0" w:line="173" w:lineRule="exact"/>
        <w:rPr>
          <w:sz w:val="20"/>
          <w:szCs w:val="20"/>
          <w:color w:val="auto"/>
        </w:rPr>
      </w:pPr>
    </w:p>
    <w:p>
      <w:pPr>
        <w:ind w:left="1280" w:hanging="640"/>
        <w:spacing w:after="0"/>
        <w:tabs>
          <w:tab w:leader="none" w:pos="12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FOLLOWING TERMINATION OF EMPLOYMENT.</w:t>
      </w:r>
    </w:p>
    <w:p>
      <w:pPr>
        <w:spacing w:after="0" w:line="207" w:lineRule="exact"/>
        <w:rPr>
          <w:sz w:val="20"/>
          <w:szCs w:val="20"/>
          <w:color w:val="auto"/>
        </w:rPr>
      </w:pPr>
    </w:p>
    <w:p>
      <w:pPr>
        <w:ind w:right="2739" w:firstLine="632"/>
        <w:spacing w:after="0" w:line="236" w:lineRule="auto"/>
        <w:rPr>
          <w:sz w:val="20"/>
          <w:szCs w:val="20"/>
          <w:color w:val="auto"/>
        </w:rPr>
      </w:pPr>
      <w:r>
        <w:rPr>
          <w:rFonts w:ascii="Courier New" w:cs="Courier New" w:eastAsia="Courier New" w:hAnsi="Courier New"/>
          <w:sz w:val="18"/>
          <w:szCs w:val="18"/>
          <w:color w:val="auto"/>
        </w:rPr>
        <w:t>In the event that Executive's employment hereunder is terminated, Executive shall be entitled to the compensation and benefits upon such termination:</w:t>
      </w:r>
    </w:p>
    <w:p>
      <w:pPr>
        <w:spacing w:after="0" w:line="209" w:lineRule="exact"/>
        <w:rPr>
          <w:sz w:val="20"/>
          <w:szCs w:val="20"/>
          <w:color w:val="auto"/>
        </w:rPr>
      </w:pPr>
    </w:p>
    <w:p>
      <w:pPr>
        <w:ind w:right="1999" w:firstLine="640"/>
        <w:spacing w:after="0" w:line="236" w:lineRule="auto"/>
        <w:tabs>
          <w:tab w:leader="none" w:pos="1053"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DEATH. In the event that Executive's employment is terminated by reason of Executive's death, the Company shall pay the following amounts to Executive's beneficiary or estate:</w:t>
      </w:r>
    </w:p>
    <w:p>
      <w:pPr>
        <w:spacing w:after="0" w:line="209" w:lineRule="exact"/>
        <w:rPr>
          <w:sz w:val="20"/>
          <w:szCs w:val="20"/>
          <w:color w:val="auto"/>
        </w:rPr>
      </w:pPr>
    </w:p>
    <w:p>
      <w:pPr>
        <w:ind w:left="1280" w:right="1779" w:hanging="640"/>
        <w:spacing w:after="0" w:line="237" w:lineRule="auto"/>
        <w:tabs>
          <w:tab w:leader="none" w:pos="12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WMI and paid at the same time as senior executives are paid.</w:t>
      </w:r>
    </w:p>
    <w:p>
      <w:pPr>
        <w:spacing w:after="0" w:line="212"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207"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211"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termination by reason of Executive's death, stock options previously awarded to Executive as of the date of death shall be fully vested, and Executive's estate or beneficiary shall have up one (1) year from the date of death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212" w:lineRule="exact"/>
        <w:rPr>
          <w:sz w:val="20"/>
          <w:szCs w:val="20"/>
          <w:color w:val="auto"/>
        </w:rPr>
      </w:pPr>
    </w:p>
    <w:p>
      <w:pPr>
        <w:ind w:right="1999" w:firstLine="640"/>
        <w:spacing w:after="0" w:line="237" w:lineRule="auto"/>
        <w:tabs>
          <w:tab w:leader="none" w:pos="105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78" w:name="page179"/>
    <w:bookmarkEnd w:id="178"/>
    <w:p>
      <w:pPr>
        <w:ind w:left="640" w:right="1779" w:hanging="640"/>
        <w:spacing w:after="0" w:line="271" w:lineRule="auto"/>
        <w:tabs>
          <w:tab w:leader="none" w:pos="6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to the extent such awards are made to senior executives of WMI for the year in which Executive is terminated, and to the extent not otherwise paid to the Executive.</w:t>
      </w:r>
    </w:p>
    <w:p>
      <w:pPr>
        <w:spacing w:after="0" w:line="185" w:lineRule="exact"/>
        <w:rPr>
          <w:rFonts w:ascii="Courier New" w:cs="Courier New" w:eastAsia="Courier New" w:hAnsi="Courier New"/>
          <w:sz w:val="16"/>
          <w:szCs w:val="16"/>
          <w:color w:val="auto"/>
        </w:rPr>
      </w:pPr>
    </w:p>
    <w:p>
      <w:pPr>
        <w:ind w:left="640" w:right="1779" w:hanging="640"/>
        <w:spacing w:after="0" w:line="237" w:lineRule="auto"/>
        <w:tabs>
          <w:tab w:leader="none" w:pos="6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207" w:lineRule="exact"/>
        <w:rPr>
          <w:rFonts w:ascii="Courier New" w:cs="Courier New" w:eastAsia="Courier New" w:hAnsi="Courier New"/>
          <w:sz w:val="18"/>
          <w:szCs w:val="18"/>
          <w:color w:val="auto"/>
        </w:rPr>
      </w:pPr>
    </w:p>
    <w:p>
      <w:pPr>
        <w:ind w:left="640" w:right="1779" w:hanging="640"/>
        <w:spacing w:after="0" w:line="271" w:lineRule="auto"/>
        <w:tabs>
          <w:tab w:leader="none" w:pos="6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85" w:lineRule="exact"/>
        <w:rPr>
          <w:rFonts w:ascii="Courier New" w:cs="Courier New" w:eastAsia="Courier New" w:hAnsi="Courier New"/>
          <w:sz w:val="16"/>
          <w:szCs w:val="16"/>
          <w:color w:val="auto"/>
        </w:rPr>
      </w:pPr>
    </w:p>
    <w:p>
      <w:pPr>
        <w:ind w:left="640" w:right="1779" w:hanging="640"/>
        <w:spacing w:after="0" w:line="237" w:lineRule="auto"/>
        <w:tabs>
          <w:tab w:leader="none" w:pos="6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termination by reason of Executive's Total Disability, stock options previously awarded to Executive as of the date of termination shall be fully vested, and Executive or his legal guardian shall have up to one (1) year from the date of death to exercise all such previously-awarded options, provided that in no event will any option be exercisable beyond its term. No stock options contemplated by this Agreement, but not yet awarded to Executive as of the time of his employment termination, shall be granted.</w:t>
      </w:r>
    </w:p>
    <w:p>
      <w:pPr>
        <w:spacing w:after="0" w:line="214" w:lineRule="exact"/>
        <w:rPr>
          <w:sz w:val="20"/>
          <w:szCs w:val="20"/>
          <w:color w:val="auto"/>
        </w:rPr>
      </w:pPr>
    </w:p>
    <w:p>
      <w:pPr>
        <w:ind w:left="-640" w:right="1779" w:firstLine="640"/>
        <w:spacing w:after="0" w:line="236" w:lineRule="auto"/>
        <w:tabs>
          <w:tab w:leader="none" w:pos="41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In the event that Executive's employment is terminated by the Company for Cause, the Company shall pay the following amounts to Executive:</w:t>
      </w:r>
    </w:p>
    <w:p>
      <w:pPr>
        <w:spacing w:after="0" w:line="209" w:lineRule="exact"/>
        <w:rPr>
          <w:sz w:val="20"/>
          <w:szCs w:val="20"/>
          <w:color w:val="auto"/>
        </w:rPr>
      </w:pPr>
    </w:p>
    <w:p>
      <w:pPr>
        <w:ind w:left="640" w:right="1779" w:hanging="640"/>
        <w:spacing w:after="0" w:line="275" w:lineRule="auto"/>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2" w:lineRule="exact"/>
        <w:rPr>
          <w:rFonts w:ascii="Courier New" w:cs="Courier New" w:eastAsia="Courier New" w:hAnsi="Courier New"/>
          <w:sz w:val="16"/>
          <w:szCs w:val="16"/>
          <w:color w:val="auto"/>
        </w:rPr>
      </w:pPr>
    </w:p>
    <w:p>
      <w:pPr>
        <w:ind w:left="640" w:right="2199" w:hanging="640"/>
        <w:spacing w:after="0" w:line="237" w:lineRule="auto"/>
        <w:tabs>
          <w:tab w:leader="none" w:pos="6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640" w:right="1879" w:hanging="640"/>
        <w:spacing w:after="0" w:line="237" w:lineRule="auto"/>
        <w:tabs>
          <w:tab w:leader="none" w:pos="6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whether vested or not vested prior to the date of such termination of employment, shall be automatically cancelled on the date of employment termination. However, it is expressly understand and agreed that Executive would have no obligation to repay or otherwise reimburse the Company for funds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579"/>
          </w:cols>
          <w:pgMar w:left="880" w:top="723" w:right="1440" w:bottom="1440" w:gutter="0" w:footer="0" w:header="0"/>
        </w:sectPr>
      </w:pPr>
    </w:p>
    <w:bookmarkStart w:id="179" w:name="page180"/>
    <w:bookmarkEnd w:id="179"/>
    <w:p>
      <w:pPr>
        <w:ind w:left="640" w:right="1779"/>
        <w:spacing w:after="0" w:line="290" w:lineRule="auto"/>
        <w:rPr>
          <w:sz w:val="20"/>
          <w:szCs w:val="20"/>
          <w:color w:val="auto"/>
        </w:rPr>
      </w:pPr>
      <w:r>
        <w:rPr>
          <w:rFonts w:ascii="Courier New" w:cs="Courier New" w:eastAsia="Courier New" w:hAnsi="Courier New"/>
          <w:sz w:val="16"/>
          <w:szCs w:val="16"/>
          <w:color w:val="auto"/>
        </w:rPr>
        <w:t>received as a result of Executive's having exercised any previously-vested stock options prior to his employment termination.</w:t>
      </w:r>
    </w:p>
    <w:p>
      <w:pPr>
        <w:spacing w:after="0" w:line="170" w:lineRule="exact"/>
        <w:rPr>
          <w:sz w:val="20"/>
          <w:szCs w:val="20"/>
          <w:color w:val="auto"/>
        </w:rPr>
      </w:pPr>
    </w:p>
    <w:p>
      <w:pPr>
        <w:ind w:left="-640" w:right="1879" w:firstLine="640"/>
        <w:spacing w:after="0" w:line="236" w:lineRule="auto"/>
        <w:tabs>
          <w:tab w:leader="none" w:pos="41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In the event that Executive voluntarily terminates employment other than for Good Reason, the Company shall pay the following amounts to Executive:</w:t>
      </w:r>
    </w:p>
    <w:p>
      <w:pPr>
        <w:spacing w:after="0" w:line="209" w:lineRule="exact"/>
        <w:rPr>
          <w:sz w:val="20"/>
          <w:szCs w:val="20"/>
          <w:color w:val="auto"/>
        </w:rPr>
      </w:pPr>
    </w:p>
    <w:p>
      <w:pPr>
        <w:ind w:left="640" w:right="1779" w:hanging="640"/>
        <w:spacing w:after="0" w:line="275" w:lineRule="auto"/>
        <w:tabs>
          <w:tab w:leader="none" w:pos="6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2" w:lineRule="exact"/>
        <w:rPr>
          <w:rFonts w:ascii="Courier New" w:cs="Courier New" w:eastAsia="Courier New" w:hAnsi="Courier New"/>
          <w:sz w:val="16"/>
          <w:szCs w:val="16"/>
          <w:color w:val="auto"/>
        </w:rPr>
      </w:pPr>
    </w:p>
    <w:p>
      <w:pPr>
        <w:ind w:left="640" w:right="2199" w:hanging="640"/>
        <w:spacing w:after="0" w:line="237" w:lineRule="auto"/>
        <w:tabs>
          <w:tab w:leader="none" w:pos="6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640" w:right="1879" w:hanging="640"/>
        <w:spacing w:after="0" w:line="237" w:lineRule="auto"/>
        <w:tabs>
          <w:tab w:leader="none" w:pos="6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options that have not vested prior to the date of such termination of employment shall be automatically cancelled as of that date, and Executive shall have ninety (90) days following the date of termination of employment to exercise any previously vested options; provided that in no event will any option be exercisable beyond its term. No stock options contemplated by this Agreement, but not yet awarded to Executive as of the time of his employment termination, shall be granted.</w:t>
      </w:r>
    </w:p>
    <w:p>
      <w:pPr>
        <w:spacing w:after="0" w:line="212" w:lineRule="exact"/>
        <w:rPr>
          <w:sz w:val="20"/>
          <w:szCs w:val="20"/>
          <w:color w:val="auto"/>
        </w:rPr>
      </w:pPr>
    </w:p>
    <w:p>
      <w:pPr>
        <w:ind w:left="-640" w:right="1779" w:firstLine="640"/>
        <w:spacing w:after="0" w:line="237" w:lineRule="auto"/>
        <w:tabs>
          <w:tab w:leader="none" w:pos="41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209" w:lineRule="exact"/>
        <w:rPr>
          <w:sz w:val="20"/>
          <w:szCs w:val="20"/>
          <w:color w:val="auto"/>
        </w:rPr>
      </w:pPr>
    </w:p>
    <w:p>
      <w:pPr>
        <w:ind w:left="640" w:right="1779" w:hanging="640"/>
        <w:spacing w:after="0" w:line="275"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82" w:lineRule="exact"/>
        <w:rPr>
          <w:rFonts w:ascii="Courier New" w:cs="Courier New" w:eastAsia="Courier New" w:hAnsi="Courier New"/>
          <w:sz w:val="16"/>
          <w:szCs w:val="16"/>
          <w:color w:val="auto"/>
        </w:rPr>
      </w:pPr>
    </w:p>
    <w:p>
      <w:pPr>
        <w:ind w:left="640" w:right="1879" w:hanging="640"/>
        <w:spacing w:after="0" w:line="237" w:lineRule="auto"/>
        <w:tabs>
          <w:tab w:leader="none" w:pos="6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207" w:lineRule="exact"/>
        <w:rPr>
          <w:rFonts w:ascii="Courier New" w:cs="Courier New" w:eastAsia="Courier New" w:hAnsi="Courier New"/>
          <w:sz w:val="18"/>
          <w:szCs w:val="18"/>
          <w:color w:val="auto"/>
        </w:rPr>
      </w:pPr>
    </w:p>
    <w:p>
      <w:pPr>
        <w:ind w:left="640" w:right="1779" w:hanging="640"/>
        <w:spacing w:after="0" w:line="237" w:lineRule="auto"/>
        <w:tabs>
          <w:tab w:leader="none" w:pos="6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579"/>
          </w:cols>
          <w:pgMar w:left="880" w:top="723" w:right="1440" w:bottom="1440" w:gutter="0" w:footer="0" w:header="0"/>
        </w:sectPr>
      </w:pPr>
    </w:p>
    <w:bookmarkStart w:id="180" w:name="page181"/>
    <w:bookmarkEnd w:id="180"/>
    <w:p>
      <w:pPr>
        <w:ind w:left="640" w:right="1879" w:hanging="640"/>
        <w:spacing w:after="0" w:line="269" w:lineRule="auto"/>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395" w:lineRule="exact"/>
        <w:rPr>
          <w:rFonts w:ascii="Courier New" w:cs="Courier New" w:eastAsia="Courier New" w:hAnsi="Courier New"/>
          <w:sz w:val="16"/>
          <w:szCs w:val="16"/>
          <w:color w:val="auto"/>
        </w:rPr>
      </w:pPr>
    </w:p>
    <w:p>
      <w:pPr>
        <w:ind w:left="640" w:right="1779" w:hanging="640"/>
        <w:spacing w:after="0" w:line="237" w:lineRule="auto"/>
        <w:tabs>
          <w:tab w:leader="none" w:pos="6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210" w:lineRule="exact"/>
        <w:rPr>
          <w:sz w:val="20"/>
          <w:szCs w:val="20"/>
          <w:color w:val="auto"/>
        </w:rPr>
      </w:pPr>
    </w:p>
    <w:p>
      <w:pPr>
        <w:ind w:left="-640" w:right="1779" w:firstLine="640"/>
        <w:spacing w:after="0" w:line="237" w:lineRule="auto"/>
        <w:tabs>
          <w:tab w:leader="none" w:pos="41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211" w:lineRule="exact"/>
        <w:rPr>
          <w:rFonts w:ascii="Courier New" w:cs="Courier New" w:eastAsia="Courier New" w:hAnsi="Courier New"/>
          <w:sz w:val="18"/>
          <w:szCs w:val="18"/>
          <w:color w:val="auto"/>
        </w:rPr>
      </w:pPr>
    </w:p>
    <w:p>
      <w:pPr>
        <w:ind w:left="640" w:right="1779" w:hanging="640"/>
        <w:spacing w:after="0" w:line="271" w:lineRule="auto"/>
        <w:tabs>
          <w:tab w:leader="none" w:pos="6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84" w:lineRule="exact"/>
        <w:rPr>
          <w:sz w:val="20"/>
          <w:szCs w:val="20"/>
          <w:color w:val="auto"/>
        </w:rPr>
      </w:pPr>
    </w:p>
    <w:p>
      <w:pPr>
        <w:ind w:left="-640" w:right="2419" w:firstLine="640"/>
        <w:spacing w:after="0" w:line="235" w:lineRule="auto"/>
        <w:tabs>
          <w:tab w:leader="none" w:pos="30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BY EXECUTIVE FOR GOOD REASON AND COMPENSATION PAYABLE FOLLOWING CHANGE IN CONTROL PERIOD.</w:t>
      </w:r>
    </w:p>
    <w:p>
      <w:pPr>
        <w:spacing w:after="0" w:line="208" w:lineRule="exact"/>
        <w:rPr>
          <w:sz w:val="20"/>
          <w:szCs w:val="20"/>
          <w:color w:val="auto"/>
        </w:rPr>
      </w:pPr>
    </w:p>
    <w:p>
      <w:pPr>
        <w:ind w:left="-640" w:right="1779" w:firstLine="640"/>
        <w:spacing w:after="0" w:line="237" w:lineRule="auto"/>
        <w:tabs>
          <w:tab w:leader="none" w:pos="413"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FOR GOOD REASON FOLLOWING CHANGE IN CONTROL. In the event a "Change in Control" occurs and Executive terminates his employment for Good Reason thereafter, or the Company terminates Executive's employment other than for Cause (any termination within six (6) months prior to such Change in Control being presumed to be in contemplation unless rebutted by clear and demonstrable evidence to the contrary), the Company shall pay the following amounts to Executive:</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3" w:right="1440" w:bottom="1440" w:gutter="0" w:footer="0" w:header="0"/>
        </w:sectPr>
      </w:pPr>
    </w:p>
    <w:bookmarkStart w:id="181" w:name="page182"/>
    <w:bookmarkEnd w:id="181"/>
    <w:p>
      <w:pPr>
        <w:ind w:left="640" w:hanging="640"/>
        <w:spacing w:after="0"/>
        <w:tabs>
          <w:tab w:leader="none" w:pos="6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payments and benefits provided for in Section 6(e), except that</w:t>
      </w:r>
    </w:p>
    <w:p>
      <w:pPr>
        <w:spacing w:after="0" w:line="21" w:lineRule="exact"/>
        <w:rPr>
          <w:rFonts w:ascii="Courier New" w:cs="Courier New" w:eastAsia="Courier New" w:hAnsi="Courier New"/>
          <w:sz w:val="16"/>
          <w:szCs w:val="16"/>
          <w:color w:val="auto"/>
        </w:rPr>
      </w:pPr>
    </w:p>
    <w:p>
      <w:pPr>
        <w:ind w:left="640" w:right="1779" w:hanging="8"/>
        <w:spacing w:after="0" w:line="237" w:lineRule="auto"/>
        <w:tabs>
          <w:tab w:leader="none" w:pos="1061"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and period with respect to which severance is calculated pursuant to Section 6(e)(iii) will be three (3) years and the amount shall be paid in a lump-sum and (B) the benefit continuation period in Section 6(e)(iv) shall be for three (3) years.</w:t>
      </w:r>
    </w:p>
    <w:p>
      <w:pPr>
        <w:spacing w:after="0" w:line="208" w:lineRule="exact"/>
        <w:rPr>
          <w:rFonts w:ascii="Courier New" w:cs="Courier New" w:eastAsia="Courier New" w:hAnsi="Courier New"/>
          <w:sz w:val="18"/>
          <w:szCs w:val="18"/>
          <w:color w:val="auto"/>
        </w:rPr>
      </w:pPr>
    </w:p>
    <w:p>
      <w:pPr>
        <w:ind w:left="640" w:right="1779" w:hanging="640"/>
        <w:spacing w:after="0" w:line="269" w:lineRule="auto"/>
        <w:tabs>
          <w:tab w:leader="none" w:pos="6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Section 6(e)(v), Executive will be 100% vested in all benefits, awards, and grants (including stock option grants and stock awards, all of such stock options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389" w:lineRule="exact"/>
        <w:rPr>
          <w:sz w:val="20"/>
          <w:szCs w:val="20"/>
          <w:color w:val="auto"/>
        </w:rPr>
      </w:pPr>
    </w:p>
    <w:p>
      <w:pPr>
        <w:ind w:left="640" w:hanging="640"/>
        <w:spacing w:after="0"/>
        <w:tabs>
          <w:tab w:leader="none" w:pos="6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ADDITIONAL PAYMENTS BY THE COMPANY.</w:t>
      </w:r>
    </w:p>
    <w:p>
      <w:pPr>
        <w:spacing w:after="0" w:line="207" w:lineRule="exact"/>
        <w:rPr>
          <w:sz w:val="20"/>
          <w:szCs w:val="20"/>
          <w:color w:val="auto"/>
        </w:rPr>
      </w:pPr>
    </w:p>
    <w:p>
      <w:pPr>
        <w:ind w:left="640" w:right="1779" w:hanging="640"/>
        <w:spacing w:after="0" w:line="238" w:lineRule="auto"/>
        <w:tabs>
          <w:tab w:leader="none" w:pos="6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209" w:lineRule="exact"/>
        <w:rPr>
          <w:rFonts w:ascii="Courier New" w:cs="Courier New" w:eastAsia="Courier New" w:hAnsi="Courier New"/>
          <w:sz w:val="18"/>
          <w:szCs w:val="18"/>
          <w:color w:val="auto"/>
        </w:rPr>
      </w:pPr>
    </w:p>
    <w:p>
      <w:pPr>
        <w:ind w:left="640" w:right="1779" w:hanging="640"/>
        <w:spacing w:after="0" w:line="237" w:lineRule="auto"/>
        <w:tabs>
          <w:tab w:leader="none" w:pos="6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723" w:right="1440" w:bottom="1440" w:gutter="0" w:footer="0" w:header="0"/>
        </w:sectPr>
      </w:pPr>
    </w:p>
    <w:bookmarkStart w:id="182" w:name="page183"/>
    <w:bookmarkEnd w:id="182"/>
    <w:p>
      <w:pPr>
        <w:ind w:left="640" w:right="1879"/>
        <w:spacing w:after="0" w:line="270" w:lineRule="auto"/>
        <w:rPr>
          <w:sz w:val="20"/>
          <w:szCs w:val="20"/>
          <w:color w:val="auto"/>
        </w:rPr>
      </w:pPr>
      <w:r>
        <w:rPr>
          <w:rFonts w:ascii="Courier New" w:cs="Courier New" w:eastAsia="Courier New" w:hAnsi="Courier New"/>
          <w:sz w:val="16"/>
          <w:szCs w:val="16"/>
          <w:color w:val="auto"/>
        </w:rPr>
        <w:t>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388" w:lineRule="exact"/>
        <w:rPr>
          <w:sz w:val="20"/>
          <w:szCs w:val="20"/>
          <w:color w:val="auto"/>
        </w:rPr>
      </w:pPr>
    </w:p>
    <w:p>
      <w:pPr>
        <w:ind w:left="640" w:right="1779" w:hanging="640"/>
        <w:spacing w:after="0" w:line="269" w:lineRule="auto"/>
        <w:tabs>
          <w:tab w:leader="none" w:pos="6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579"/>
          </w:cols>
          <w:pgMar w:left="880" w:top="723" w:right="1440" w:bottom="1440" w:gutter="0" w:footer="0" w:header="0"/>
        </w:sectPr>
      </w:pPr>
    </w:p>
    <w:bookmarkStart w:id="183" w:name="page184"/>
    <w:bookmarkEnd w:id="183"/>
    <w:p>
      <w:pPr>
        <w:ind w:left="640" w:hanging="640"/>
        <w:spacing w:after="0"/>
        <w:tabs>
          <w:tab w:leader="none" w:pos="6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Gross-up Payment or portion thereof provided for in subsection</w:t>
      </w:r>
    </w:p>
    <w:p>
      <w:pPr>
        <w:spacing w:after="0" w:line="4" w:lineRule="exact"/>
        <w:rPr>
          <w:rFonts w:ascii="Courier New" w:cs="Courier New" w:eastAsia="Courier New" w:hAnsi="Courier New"/>
          <w:sz w:val="18"/>
          <w:szCs w:val="18"/>
          <w:color w:val="auto"/>
        </w:rPr>
      </w:pPr>
    </w:p>
    <w:p>
      <w:pPr>
        <w:ind w:left="640" w:right="1779" w:hanging="8"/>
        <w:spacing w:after="0" w:line="238" w:lineRule="auto"/>
        <w:tabs>
          <w:tab w:leader="none" w:pos="1272"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209" w:lineRule="exact"/>
        <w:rPr>
          <w:rFonts w:ascii="Courier New" w:cs="Courier New" w:eastAsia="Courier New" w:hAnsi="Courier New"/>
          <w:sz w:val="18"/>
          <w:szCs w:val="18"/>
          <w:color w:val="auto"/>
        </w:rPr>
      </w:pPr>
    </w:p>
    <w:p>
      <w:pPr>
        <w:ind w:left="640" w:right="1779" w:hanging="640"/>
        <w:spacing w:after="0" w:line="238" w:lineRule="auto"/>
        <w:tabs>
          <w:tab w:leader="none" w:pos="6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208"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responsible for all charges of the Accountant.</w:t>
      </w:r>
    </w:p>
    <w:p>
      <w:pPr>
        <w:spacing w:after="0" w:line="223" w:lineRule="exact"/>
        <w:rPr>
          <w:rFonts w:ascii="Courier New" w:cs="Courier New" w:eastAsia="Courier New" w:hAnsi="Courier New"/>
          <w:sz w:val="16"/>
          <w:szCs w:val="16"/>
          <w:color w:val="auto"/>
        </w:rPr>
      </w:pPr>
    </w:p>
    <w:p>
      <w:pPr>
        <w:ind w:left="640" w:right="1999" w:hanging="640"/>
        <w:spacing w:after="0" w:line="237" w:lineRule="auto"/>
        <w:tabs>
          <w:tab w:leader="none" w:pos="6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207" w:lineRule="exact"/>
        <w:rPr>
          <w:sz w:val="20"/>
          <w:szCs w:val="20"/>
          <w:color w:val="auto"/>
        </w:rPr>
      </w:pPr>
    </w:p>
    <w:p>
      <w:pPr>
        <w:ind w:left="-640" w:right="1779" w:firstLine="640"/>
        <w:spacing w:after="0" w:line="235" w:lineRule="auto"/>
        <w:tabs>
          <w:tab w:leader="none" w:pos="413"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For purposes of this Agreement, "Change in Control" means the occurrence of any of the following events:</w:t>
      </w:r>
    </w:p>
    <w:p>
      <w:pPr>
        <w:spacing w:after="0" w:line="208" w:lineRule="exact"/>
        <w:rPr>
          <w:sz w:val="20"/>
          <w:szCs w:val="20"/>
          <w:color w:val="auto"/>
        </w:rPr>
      </w:pPr>
    </w:p>
    <w:p>
      <w:pPr>
        <w:ind w:left="640" w:right="1999" w:hanging="640"/>
        <w:spacing w:after="0" w:line="237" w:lineRule="auto"/>
        <w:tabs>
          <w:tab w:leader="none" w:pos="6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directly or indirectly, of securities of WMI (not including in the securities beneficially owned by such person any securities acquired directly from WMI or its Affiliates) representing twenty-five percent (25%) or more of the combined voting power of WMI's then outstanding voting securities;</w:t>
      </w:r>
    </w:p>
    <w:p>
      <w:pPr>
        <w:spacing w:after="0" w:line="209" w:lineRule="exact"/>
        <w:rPr>
          <w:rFonts w:ascii="Courier New" w:cs="Courier New" w:eastAsia="Courier New" w:hAnsi="Courier New"/>
          <w:sz w:val="18"/>
          <w:szCs w:val="18"/>
          <w:color w:val="auto"/>
        </w:rPr>
      </w:pPr>
    </w:p>
    <w:p>
      <w:pPr>
        <w:ind w:left="640" w:right="1999" w:hanging="640"/>
        <w:spacing w:after="0" w:line="236" w:lineRule="auto"/>
        <w:tabs>
          <w:tab w:leader="none" w:pos="6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individuals cease for any reason to constitute a majority of the number of directors then serving: individuals who, on the Employment Date, constitute the Board and any</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579"/>
          </w:cols>
          <w:pgMar w:left="880" w:top="717" w:right="1440" w:bottom="1440" w:gutter="0" w:footer="0" w:header="0"/>
        </w:sectPr>
      </w:pPr>
    </w:p>
    <w:bookmarkStart w:id="184" w:name="page185"/>
    <w:bookmarkEnd w:id="184"/>
    <w:p>
      <w:pPr>
        <w:ind w:left="640" w:right="1999"/>
        <w:spacing w:after="0" w:line="237" w:lineRule="auto"/>
        <w:rPr>
          <w:sz w:val="20"/>
          <w:szCs w:val="20"/>
          <w:color w:val="auto"/>
        </w:rPr>
      </w:pPr>
      <w:r>
        <w:rPr>
          <w:rFonts w:ascii="Courier New" w:cs="Courier New" w:eastAsia="Courier New" w:hAnsi="Courier New"/>
          <w:sz w:val="18"/>
          <w:szCs w:val="18"/>
          <w:color w:val="auto"/>
        </w:rPr>
        <w:t>new director (other than a director whose initial assumption of office is in connection with an actual or threatened election contest, including but not limited to a consent solicitation, relating or the election of directors of WMI) whose appointment or election by the Board or WMI stockholders was approved or recommended by a vote of at least two-thirds (2/3rds) of the directors then still in office who either were directors on the Employment Date or whose appointment, election or nomination for election was previously so approved or recommended (the "Incumbent Board");</w:t>
      </w:r>
    </w:p>
    <w:p>
      <w:pPr>
        <w:spacing w:after="0" w:line="215" w:lineRule="exact"/>
        <w:rPr>
          <w:sz w:val="20"/>
          <w:szCs w:val="20"/>
          <w:color w:val="auto"/>
        </w:rPr>
      </w:pPr>
    </w:p>
    <w:p>
      <w:pPr>
        <w:ind w:left="640" w:right="1779" w:hanging="640"/>
        <w:spacing w:after="0" w:line="238" w:lineRule="auto"/>
        <w:tabs>
          <w:tab w:leader="none" w:pos="64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consummated merger or consolidation of the Company pursuant to which no securities of the Company are owned by WMI or its direct or indirect subsidiaries, or a merger or consolidation of WMI or any direct or indirect subsidiary of WMI (other than the Company) with any other corporation, other than (1) a merger or consolidation which would result in the voting securities of WMI outstanding immediately prior thereto continuing to represent (either by remaining outstanding or by being converted into voting securities of the surviving or parent entity) more than fifty percent (50%) of the combined voting power of the voting securities of WMI or such surviving or parent entity outstanding immediately after such merger or consolidation or (2) a merger or consolidation effected to implement a recapitalization of WMI (or similar transaction) in which no Person, directly or indirectly, acquired twenty-five percent (25%) or more of the combined voting power of WMI's then outstanding securities; or</w:t>
      </w:r>
    </w:p>
    <w:p>
      <w:pPr>
        <w:spacing w:after="0" w:line="208" w:lineRule="exact"/>
        <w:rPr>
          <w:rFonts w:ascii="Courier New" w:cs="Courier New" w:eastAsia="Courier New" w:hAnsi="Courier New"/>
          <w:sz w:val="18"/>
          <w:szCs w:val="18"/>
          <w:color w:val="auto"/>
        </w:rPr>
      </w:pPr>
    </w:p>
    <w:p>
      <w:pPr>
        <w:ind w:left="640" w:right="1779" w:hanging="640"/>
        <w:spacing w:after="0" w:line="237" w:lineRule="auto"/>
        <w:tabs>
          <w:tab w:leader="none" w:pos="64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or WMI approve a plan of complete liquidation of the Company or WMI or there is consummated an agreement for the sale or disposition by the Company or WMI of all or substantially all of the Company's or WMI's assets (or any transaction having a similar effect), other than a sale or disposition by the Company or WMI of all or substantially all of the Company's or WMI's assets to an entity, at least fifty percent (50%) of the combined voting power of the voting securities of which are owned by stockholders of the Company or WMI in substantially the same proportions as their ownership of the Company or WMI immediately prior to such sale.</w:t>
      </w:r>
    </w:p>
    <w:p>
      <w:pPr>
        <w:spacing w:after="0" w:line="21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For purposes of this Section 7, the following terms shall have the following meanings:</w:t>
      </w:r>
    </w:p>
    <w:p>
      <w:pPr>
        <w:spacing w:after="0" w:line="208" w:lineRule="exact"/>
        <w:rPr>
          <w:sz w:val="20"/>
          <w:szCs w:val="20"/>
          <w:color w:val="auto"/>
        </w:rPr>
      </w:pPr>
    </w:p>
    <w:p>
      <w:pPr>
        <w:jc w:val="both"/>
        <w:ind w:left="640" w:right="1779" w:hanging="640"/>
        <w:spacing w:after="0" w:line="236" w:lineRule="auto"/>
        <w:tabs>
          <w:tab w:leader="none" w:pos="6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shall mean an affiliate of WMI, as defined in Rule 12b-2 promulgated under Section 12 of the Securities Exchange Act of 1934, as amended from time to time (the "Exchange Act").</w:t>
      </w:r>
    </w:p>
    <w:p>
      <w:pPr>
        <w:spacing w:after="0" w:line="208" w:lineRule="exact"/>
        <w:rPr>
          <w:rFonts w:ascii="Courier New" w:cs="Courier New" w:eastAsia="Courier New" w:hAnsi="Courier New"/>
          <w:sz w:val="18"/>
          <w:szCs w:val="18"/>
          <w:color w:val="auto"/>
        </w:rPr>
      </w:pPr>
    </w:p>
    <w:p>
      <w:pPr>
        <w:ind w:left="640" w:right="2199" w:hanging="640"/>
        <w:spacing w:after="0" w:line="235" w:lineRule="auto"/>
        <w:tabs>
          <w:tab w:leader="none" w:pos="6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set fort in Rule 13d-3 under the Exchange Act;</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579"/>
          </w:cols>
          <w:pgMar w:left="880" w:top="520" w:right="1440" w:bottom="1440" w:gutter="0" w:footer="0" w:header="0"/>
        </w:sectPr>
      </w:pPr>
    </w:p>
    <w:bookmarkStart w:id="185" w:name="page186"/>
    <w:bookmarkEnd w:id="185"/>
    <w:p>
      <w:pPr>
        <w:ind w:left="1280" w:right="1879" w:hanging="640"/>
        <w:spacing w:after="0" w:line="237" w:lineRule="auto"/>
        <w:tabs>
          <w:tab w:leader="none" w:pos="12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meaning set forth in Section 3(a)(9) of the Exchange Act, as modified and used in Sections 13(d) and 14(d) thereof, except that such term shall not include (1) WMI, (2) a trustee or other fiduciary holding securities under an employee benefit plan of WMI, (3) an underwriter temporarily holding securities pursuant to an offering of such securities or (4) a corporation owned, directly or indirectly, by the stockholders of WMI in substantially the same proportions as their ownership of shares of common stock of WMI.</w:t>
      </w:r>
    </w:p>
    <w:p>
      <w:pPr>
        <w:spacing w:after="0" w:line="208" w:lineRule="exact"/>
        <w:rPr>
          <w:sz w:val="20"/>
          <w:szCs w:val="20"/>
          <w:color w:val="auto"/>
        </w:rPr>
      </w:pPr>
    </w:p>
    <w:p>
      <w:pPr>
        <w:ind w:left="1280" w:hanging="640"/>
        <w:spacing w:after="0"/>
        <w:tabs>
          <w:tab w:leader="none" w:pos="128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640"/>
        <w:spacing w:after="0" w:line="273" w:lineRule="auto"/>
        <w:tabs>
          <w:tab w:leader="none" w:pos="105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The terms of this Agreement constitute Confidential Information, which Executive shall not disclose to anyone other than Executive's spouse, attorneys, advisors, or as required by law. Disclosure of these terms is a material breach of this Agreement and could subject Executive to disciplinary action, including without limitation, termination of employment for Cause.</w:t>
      </w:r>
    </w:p>
    <w:p>
      <w:pPr>
        <w:spacing w:after="0" w:line="184" w:lineRule="exact"/>
        <w:rPr>
          <w:rFonts w:ascii="Courier New" w:cs="Courier New" w:eastAsia="Courier New" w:hAnsi="Courier New"/>
          <w:sz w:val="16"/>
          <w:szCs w:val="16"/>
          <w:color w:val="auto"/>
        </w:rPr>
      </w:pPr>
    </w:p>
    <w:p>
      <w:pPr>
        <w:ind w:right="1779" w:firstLine="640"/>
        <w:spacing w:after="0" w:line="270" w:lineRule="auto"/>
        <w:tabs>
          <w:tab w:leader="none" w:pos="105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PROPERTY. All written materials, records, data, and other documents prepared or possessed by Executive during Executive's employment 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387" w:lineRule="exact"/>
        <w:rPr>
          <w:rFonts w:ascii="Courier New" w:cs="Courier New" w:eastAsia="Courier New" w:hAnsi="Courier New"/>
          <w:sz w:val="16"/>
          <w:szCs w:val="16"/>
          <w:color w:val="auto"/>
        </w:rPr>
      </w:pPr>
    </w:p>
    <w:p>
      <w:pPr>
        <w:ind w:right="1879" w:firstLine="640"/>
        <w:spacing w:after="0" w:line="275" w:lineRule="auto"/>
        <w:tabs>
          <w:tab w:leader="none" w:pos="105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NON-DISCLOSURE. Executive acknowledges that the business of the Company is highly competitive and that the Company has provided and will continue to provide Executive with access to "Confidential Information" relating to the business of the Company and its affiliates.</w:t>
      </w:r>
    </w:p>
    <w:p>
      <w:pPr>
        <w:spacing w:after="0" w:line="182"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For purposes of this Agreement, "Confidential Information" means and includes the Company's and WMI's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186" w:name="page187"/>
    <w:bookmarkEnd w:id="186"/>
    <w:p>
      <w:pPr>
        <w:ind w:right="1779"/>
        <w:spacing w:after="0" w:line="269" w:lineRule="auto"/>
        <w:rPr>
          <w:sz w:val="20"/>
          <w:szCs w:val="20"/>
          <w:color w:val="auto"/>
        </w:rPr>
      </w:pPr>
      <w:r>
        <w:rPr>
          <w:rFonts w:ascii="Courier New" w:cs="Courier New" w:eastAsia="Courier New" w:hAnsi="Courier New"/>
          <w:sz w:val="16"/>
          <w:szCs w:val="16"/>
          <w:color w:val="auto"/>
        </w:rPr>
        <w:t>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395"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Executive has and will continue to have access to, or knowledge of, Confidential Information of third parties, such as actual and potential customers, suppliers, partners, joint venturers, investors, financing sources, and the like, of the Company, Waste Management, Inc. and their affiliates.</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also agrees to provide Executive with one or more of the following: access to Confidential Information; specialized training regarding the Company's and WMI's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21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WMI, or their respective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212" w:lineRule="exact"/>
        <w:rPr>
          <w:sz w:val="20"/>
          <w:szCs w:val="20"/>
          <w:color w:val="auto"/>
        </w:rPr>
      </w:pPr>
    </w:p>
    <w:p>
      <w:pPr>
        <w:ind w:right="1779" w:firstLine="640"/>
        <w:spacing w:after="0" w:line="237" w:lineRule="auto"/>
        <w:tabs>
          <w:tab w:leader="none" w:pos="1053"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UNFAIR COMPETITION RESTRICTIONS. Upon Executive's Employment Date, the Company agrees to and shall provide Executive with immediate access to 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7" w:name="page188"/>
    <w:bookmarkEnd w:id="187"/>
    <w:p>
      <w:pPr>
        <w:ind w:right="1999"/>
        <w:spacing w:after="0" w:line="275" w:lineRule="auto"/>
        <w:rPr>
          <w:sz w:val="20"/>
          <w:szCs w:val="20"/>
          <w:color w:val="auto"/>
        </w:rPr>
      </w:pPr>
      <w:r>
        <w:rPr>
          <w:rFonts w:ascii="Courier New" w:cs="Courier New" w:eastAsia="Courier New" w:hAnsi="Courier New"/>
          <w:sz w:val="16"/>
          <w:szCs w:val="16"/>
          <w:color w:val="auto"/>
        </w:rPr>
        <w:t>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182" w:lineRule="exact"/>
        <w:rPr>
          <w:sz w:val="20"/>
          <w:szCs w:val="20"/>
          <w:color w:val="auto"/>
        </w:rPr>
      </w:pPr>
    </w:p>
    <w:p>
      <w:pPr>
        <w:ind w:left="1280" w:right="3039"/>
        <w:spacing w:after="0" w:line="238" w:lineRule="auto"/>
        <w:rPr>
          <w:sz w:val="20"/>
          <w:szCs w:val="20"/>
          <w:color w:val="auto"/>
        </w:rPr>
      </w:pPr>
      <w:r>
        <w:rPr>
          <w:rFonts w:ascii="Courier New" w:cs="Courier New" w:eastAsia="Courier New" w:hAnsi="Courier New"/>
          <w:sz w:val="18"/>
          <w:szCs w:val="18"/>
          <w:color w:val="auto"/>
        </w:rPr>
        <w:t>Engage in, or assist any person, entity, or business engaged in, the selling or providing of products or services that would displace the products or services that (i) the Company or WMI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21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 failure to comply with the foregoing restrictions will create a presumption that Executive is engaging in unfair competition. Executive agrees that this Section defining unfair competition with the Company or with WMI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WMI to be no material threat to the legitimate business interests of the Company or WMI.</w:t>
      </w:r>
    </w:p>
    <w:p>
      <w:pPr>
        <w:spacing w:after="0" w:line="207" w:lineRule="exact"/>
        <w:rPr>
          <w:sz w:val="20"/>
          <w:szCs w:val="20"/>
          <w:color w:val="auto"/>
        </w:rPr>
      </w:pPr>
    </w:p>
    <w:p>
      <w:pPr>
        <w:ind w:right="1779" w:firstLine="640"/>
        <w:spacing w:after="0" w:line="237" w:lineRule="auto"/>
        <w:tabs>
          <w:tab w:leader="none" w:pos="1053"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OF CUSTOMERS. For a period of two (2) years following the termination of employment for any reason, Executive will not call on, service, or solicit competing business from customers of the Company, WMI, or their respective affiliates whom Executive, within the previous twelve (12) months, (i) had or made contact with, or (ii) had access to information and files about, or induce or encourage any such customer or other source of ongoing business to stop doing business with Company or WMI.</w:t>
      </w:r>
    </w:p>
    <w:p>
      <w:pPr>
        <w:spacing w:after="0" w:line="211"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OF EMPLOYEES. During Executive's employment, and for a period of two (2) years following the termination of employment for any reason, Executive will not, either directly or indirectly, call on, solicit, encourage, or induce any other employee 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8" w:name="page189"/>
    <w:bookmarkEnd w:id="188"/>
    <w:p>
      <w:pPr>
        <w:ind w:right="1779"/>
        <w:spacing w:after="0" w:line="237" w:lineRule="auto"/>
        <w:rPr>
          <w:sz w:val="20"/>
          <w:szCs w:val="20"/>
          <w:color w:val="auto"/>
        </w:rPr>
      </w:pPr>
      <w:r>
        <w:rPr>
          <w:rFonts w:ascii="Courier New" w:cs="Courier New" w:eastAsia="Courier New" w:hAnsi="Courier New"/>
          <w:sz w:val="18"/>
          <w:szCs w:val="18"/>
          <w:color w:val="auto"/>
        </w:rPr>
        <w:t>officer of the Company, WMI, or their respective affiliates whom Executive had contact with, knowledge of, or association within the course of employment with the Company to terminate his employment, and will not assist any other person or entity in such a solicitation.</w:t>
      </w:r>
    </w:p>
    <w:p>
      <w:pPr>
        <w:spacing w:after="0" w:line="207" w:lineRule="exact"/>
        <w:rPr>
          <w:sz w:val="20"/>
          <w:szCs w:val="20"/>
          <w:color w:val="auto"/>
        </w:rPr>
      </w:pPr>
    </w:p>
    <w:p>
      <w:pPr>
        <w:ind w:right="1779" w:firstLine="640"/>
        <w:spacing w:after="0" w:line="237" w:lineRule="auto"/>
        <w:tabs>
          <w:tab w:leader="none" w:pos="1053"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05" w:lineRule="exact"/>
        <w:rPr>
          <w:sz w:val="20"/>
          <w:szCs w:val="20"/>
          <w:color w:val="auto"/>
        </w:rPr>
      </w:pPr>
    </w:p>
    <w:p>
      <w:pPr>
        <w:ind w:left="1280" w:hanging="640"/>
        <w:spacing w:after="0"/>
        <w:tabs>
          <w:tab w:leader="none" w:pos="12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 OF COVENANTS.</w:t>
      </w:r>
    </w:p>
    <w:p>
      <w:pPr>
        <w:spacing w:after="0" w:line="207" w:lineRule="exact"/>
        <w:rPr>
          <w:sz w:val="20"/>
          <w:szCs w:val="20"/>
          <w:color w:val="auto"/>
        </w:rPr>
      </w:pPr>
    </w:p>
    <w:p>
      <w:pPr>
        <w:ind w:right="1779" w:firstLine="640"/>
        <w:spacing w:after="0" w:line="237" w:lineRule="auto"/>
        <w:tabs>
          <w:tab w:leader="none" w:pos="1053"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AND FORFEITURE OF COMPENSATION. Executive agrees that any breach by Executive of any of the covenants set forth in Section 8 hereof during Executive's employment by the Company, shall be grounds for immediate dismissal of Executive for Cause pursuant to Section 5(c)(i), which shall be in addition to and not exclusive of any and all other rights and remedies the Company may have against Executive.</w:t>
      </w:r>
    </w:p>
    <w:p>
      <w:pPr>
        <w:spacing w:after="0" w:line="209"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INJUNCTION. Executive acknowledges that a breach of the covenants set forth in Section 10 hereof will cause irreparable damage to the Company and/or WMI with respect to which the Company's remedy at law for damages will be inadequate. Therefore, in the event of breach or anticipatory breach of the covenants set forth in this section by Executive, Executive and the Company agree that the Company and/or WMI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attorney's fees, incurred by the Company and/or WMI to enforce the covenants set forth in this section.</w:t>
      </w:r>
    </w:p>
    <w:p>
      <w:pPr>
        <w:spacing w:after="0" w:line="207" w:lineRule="exact"/>
        <w:rPr>
          <w:rFonts w:ascii="Courier New" w:cs="Courier New" w:eastAsia="Courier New" w:hAnsi="Courier New"/>
          <w:sz w:val="18"/>
          <w:szCs w:val="18"/>
          <w:color w:val="auto"/>
        </w:rPr>
      </w:pPr>
    </w:p>
    <w:p>
      <w:pPr>
        <w:ind w:right="1779" w:firstLine="640"/>
        <w:spacing w:after="0" w:line="269" w:lineRule="auto"/>
        <w:tabs>
          <w:tab w:leader="none" w:pos="105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but ancillary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89" w:name="page190"/>
    <w:bookmarkEnd w:id="189"/>
    <w:p>
      <w:pPr>
        <w:ind w:left="1280" w:hanging="640"/>
        <w:spacing w:after="0"/>
        <w:tabs>
          <w:tab w:leader="none" w:pos="128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82" w:lineRule="exact"/>
        <w:rPr>
          <w:sz w:val="20"/>
          <w:szCs w:val="20"/>
          <w:color w:val="auto"/>
        </w:rPr>
      </w:pPr>
    </w:p>
    <w:p>
      <w:pPr>
        <w:ind w:left="1280" w:hanging="640"/>
        <w:spacing w:after="0"/>
        <w:tabs>
          <w:tab w:leader="none" w:pos="128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DISPUTES AND PAYMENT OF ATTORNEY'S FEES.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203" w:lineRule="exact"/>
        <w:rPr>
          <w:sz w:val="20"/>
          <w:szCs w:val="20"/>
          <w:color w:val="auto"/>
        </w:rPr>
      </w:pPr>
    </w:p>
    <w:p>
      <w:pPr>
        <w:ind w:left="1280" w:hanging="640"/>
        <w:spacing w:after="0"/>
        <w:tabs>
          <w:tab w:leader="none" w:pos="128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Company may withhold from any compensation and benefits payable under this Agreement all applicable federal, state, local, or other taxes.</w:t>
      </w:r>
    </w:p>
    <w:p>
      <w:pPr>
        <w:spacing w:after="0" w:line="203" w:lineRule="exact"/>
        <w:rPr>
          <w:sz w:val="20"/>
          <w:szCs w:val="20"/>
          <w:color w:val="auto"/>
        </w:rPr>
      </w:pPr>
    </w:p>
    <w:p>
      <w:pPr>
        <w:ind w:left="1280" w:hanging="640"/>
        <w:spacing w:after="0"/>
        <w:tabs>
          <w:tab w:leader="none" w:pos="128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PAYMENTS.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190" w:name="page191"/>
    <w:bookmarkEnd w:id="190"/>
    <w:p>
      <w:pPr>
        <w:ind w:left="1280" w:hanging="640"/>
        <w:spacing w:after="0"/>
        <w:tabs>
          <w:tab w:leader="none" w:pos="12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203" w:lineRule="exact"/>
        <w:rPr>
          <w:sz w:val="20"/>
          <w:szCs w:val="20"/>
          <w:color w:val="auto"/>
        </w:rPr>
      </w:pPr>
    </w:p>
    <w:p>
      <w:pPr>
        <w:ind w:left="1280" w:hanging="640"/>
        <w:spacing w:after="0"/>
        <w:tabs>
          <w:tab w:leader="none" w:pos="128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Agreement shall supersede any and all existing oral or written agreements, representations, or warranties between Executive and the Company or any of its parent, subsidiaries or affiliated entities relating to the terms of Executive's employment by the Company. It may not be amended except by a written agreement signed by both parties.</w:t>
      </w:r>
    </w:p>
    <w:p>
      <w:pPr>
        <w:spacing w:after="0" w:line="203" w:lineRule="exact"/>
        <w:rPr>
          <w:sz w:val="20"/>
          <w:szCs w:val="20"/>
          <w:color w:val="auto"/>
        </w:rPr>
      </w:pPr>
    </w:p>
    <w:p>
      <w:pPr>
        <w:ind w:left="1280" w:hanging="640"/>
        <w:spacing w:after="0"/>
        <w:tabs>
          <w:tab w:leader="none" w:pos="128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203" w:lineRule="exact"/>
        <w:rPr>
          <w:sz w:val="20"/>
          <w:szCs w:val="20"/>
          <w:color w:val="auto"/>
        </w:rPr>
      </w:pPr>
    </w:p>
    <w:p>
      <w:pPr>
        <w:ind w:left="1280" w:hanging="640"/>
        <w:spacing w:after="0"/>
        <w:tabs>
          <w:tab w:leader="none" w:pos="128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REQUIREMENT OF TIMELY PAYMENTS.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4" w:lineRule="exact"/>
        <w:rPr>
          <w:sz w:val="20"/>
          <w:szCs w:val="20"/>
          <w:color w:val="auto"/>
        </w:rPr>
      </w:pPr>
    </w:p>
    <w:p>
      <w:pPr>
        <w:ind w:left="1280" w:hanging="640"/>
        <w:spacing w:after="0"/>
        <w:tabs>
          <w:tab w:leader="none" w:pos="128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8"/>
          <w:szCs w:val="18"/>
          <w:color w:val="auto"/>
        </w:rPr>
        <w:t>each may specify by notice to the others: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1720" w:type="dxa"/>
            <w:vAlign w:val="bottom"/>
          </w:tcPr>
          <w:p>
            <w:pPr>
              <w:ind w:left="40"/>
              <w:spacing w:after="0"/>
              <w:rPr>
                <w:sz w:val="20"/>
                <w:szCs w:val="20"/>
                <w:color w:val="auto"/>
              </w:rPr>
            </w:pPr>
            <w:r>
              <w:rPr>
                <w:rFonts w:ascii="Courier New" w:cs="Courier New" w:eastAsia="Courier New" w:hAnsi="Courier New"/>
                <w:sz w:val="18"/>
                <w:szCs w:val="18"/>
                <w:color w:val="auto"/>
              </w:rPr>
              <w:t>the Company:</w:t>
            </w:r>
          </w:p>
        </w:tc>
        <w:tc>
          <w:tcPr>
            <w:tcW w:w="23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Waste Management ,</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1001 Fannin, Suite</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Houston, Texas</w:t>
            </w:r>
          </w:p>
        </w:tc>
        <w:tc>
          <w:tcPr>
            <w:tcW w:w="3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77002</w:t>
            </w:r>
          </w:p>
        </w:tc>
      </w:tr>
      <w:tr>
        <w:trPr>
          <w:trHeight w:val="203"/>
        </w:trPr>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1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Attention: Corporate Secretary</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1720" w:type="dxa"/>
            <w:vAlign w:val="bottom"/>
          </w:tcPr>
          <w:p>
            <w:pPr>
              <w:ind w:left="40"/>
              <w:spacing w:after="0"/>
              <w:rPr>
                <w:sz w:val="20"/>
                <w:szCs w:val="20"/>
                <w:color w:val="auto"/>
              </w:rPr>
            </w:pPr>
            <w:r>
              <w:rPr>
                <w:rFonts w:ascii="Courier New" w:cs="Courier New" w:eastAsia="Courier New" w:hAnsi="Courier New"/>
                <w:sz w:val="18"/>
                <w:szCs w:val="18"/>
                <w:color w:val="auto"/>
              </w:rPr>
              <w:t>Executive:</w:t>
            </w: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At the address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for</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Executive set forth below.</w:t>
            </w:r>
          </w:p>
        </w:tc>
      </w:tr>
    </w:tbl>
    <w:p>
      <w:pPr>
        <w:spacing w:after="0" w:line="201" w:lineRule="exact"/>
        <w:rPr>
          <w:sz w:val="20"/>
          <w:szCs w:val="20"/>
          <w:color w:val="auto"/>
        </w:rPr>
      </w:pPr>
    </w:p>
    <w:p>
      <w:pPr>
        <w:ind w:left="1280" w:hanging="640"/>
        <w:spacing w:after="0"/>
        <w:tabs>
          <w:tab w:leader="none" w:pos="128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1779" w:firstLine="640"/>
        <w:spacing w:after="0" w:line="237" w:lineRule="auto"/>
        <w:tabs>
          <w:tab w:leader="none" w:pos="105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8" w:lineRule="exact"/>
        <w:rPr>
          <w:rFonts w:ascii="Courier New" w:cs="Courier New" w:eastAsia="Courier New" w:hAnsi="Courier New"/>
          <w:sz w:val="18"/>
          <w:szCs w:val="18"/>
          <w:color w:val="auto"/>
        </w:rPr>
      </w:pPr>
    </w:p>
    <w:p>
      <w:pPr>
        <w:ind w:right="2619" w:firstLine="640"/>
        <w:spacing w:after="0" w:line="236" w:lineRule="auto"/>
        <w:tabs>
          <w:tab w:leader="none" w:pos="105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are used herein for convenience of reference only and shall not affect the meaning of any provision of this Agreement.</w:t>
      </w:r>
    </w:p>
    <w:p>
      <w:pPr>
        <w:spacing w:after="0" w:line="208" w:lineRule="exact"/>
        <w:rPr>
          <w:rFonts w:ascii="Courier New" w:cs="Courier New" w:eastAsia="Courier New" w:hAnsi="Courier New"/>
          <w:sz w:val="18"/>
          <w:szCs w:val="18"/>
          <w:color w:val="auto"/>
        </w:rPr>
      </w:pPr>
    </w:p>
    <w:p>
      <w:pPr>
        <w:ind w:right="2099" w:firstLine="640"/>
        <w:spacing w:after="0" w:line="235" w:lineRule="auto"/>
        <w:tabs>
          <w:tab w:leader="none" w:pos="105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Whenever the context so requires, the use of the singular shall be deemed to include the plural and vice versa.</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so executed shall be deemed to be an original, and such counterparts will together constitute but one Agreement.</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this Agreement is EXECUTED as of the date first set forth above and effective as set forth therein.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DRENNAN LOWELL</w:t>
      </w:r>
    </w:p>
    <w:p>
      <w:pPr>
        <w:ind w:left="3580"/>
        <w:spacing w:after="0" w:line="238" w:lineRule="auto"/>
        <w:rPr>
          <w:sz w:val="20"/>
          <w:szCs w:val="20"/>
          <w:color w:val="auto"/>
        </w:rPr>
      </w:pPr>
      <w:r>
        <w:rPr>
          <w:rFonts w:ascii="Courier New" w:cs="Courier New" w:eastAsia="Courier New" w:hAnsi="Courier New"/>
          <w:sz w:val="18"/>
          <w:szCs w:val="18"/>
          <w:color w:val="auto"/>
        </w:rPr>
        <w:t>("Executive")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J. Drennan Lowell</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192" w:name="page193"/>
    <w:bookmarkEnd w:id="192"/>
    <w:p>
      <w:pPr>
        <w:ind w:left="2380"/>
        <w:spacing w:after="0"/>
        <w:rPr>
          <w:sz w:val="20"/>
          <w:szCs w:val="20"/>
          <w:color w:val="auto"/>
        </w:rPr>
      </w:pPr>
      <w:r>
        <w:rPr>
          <w:rFonts w:ascii="Courier New" w:cs="Courier New" w:eastAsia="Courier New" w:hAnsi="Courier New"/>
          <w:sz w:val="18"/>
          <w:szCs w:val="18"/>
          <w:color w:val="auto"/>
        </w:rPr>
        <w:t>J. Drennan Lowell</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WHEELABRATOR TECHNOLOGIES, INC.</w:t>
      </w:r>
    </w:p>
    <w:p>
      <w:pPr>
        <w:ind w:left="2380"/>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David P. Steiner</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David P. Steiner</w:t>
      </w:r>
    </w:p>
    <w:p>
      <w:pPr>
        <w:ind w:left="2820"/>
        <w:spacing w:after="0" w:line="237" w:lineRule="auto"/>
        <w:rPr>
          <w:sz w:val="20"/>
          <w:szCs w:val="20"/>
          <w:color w:val="auto"/>
        </w:rPr>
      </w:pPr>
      <w:r>
        <w:rPr>
          <w:rFonts w:ascii="Courier New" w:cs="Courier New" w:eastAsia="Courier New" w:hAnsi="Courier New"/>
          <w:sz w:val="18"/>
          <w:szCs w:val="18"/>
          <w:color w:val="auto"/>
        </w:rPr>
        <w:t>Vice President and Secretary</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/s/ A. Maurice Myers</w:t>
      </w:r>
    </w:p>
    <w:p>
      <w:pPr>
        <w:ind w:left="29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A. Maurice Myers</w:t>
      </w:r>
    </w:p>
    <w:p>
      <w:pPr>
        <w:spacing w:after="0" w:line="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1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019"/>
          </w:cols>
          <w:pgMar w:left="1440" w:top="717" w:right="1440" w:bottom="1440" w:gutter="0" w:footer="0" w:header="0"/>
        </w:sectPr>
      </w:pPr>
    </w:p>
    <w:bookmarkStart w:id="193" w:name="page194"/>
    <w:bookmarkEnd w:id="193"/>
    <w:p>
      <w:pPr>
        <w:jc w:val="center"/>
        <w:ind w:right="1659"/>
        <w:spacing w:after="0"/>
        <w:rPr>
          <w:sz w:val="20"/>
          <w:szCs w:val="20"/>
          <w:color w:val="auto"/>
        </w:rPr>
      </w:pPr>
      <w:r>
        <w:rPr>
          <w:rFonts w:ascii="Courier New" w:cs="Courier New" w:eastAsia="Courier New" w:hAnsi="Courier New"/>
          <w:sz w:val="18"/>
          <w:szCs w:val="18"/>
          <w:color w:val="auto"/>
        </w:rPr>
        <w:t>FIRST AMENDMENT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 EMPLOYMENT AGREEMENT</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Wheelabrator Technologies, Inc. (the "Company"), Waste Management, Inc. ("WMI"), and Drennan Lowell (the "Executive") hereby enter into this First Amendment to Employment Agreement (the "Amendment") as of October 20, 2004, to hereby amend the Employment Agreement dated July 2002 between the Company and the Executive (the "Employment Agreement") to restrict the period in which increased severance benefits related to a possible Change in Control may be available, as follows:</w:t>
      </w:r>
    </w:p>
    <w:p>
      <w:pPr>
        <w:spacing w:after="0" w:line="211" w:lineRule="exact"/>
        <w:rPr>
          <w:sz w:val="20"/>
          <w:szCs w:val="20"/>
          <w:color w:val="auto"/>
        </w:rPr>
      </w:pPr>
    </w:p>
    <w:p>
      <w:pPr>
        <w:ind w:right="2319" w:firstLine="640"/>
        <w:spacing w:after="0" w:line="235" w:lineRule="auto"/>
        <w:tabs>
          <w:tab w:leader="none" w:pos="94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paragraph of Section 6(e) of the Employment Agreement is hereby amended in its entirety to read as follows:</w:t>
      </w:r>
    </w:p>
    <w:p>
      <w:pPr>
        <w:spacing w:after="0" w:line="208" w:lineRule="exact"/>
        <w:rPr>
          <w:sz w:val="20"/>
          <w:szCs w:val="20"/>
          <w:color w:val="auto"/>
        </w:rPr>
      </w:pPr>
    </w:p>
    <w:p>
      <w:pPr>
        <w:ind w:left="640" w:right="1879" w:firstLine="632"/>
        <w:spacing w:after="0" w:line="268" w:lineRule="auto"/>
        <w:rPr>
          <w:sz w:val="20"/>
          <w:szCs w:val="20"/>
          <w:color w:val="auto"/>
        </w:rPr>
      </w:pPr>
      <w:r>
        <w:rPr>
          <w:rFonts w:ascii="Courier New" w:cs="Courier New" w:eastAsia="Courier New" w:hAnsi="Courier New"/>
          <w:sz w:val="16"/>
          <w:szCs w:val="16"/>
          <w:color w:val="auto"/>
        </w:rPr>
        <w:t>"(e) TERMINATION BY THE COMPANY WITHOUT CAUSE OUTSIDE A CHANGE IN CONTROL PERIOD; TERMINATION BY EXECUTIVE FOR GOOD REASON OUTSIDE A CHANGE IN CONTROL PERIOD. In the event that Executive's employment is terminated by the Company outside a Change in Control Period (as defined in Section</w:t>
      </w:r>
    </w:p>
    <w:p>
      <w:pPr>
        <w:spacing w:after="0" w:line="1" w:lineRule="exact"/>
        <w:rPr>
          <w:sz w:val="20"/>
          <w:szCs w:val="20"/>
          <w:color w:val="auto"/>
        </w:rPr>
      </w:pPr>
    </w:p>
    <w:p>
      <w:pPr>
        <w:jc w:val="both"/>
        <w:ind w:left="640" w:right="1999"/>
        <w:spacing w:after="0" w:line="279" w:lineRule="auto"/>
        <w:tabs>
          <w:tab w:leader="none" w:pos="956"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reasons other than death, Total Disability or Cause, or Executive terminates his employment for Good Reason outside of a Change in Control Period, the Company shall pay the following amounts to Executive:"</w:t>
      </w:r>
    </w:p>
    <w:p>
      <w:pPr>
        <w:spacing w:after="0" w:line="178" w:lineRule="exact"/>
        <w:rPr>
          <w:sz w:val="20"/>
          <w:szCs w:val="20"/>
          <w:color w:val="auto"/>
        </w:rPr>
      </w:pPr>
    </w:p>
    <w:p>
      <w:pPr>
        <w:ind w:right="1879" w:firstLine="640"/>
        <w:spacing w:after="0" w:line="235" w:lineRule="auto"/>
        <w:tabs>
          <w:tab w:leader="none" w:pos="948"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 of Section 7 of the Employment Agreement is hereby amended in its entirety to read as follows:</w:t>
      </w:r>
    </w:p>
    <w:p>
      <w:pPr>
        <w:spacing w:after="0" w:line="208" w:lineRule="exact"/>
        <w:rPr>
          <w:sz w:val="20"/>
          <w:szCs w:val="20"/>
          <w:color w:val="auto"/>
        </w:rPr>
      </w:pPr>
    </w:p>
    <w:p>
      <w:pPr>
        <w:ind w:left="640" w:right="2419" w:firstLine="632"/>
        <w:spacing w:after="0" w:line="235" w:lineRule="auto"/>
        <w:rPr>
          <w:sz w:val="20"/>
          <w:szCs w:val="20"/>
          <w:color w:val="auto"/>
        </w:rPr>
      </w:pPr>
      <w:r>
        <w:rPr>
          <w:rFonts w:ascii="Courier New" w:cs="Courier New" w:eastAsia="Courier New" w:hAnsi="Courier New"/>
          <w:sz w:val="18"/>
          <w:szCs w:val="18"/>
          <w:color w:val="auto"/>
        </w:rPr>
        <w:t>"7. RESIGNATION BY EXECUTIVE FOR GOOD REASON OR TERMINATION BY COMPANY WITHOUT CAUSE DURING A CHANGE IN CONTROL PERIOD."</w:t>
      </w:r>
    </w:p>
    <w:p>
      <w:pPr>
        <w:spacing w:after="0" w:line="208" w:lineRule="exact"/>
        <w:rPr>
          <w:sz w:val="20"/>
          <w:szCs w:val="20"/>
          <w:color w:val="auto"/>
        </w:rPr>
      </w:pPr>
    </w:p>
    <w:p>
      <w:pPr>
        <w:ind w:right="2319" w:firstLine="640"/>
        <w:spacing w:after="0" w:line="235" w:lineRule="auto"/>
        <w:tabs>
          <w:tab w:leader="none" w:pos="94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paragraph of Section 7(a) of the Employment Agreement is hereby amended in its entirety to read as follows:</w:t>
      </w:r>
    </w:p>
    <w:p>
      <w:pPr>
        <w:spacing w:after="0" w:line="208" w:lineRule="exact"/>
        <w:rPr>
          <w:sz w:val="20"/>
          <w:szCs w:val="20"/>
          <w:color w:val="auto"/>
        </w:rPr>
      </w:pPr>
    </w:p>
    <w:p>
      <w:pPr>
        <w:ind w:left="640" w:right="1779" w:firstLine="632"/>
        <w:spacing w:after="0" w:line="272" w:lineRule="auto"/>
        <w:rPr>
          <w:sz w:val="20"/>
          <w:szCs w:val="20"/>
          <w:color w:val="auto"/>
        </w:rPr>
      </w:pPr>
      <w:r>
        <w:rPr>
          <w:rFonts w:ascii="Courier New" w:cs="Courier New" w:eastAsia="Courier New" w:hAnsi="Courier New"/>
          <w:sz w:val="16"/>
          <w:szCs w:val="16"/>
          <w:color w:val="auto"/>
        </w:rPr>
        <w:t>"(a) CERTAIN TERMINATIONS DURING A CHANGE IN CONTROL PERIOD. In the event a Change in Control occurs and (x) Executive terminates his employment for Good Reason during the Change in Control Period, or (y) the Company terminates Executive's employment without Cause (and for reason other than Death of Total Disability) during the Change in Control Period, the Company shall pay the following amounts to Executive:"</w:t>
      </w:r>
    </w:p>
    <w:p>
      <w:pPr>
        <w:spacing w:after="0" w:line="186" w:lineRule="exact"/>
        <w:rPr>
          <w:sz w:val="20"/>
          <w:szCs w:val="20"/>
          <w:color w:val="auto"/>
        </w:rPr>
      </w:pPr>
    </w:p>
    <w:p>
      <w:pPr>
        <w:ind w:right="2419" w:firstLine="640"/>
        <w:spacing w:after="0" w:line="235" w:lineRule="auto"/>
        <w:tabs>
          <w:tab w:leader="none" w:pos="948"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7(c) of the Employment Agreement is hereby amended in its entirety to read as follows:</w:t>
      </w:r>
    </w:p>
    <w:p>
      <w:pPr>
        <w:spacing w:after="0" w:line="208" w:lineRule="exact"/>
        <w:rPr>
          <w:sz w:val="20"/>
          <w:szCs w:val="20"/>
          <w:color w:val="auto"/>
        </w:rPr>
      </w:pPr>
    </w:p>
    <w:p>
      <w:pPr>
        <w:ind w:left="640" w:right="1779" w:firstLine="632"/>
        <w:spacing w:after="0" w:line="236" w:lineRule="auto"/>
        <w:rPr>
          <w:sz w:val="20"/>
          <w:szCs w:val="20"/>
          <w:color w:val="auto"/>
        </w:rPr>
      </w:pPr>
      <w:r>
        <w:rPr>
          <w:rFonts w:ascii="Courier New" w:cs="Courier New" w:eastAsia="Courier New" w:hAnsi="Courier New"/>
          <w:sz w:val="18"/>
          <w:szCs w:val="18"/>
          <w:color w:val="auto"/>
        </w:rPr>
        <w:t>"(c) CHANGE IN CONTROL. For purposes of this Agreement, "Change in Control" means the first to occur, on or after October 20, 2004, of any of the following:</w:t>
      </w:r>
    </w:p>
    <w:p>
      <w:pPr>
        <w:spacing w:after="0" w:line="209" w:lineRule="exact"/>
        <w:rPr>
          <w:sz w:val="20"/>
          <w:szCs w:val="20"/>
          <w:color w:val="auto"/>
        </w:rPr>
      </w:pPr>
    </w:p>
    <w:p>
      <w:pPr>
        <w:ind w:left="1280" w:right="1779" w:hanging="8"/>
        <w:spacing w:after="0" w:line="237" w:lineRule="auto"/>
        <w:tabs>
          <w:tab w:leader="none" w:pos="170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directly or indirectly, of securities of WMI representing twenty-five percent (25%) or more of the combined voting power of WMI's then outstanding Voting Securities;</w:t>
      </w:r>
    </w:p>
    <w:p>
      <w:pPr>
        <w:spacing w:after="0" w:line="207" w:lineRule="exact"/>
        <w:rPr>
          <w:rFonts w:ascii="Courier New" w:cs="Courier New" w:eastAsia="Courier New" w:hAnsi="Courier New"/>
          <w:sz w:val="18"/>
          <w:szCs w:val="18"/>
          <w:color w:val="auto"/>
        </w:rPr>
      </w:pPr>
    </w:p>
    <w:p>
      <w:pPr>
        <w:ind w:left="4120" w:right="1879" w:hanging="2848"/>
        <w:spacing w:after="0" w:line="470" w:lineRule="auto"/>
        <w:tabs>
          <w:tab w:leader="none" w:pos="1802"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individuals cease for any reason to constitute a 21</w:t>
      </w:r>
    </w:p>
    <w:p>
      <w:pPr>
        <w:sectPr>
          <w:pgSz w:w="11900" w:h="16838" w:orient="portrait"/>
          <w:cols w:equalWidth="0" w:num="1">
            <w:col w:w="10219"/>
          </w:cols>
          <w:pgMar w:left="240" w:top="717" w:right="1440" w:bottom="1440" w:gutter="0" w:footer="0" w:header="0"/>
        </w:sectPr>
      </w:pPr>
    </w:p>
    <w:bookmarkStart w:id="194" w:name="page195"/>
    <w:bookmarkEnd w:id="194"/>
    <w:p>
      <w:pPr>
        <w:ind w:left="80" w:right="1879"/>
        <w:spacing w:after="0" w:line="238" w:lineRule="auto"/>
        <w:rPr>
          <w:sz w:val="20"/>
          <w:szCs w:val="20"/>
          <w:color w:val="auto"/>
        </w:rPr>
      </w:pPr>
      <w:r>
        <w:rPr>
          <w:rFonts w:ascii="Courier New" w:cs="Courier New" w:eastAsia="Courier New" w:hAnsi="Courier New"/>
          <w:sz w:val="18"/>
          <w:szCs w:val="18"/>
          <w:color w:val="auto"/>
        </w:rPr>
        <w:t>majority of the number of directors then serving: individuals who, on the Employment Date, constitute the Board and any new director (other than a director whose initial assumption of office is in connection with an actual or threatened election contest, including but not limited to a consent solicitation, relating or the election of directors of WMI) whose appointment or election by the Board or nomination for election by WMI's stockholders was approved or recommended by a vote of at least two-thirds (2/3rds) of the directors then still in office who either were directors on the Employment Date or whose appointment, election or nomination for election was previously so approved or recommended (the "Incumbent Board");</w:t>
      </w:r>
    </w:p>
    <w:p>
      <w:pPr>
        <w:spacing w:after="0" w:line="207" w:lineRule="exact"/>
        <w:rPr>
          <w:sz w:val="20"/>
          <w:szCs w:val="20"/>
          <w:color w:val="auto"/>
        </w:rPr>
      </w:pPr>
    </w:p>
    <w:p>
      <w:pPr>
        <w:ind w:left="80" w:right="1779" w:hanging="8"/>
        <w:spacing w:after="0" w:line="238" w:lineRule="auto"/>
        <w:tabs>
          <w:tab w:leader="none" w:pos="712"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consummated merger or consolidation of the Company pursuant to which no securities of the Company are owned by WMI or its direct or indirect subsidiaries, or a merger or consolidation of WMI or any direct or indirect subsidiary of WMI (other than the Company) with any other corporation other than (A) a merger or consolidation which would result in Voting Securities or WMI outstanding immediately prior thereto continuing to represent (either by remaining outstanding or by being converted into Voting Securities of the surviving or parent entity) more than fifty percent (50%) of the combined voting power of the Voting Securities of WMI or such surviving or parent entity outstanding immediately after such merger or consolidation or (B) a merger or consolidation effected to implement a recapitalization of WMI (or similar transaction) in which no Person, directly or indirectly, acquired twenty-five percent (25%) or more of the combined voting power of WMI's then outstanding securities; or</w:t>
      </w:r>
    </w:p>
    <w:p>
      <w:pPr>
        <w:spacing w:after="0" w:line="208" w:lineRule="exact"/>
        <w:rPr>
          <w:rFonts w:ascii="Courier New" w:cs="Courier New" w:eastAsia="Courier New" w:hAnsi="Courier New"/>
          <w:sz w:val="18"/>
          <w:szCs w:val="18"/>
          <w:color w:val="auto"/>
        </w:rPr>
      </w:pPr>
    </w:p>
    <w:p>
      <w:pPr>
        <w:ind w:left="80" w:right="1779" w:hanging="8"/>
        <w:spacing w:after="0" w:line="237" w:lineRule="auto"/>
        <w:tabs>
          <w:tab w:leader="none" w:pos="607"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WMI approve a plan of complete liquidation of WMI or there is consummated an agreement for the sale or disposition by WMI of all or substantially all of WMI's assets (or any transaction having a similar effect), other than a sale or disposition by WMI of all or substantially all of WMI's assets to an entity, at least fifty percent (50%) of the combined voting power of the Voting Securities of which are owned by stockholders of WMI in substantially the same proportions as their ownership of WMI immediately prior to such sale.</w:t>
      </w:r>
    </w:p>
    <w:p>
      <w:pPr>
        <w:spacing w:after="0" w:line="2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Additionally, the following terms shall have the following meanings:</w:t>
      </w:r>
    </w:p>
    <w:p>
      <w:pPr>
        <w:spacing w:after="0" w:line="224" w:lineRule="exact"/>
        <w:rPr>
          <w:sz w:val="20"/>
          <w:szCs w:val="20"/>
          <w:color w:val="auto"/>
        </w:rPr>
      </w:pPr>
    </w:p>
    <w:p>
      <w:pPr>
        <w:ind w:left="80" w:right="1879" w:hanging="8"/>
        <w:spacing w:after="0" w:line="290" w:lineRule="auto"/>
        <w:tabs>
          <w:tab w:leader="none" w:pos="501"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7, "Beneficial Owner" has the meaning set forth in Rule 13d-3 promulgated under the Exchange Act.</w:t>
      </w:r>
    </w:p>
    <w:p>
      <w:pPr>
        <w:spacing w:after="0" w:line="169" w:lineRule="exact"/>
        <w:rPr>
          <w:rFonts w:ascii="Courier New" w:cs="Courier New" w:eastAsia="Courier New" w:hAnsi="Courier New"/>
          <w:sz w:val="16"/>
          <w:szCs w:val="16"/>
          <w:color w:val="auto"/>
        </w:rPr>
      </w:pPr>
    </w:p>
    <w:p>
      <w:pPr>
        <w:ind w:left="80" w:right="2319" w:hanging="8"/>
        <w:spacing w:after="0" w:line="235" w:lineRule="auto"/>
        <w:tabs>
          <w:tab w:leader="none" w:pos="607"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7, "Board" means the Board of Directors of WMI.</w:t>
      </w:r>
    </w:p>
    <w:p>
      <w:pPr>
        <w:spacing w:after="0" w:line="208" w:lineRule="exact"/>
        <w:rPr>
          <w:rFonts w:ascii="Courier New" w:cs="Courier New" w:eastAsia="Courier New" w:hAnsi="Courier New"/>
          <w:sz w:val="18"/>
          <w:szCs w:val="18"/>
          <w:color w:val="auto"/>
        </w:rPr>
      </w:pPr>
    </w:p>
    <w:p>
      <w:pPr>
        <w:ind w:left="80" w:right="2099" w:hanging="8"/>
        <w:spacing w:after="0" w:line="237" w:lineRule="auto"/>
        <w:tabs>
          <w:tab w:leader="none" w:pos="712"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"Change in Control Period" means the period commencing on the date occurring six months immediately prior to the date on which a Change in Control occurs and</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019"/>
          </w:cols>
          <w:pgMar w:left="1440" w:top="723" w:right="1440" w:bottom="1440" w:gutter="0" w:footer="0" w:header="0"/>
        </w:sectPr>
      </w:pPr>
    </w:p>
    <w:bookmarkStart w:id="195" w:name="page196"/>
    <w:bookmarkEnd w:id="195"/>
    <w:p>
      <w:pPr>
        <w:ind w:left="80" w:right="2099"/>
        <w:spacing w:after="0" w:line="235" w:lineRule="auto"/>
        <w:rPr>
          <w:sz w:val="20"/>
          <w:szCs w:val="20"/>
          <w:color w:val="auto"/>
        </w:rPr>
      </w:pPr>
      <w:r>
        <w:rPr>
          <w:rFonts w:ascii="Courier New" w:cs="Courier New" w:eastAsia="Courier New" w:hAnsi="Courier New"/>
          <w:sz w:val="18"/>
          <w:szCs w:val="18"/>
          <w:color w:val="auto"/>
        </w:rPr>
        <w:t>ending on the second anniversary of the date on which a Change in Control occurs.</w:t>
      </w:r>
    </w:p>
    <w:p>
      <w:pPr>
        <w:spacing w:after="0" w:line="208" w:lineRule="exact"/>
        <w:rPr>
          <w:sz w:val="20"/>
          <w:szCs w:val="20"/>
          <w:color w:val="auto"/>
        </w:rPr>
      </w:pPr>
    </w:p>
    <w:p>
      <w:pPr>
        <w:ind w:left="80" w:right="2519" w:hanging="8"/>
        <w:spacing w:after="0" w:line="235" w:lineRule="auto"/>
        <w:tabs>
          <w:tab w:leader="none" w:pos="607"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7, "Exchange Act" means the Securities and Exchange Act of 1934, as amended.</w:t>
      </w:r>
    </w:p>
    <w:p>
      <w:pPr>
        <w:spacing w:after="0" w:line="208" w:lineRule="exact"/>
        <w:rPr>
          <w:rFonts w:ascii="Courier New" w:cs="Courier New" w:eastAsia="Courier New" w:hAnsi="Courier New"/>
          <w:sz w:val="18"/>
          <w:szCs w:val="18"/>
          <w:color w:val="auto"/>
        </w:rPr>
      </w:pPr>
    </w:p>
    <w:p>
      <w:pPr>
        <w:ind w:left="80" w:right="1779" w:hanging="8"/>
        <w:spacing w:after="0" w:line="237" w:lineRule="auto"/>
        <w:tabs>
          <w:tab w:leader="none" w:pos="501"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7, "Person" has the meaning set forth in Section 3(a)(9) of the Exchange Act, as modified and used in Sections 13(d) and 14(d) thereof, except that such term shall not include (A) Waste Management, (B) a trustee or other fiduciary holding securities under an employee benefit plan of Waste Management, (C) an employee benefit plan of Waste Management, or (D) an underwriter temporarily holding securities pursuant to an offering of such securities.</w:t>
      </w:r>
    </w:p>
    <w:p>
      <w:pPr>
        <w:spacing w:after="0" w:line="212" w:lineRule="exact"/>
        <w:rPr>
          <w:rFonts w:ascii="Courier New" w:cs="Courier New" w:eastAsia="Courier New" w:hAnsi="Courier New"/>
          <w:sz w:val="18"/>
          <w:szCs w:val="18"/>
          <w:color w:val="auto"/>
        </w:rPr>
      </w:pPr>
    </w:p>
    <w:p>
      <w:pPr>
        <w:ind w:left="80" w:right="2099" w:hanging="8"/>
        <w:spacing w:after="0" w:line="290" w:lineRule="auto"/>
        <w:tabs>
          <w:tab w:leader="none" w:pos="607"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7, "Subsidiary" means an entity that is a direct or indirect majority-owned subsidiary of WMI.</w:t>
      </w:r>
    </w:p>
    <w:p>
      <w:pPr>
        <w:spacing w:after="0" w:line="169" w:lineRule="exact"/>
        <w:rPr>
          <w:rFonts w:ascii="Courier New" w:cs="Courier New" w:eastAsia="Courier New" w:hAnsi="Courier New"/>
          <w:sz w:val="16"/>
          <w:szCs w:val="16"/>
          <w:color w:val="auto"/>
        </w:rPr>
      </w:pPr>
    </w:p>
    <w:p>
      <w:pPr>
        <w:ind w:left="80" w:right="1779" w:hanging="8"/>
        <w:spacing w:after="0" w:line="237" w:lineRule="auto"/>
        <w:tabs>
          <w:tab w:leader="none" w:pos="712"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7, "Voting Securities" means, with respect to a corporation, all securities of such corporation of any class or series that are entitled to vote generally in the election of directors of such corporation (excluding any class or series that would be entitled to vote by reason of the occurrence of any contingency, so long as such contingency has not occurred).</w:t>
      </w:r>
    </w:p>
    <w:p>
      <w:pPr>
        <w:spacing w:after="0" w:line="209" w:lineRule="exact"/>
        <w:rPr>
          <w:rFonts w:ascii="Courier New" w:cs="Courier New" w:eastAsia="Courier New" w:hAnsi="Courier New"/>
          <w:sz w:val="18"/>
          <w:szCs w:val="18"/>
          <w:color w:val="auto"/>
        </w:rPr>
      </w:pPr>
    </w:p>
    <w:p>
      <w:pPr>
        <w:ind w:left="80" w:right="1879" w:hanging="8"/>
        <w:spacing w:after="0" w:line="235" w:lineRule="auto"/>
        <w:tabs>
          <w:tab w:leader="none" w:pos="817"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7, "Waste Management" means WMI and any or all of its Subsidiaries."</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019"/>
          </w:cols>
          <w:pgMar w:left="1440" w:top="723" w:right="1440" w:bottom="1440" w:gutter="0" w:footer="0" w:header="0"/>
        </w:sectPr>
      </w:pPr>
    </w:p>
    <w:bookmarkStart w:id="196" w:name="page197"/>
    <w:bookmarkEnd w:id="196"/>
    <w:p>
      <w:pPr>
        <w:ind w:right="241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duly executed this First Amendment as of the day and year first stated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David P. Steiner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P. Steiner</w:t>
      </w:r>
    </w:p>
    <w:p>
      <w:pPr>
        <w:spacing w:after="0" w:line="237" w:lineRule="auto"/>
        <w:rPr>
          <w:sz w:val="20"/>
          <w:szCs w:val="20"/>
          <w:color w:val="auto"/>
        </w:rPr>
      </w:pPr>
      <w:r>
        <w:rPr>
          <w:rFonts w:ascii="Courier New" w:cs="Courier New" w:eastAsia="Courier New" w:hAnsi="Courier New"/>
          <w:sz w:val="18"/>
          <w:szCs w:val="18"/>
          <w:color w:val="auto"/>
        </w:rPr>
        <w:t>Title: 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WHEELABRATOR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Linda J. Smith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Linda J. Smith</w:t>
      </w:r>
    </w:p>
    <w:p>
      <w:pPr>
        <w:spacing w:after="0" w:line="237" w:lineRule="auto"/>
        <w:rPr>
          <w:sz w:val="20"/>
          <w:szCs w:val="20"/>
          <w:color w:val="auto"/>
        </w:rPr>
      </w:pPr>
      <w:r>
        <w:rPr>
          <w:rFonts w:ascii="Courier New" w:cs="Courier New" w:eastAsia="Courier New" w:hAnsi="Courier New"/>
          <w:sz w:val="18"/>
          <w:szCs w:val="18"/>
          <w:color w:val="auto"/>
        </w:rPr>
        <w:t>Title: Vice President &amp;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Drennan Lowell</w:t>
      </w:r>
    </w:p>
    <w:p>
      <w:pPr>
        <w:ind w:left="220" w:hanging="212"/>
        <w:spacing w:after="0" w:line="238" w:lineRule="auto"/>
        <w:tabs>
          <w:tab w:leader="none" w:pos="22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Drennan Lowell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97" w:name="page198"/>
    <w:bookmarkEnd w:id="197"/>
    <w:p>
      <w:pPr>
        <w:ind w:left="7060"/>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2420"/>
        <w:spacing w:after="0" w:line="238" w:lineRule="auto"/>
        <w:rPr>
          <w:sz w:val="20"/>
          <w:szCs w:val="20"/>
          <w:color w:val="auto"/>
        </w:rPr>
      </w:pPr>
      <w:r>
        <w:rPr>
          <w:rFonts w:ascii="Courier New" w:cs="Courier New" w:eastAsia="Courier New" w:hAnsi="Courier New"/>
          <w:sz w:val="18"/>
          <w:szCs w:val="18"/>
          <w:color w:val="auto"/>
        </w:rPr>
        <w:t>(In millions, except ratios)</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Years Ended December 31,</w:t>
            </w:r>
          </w:p>
        </w:tc>
        <w:tc>
          <w:tcPr>
            <w:tcW w:w="68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2004</w:t>
            </w:r>
          </w:p>
        </w:tc>
        <w:tc>
          <w:tcPr>
            <w:tcW w:w="580" w:type="dxa"/>
            <w:vAlign w:val="bottom"/>
          </w:tcPr>
          <w:p>
            <w:pPr>
              <w:spacing w:after="0"/>
              <w:rPr>
                <w:sz w:val="17"/>
                <w:szCs w:val="17"/>
                <w:color w:val="auto"/>
              </w:rPr>
            </w:pPr>
          </w:p>
        </w:tc>
        <w:tc>
          <w:tcPr>
            <w:tcW w:w="1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2003</w:t>
            </w:r>
          </w:p>
        </w:tc>
        <w:tc>
          <w:tcPr>
            <w:tcW w:w="54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Income before income taxes, cumulative effect of changes</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accounting principles, losses in equity investments</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minority interests</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$ 1,316</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$ 1,129</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$ 1,249</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charges deducted from income:</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455</w:t>
            </w:r>
          </w:p>
        </w:tc>
        <w:tc>
          <w:tcPr>
            <w:tcW w:w="5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439</w:t>
            </w:r>
          </w:p>
        </w:tc>
        <w:tc>
          <w:tcPr>
            <w:tcW w:w="5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467</w:t>
            </w:r>
          </w:p>
        </w:tc>
      </w:tr>
      <w:tr>
        <w:trPr>
          <w:trHeight w:val="203"/>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6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c>
          <w:tcPr>
            <w:tcW w:w="5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69</w:t>
            </w:r>
          </w:p>
        </w:tc>
        <w:tc>
          <w:tcPr>
            <w:tcW w:w="5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506</w:t>
            </w:r>
          </w:p>
        </w:tc>
        <w:tc>
          <w:tcPr>
            <w:tcW w:w="5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508</w:t>
            </w:r>
          </w:p>
        </w:tc>
        <w:tc>
          <w:tcPr>
            <w:tcW w:w="5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Earnings available for fixed charges</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$ 1,822</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$ 1,637</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$ 1,782</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455</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439</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467</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6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w:t>
            </w:r>
          </w:p>
        </w:tc>
        <w:tc>
          <w:tcPr>
            <w:tcW w:w="5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w:t>
            </w:r>
          </w:p>
        </w:tc>
        <w:tc>
          <w:tcPr>
            <w:tcW w:w="5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6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c>
          <w:tcPr>
            <w:tcW w:w="5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69</w:t>
            </w:r>
          </w:p>
        </w:tc>
        <w:tc>
          <w:tcPr>
            <w:tcW w:w="5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530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553</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Ratio of earnings to fixed charges</w:t>
            </w:r>
          </w:p>
        </w:tc>
        <w:tc>
          <w:tcPr>
            <w:tcW w:w="64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3.5x</w:t>
            </w:r>
          </w:p>
        </w:tc>
        <w:tc>
          <w:tcPr>
            <w:tcW w:w="58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3.1x</w:t>
            </w: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3.2x</w:t>
            </w:r>
          </w:p>
        </w:tc>
      </w:tr>
      <w:tr>
        <w:trPr>
          <w:trHeight w:val="203"/>
        </w:trPr>
        <w:tc>
          <w:tcPr>
            <w:tcW w:w="638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860"/>
          </w:cols>
          <w:pgMar w:left="240" w:top="541" w:right="799" w:bottom="1440" w:gutter="0" w:footer="0" w:header="0"/>
        </w:sectPr>
      </w:pPr>
    </w:p>
    <w:bookmarkStart w:id="198" w:name="page199"/>
    <w:bookmarkEnd w:id="198"/>
    <w:p>
      <w:pPr>
        <w:ind w:left="83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0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right"/>
        <w:ind w:right="2000"/>
        <w:spacing w:after="0"/>
        <w:rPr>
          <w:sz w:val="20"/>
          <w:szCs w:val="20"/>
          <w:color w:val="auto"/>
        </w:rPr>
      </w:pPr>
      <w:r>
        <w:rPr>
          <w:rFonts w:ascii="Courier New" w:cs="Courier New" w:eastAsia="Courier New" w:hAnsi="Courier New"/>
          <w:sz w:val="18"/>
          <w:szCs w:val="18"/>
          <w:color w:val="auto"/>
        </w:rPr>
        <w:t>EXHIBIT 21.1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WASTE MANAGEMENT, INC. SUBSIDIARIES</w:t>
      </w:r>
    </w:p>
    <w:p>
      <w:pPr>
        <w:sectPr>
          <w:pgSz w:w="11900" w:h="16838" w:orient="portrait"/>
          <w:cols w:equalWidth="0" w:num="1">
            <w:col w:w="10440"/>
          </w:cols>
          <w:pgMar w:left="240" w:top="34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345" w:right="121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1019726 Alberta Ltd.</w:t>
      </w:r>
    </w:p>
    <w:p>
      <w:pPr>
        <w:spacing w:after="0" w:line="238" w:lineRule="auto"/>
        <w:rPr>
          <w:sz w:val="20"/>
          <w:szCs w:val="20"/>
          <w:color w:val="auto"/>
        </w:rPr>
      </w:pPr>
      <w:r>
        <w:rPr>
          <w:rFonts w:ascii="Courier New" w:cs="Courier New" w:eastAsia="Courier New" w:hAnsi="Courier New"/>
          <w:sz w:val="18"/>
          <w:szCs w:val="18"/>
          <w:color w:val="auto"/>
        </w:rPr>
        <w:t>1329409 Ontario Inc.</w:t>
      </w:r>
    </w:p>
    <w:p>
      <w:pPr>
        <w:spacing w:after="0"/>
        <w:rPr>
          <w:sz w:val="20"/>
          <w:szCs w:val="20"/>
          <w:color w:val="auto"/>
        </w:rPr>
      </w:pPr>
      <w:r>
        <w:rPr>
          <w:rFonts w:ascii="Courier New" w:cs="Courier New" w:eastAsia="Courier New" w:hAnsi="Courier New"/>
          <w:sz w:val="18"/>
          <w:szCs w:val="18"/>
          <w:color w:val="auto"/>
        </w:rPr>
        <w:t>3368084 Canada Inc.</w:t>
      </w:r>
    </w:p>
    <w:p>
      <w:pPr>
        <w:spacing w:after="0" w:line="237" w:lineRule="auto"/>
        <w:rPr>
          <w:sz w:val="20"/>
          <w:szCs w:val="20"/>
          <w:color w:val="auto"/>
        </w:rPr>
      </w:pPr>
      <w:r>
        <w:rPr>
          <w:rFonts w:ascii="Courier New" w:cs="Courier New" w:eastAsia="Courier New" w:hAnsi="Courier New"/>
          <w:sz w:val="18"/>
          <w:szCs w:val="18"/>
          <w:color w:val="auto"/>
        </w:rPr>
        <w:t>635952 Ontario Inc.</w:t>
      </w:r>
    </w:p>
    <w:p>
      <w:pPr>
        <w:spacing w:after="0" w:line="238" w:lineRule="auto"/>
        <w:rPr>
          <w:sz w:val="20"/>
          <w:szCs w:val="20"/>
          <w:color w:val="auto"/>
        </w:rPr>
      </w:pPr>
      <w:r>
        <w:rPr>
          <w:rFonts w:ascii="Courier New" w:cs="Courier New" w:eastAsia="Courier New" w:hAnsi="Courier New"/>
          <w:sz w:val="18"/>
          <w:szCs w:val="18"/>
          <w:color w:val="auto"/>
        </w:rPr>
        <w:t>Acaverde S.A. de C.V.</w:t>
      </w:r>
    </w:p>
    <w:p>
      <w:pPr>
        <w:spacing w:after="0"/>
        <w:rPr>
          <w:sz w:val="20"/>
          <w:szCs w:val="20"/>
          <w:color w:val="auto"/>
        </w:rPr>
      </w:pPr>
      <w:r>
        <w:rPr>
          <w:rFonts w:ascii="Courier New" w:cs="Courier New" w:eastAsia="Courier New" w:hAnsi="Courier New"/>
          <w:sz w:val="18"/>
          <w:szCs w:val="18"/>
          <w:color w:val="auto"/>
        </w:rPr>
        <w:t>Acaverde Servicios, S.A. de C.V.</w:t>
      </w:r>
    </w:p>
    <w:p>
      <w:pPr>
        <w:spacing w:after="0" w:line="237" w:lineRule="auto"/>
        <w:rPr>
          <w:sz w:val="20"/>
          <w:szCs w:val="20"/>
          <w:color w:val="auto"/>
        </w:rPr>
      </w:pPr>
      <w:r>
        <w:rPr>
          <w:rFonts w:ascii="Courier New" w:cs="Courier New" w:eastAsia="Courier New" w:hAnsi="Courier New"/>
          <w:sz w:val="18"/>
          <w:szCs w:val="18"/>
          <w:color w:val="auto"/>
        </w:rPr>
        <w:t>Advanced Environmental Technical Services, L.L.C.</w:t>
      </w:r>
    </w:p>
    <w:p>
      <w:pPr>
        <w:spacing w:after="0"/>
        <w:rPr>
          <w:sz w:val="20"/>
          <w:szCs w:val="20"/>
          <w:color w:val="auto"/>
        </w:rPr>
      </w:pPr>
      <w:r>
        <w:rPr>
          <w:rFonts w:ascii="Courier New" w:cs="Courier New" w:eastAsia="Courier New" w:hAnsi="Courier New"/>
          <w:sz w:val="18"/>
          <w:szCs w:val="18"/>
          <w:color w:val="auto"/>
        </w:rPr>
        <w:t>Akron Regional Landfill, Inc.</w:t>
      </w:r>
    </w:p>
    <w:p>
      <w:pPr>
        <w:spacing w:after="0" w:line="237" w:lineRule="auto"/>
        <w:rPr>
          <w:sz w:val="20"/>
          <w:szCs w:val="20"/>
          <w:color w:val="auto"/>
        </w:rPr>
      </w:pPr>
      <w:r>
        <w:rPr>
          <w:rFonts w:ascii="Courier New" w:cs="Courier New" w:eastAsia="Courier New" w:hAnsi="Courier New"/>
          <w:sz w:val="18"/>
          <w:szCs w:val="18"/>
          <w:color w:val="auto"/>
        </w:rPr>
        <w:t>Alabama Waste Disposal Solutions, L.L.C.</w:t>
      </w:r>
    </w:p>
    <w:p>
      <w:pPr>
        <w:spacing w:after="0"/>
        <w:rPr>
          <w:sz w:val="20"/>
          <w:szCs w:val="20"/>
          <w:color w:val="auto"/>
        </w:rPr>
      </w:pPr>
      <w:r>
        <w:rPr>
          <w:rFonts w:ascii="Courier New" w:cs="Courier New" w:eastAsia="Courier New" w:hAnsi="Courier New"/>
          <w:sz w:val="18"/>
          <w:szCs w:val="18"/>
          <w:color w:val="auto"/>
        </w:rPr>
        <w:t>Alliance Sanitary Landfill, Inc.</w:t>
      </w:r>
    </w:p>
    <w:p>
      <w:pPr>
        <w:spacing w:after="0" w:line="237" w:lineRule="auto"/>
        <w:rPr>
          <w:sz w:val="20"/>
          <w:szCs w:val="20"/>
          <w:color w:val="auto"/>
        </w:rPr>
      </w:pPr>
      <w:r>
        <w:rPr>
          <w:rFonts w:ascii="Courier New" w:cs="Courier New" w:eastAsia="Courier New" w:hAnsi="Courier New"/>
          <w:sz w:val="18"/>
          <w:szCs w:val="18"/>
          <w:color w:val="auto"/>
        </w:rPr>
        <w:t>Alpharetta Transfer Station, LLC</w:t>
      </w:r>
    </w:p>
    <w:p>
      <w:pPr>
        <w:spacing w:after="0" w:line="238" w:lineRule="auto"/>
        <w:rPr>
          <w:sz w:val="20"/>
          <w:szCs w:val="20"/>
          <w:color w:val="auto"/>
        </w:rPr>
      </w:pPr>
      <w:r>
        <w:rPr>
          <w:rFonts w:ascii="Courier New" w:cs="Courier New" w:eastAsia="Courier New" w:hAnsi="Courier New"/>
          <w:sz w:val="18"/>
          <w:szCs w:val="18"/>
          <w:color w:val="auto"/>
        </w:rPr>
        <w:t>American Landfill, Inc.</w:t>
      </w:r>
    </w:p>
    <w:p>
      <w:pPr>
        <w:spacing w:after="0"/>
        <w:rPr>
          <w:sz w:val="20"/>
          <w:szCs w:val="20"/>
          <w:color w:val="auto"/>
        </w:rPr>
      </w:pPr>
      <w:r>
        <w:rPr>
          <w:rFonts w:ascii="Courier New" w:cs="Courier New" w:eastAsia="Courier New" w:hAnsi="Courier New"/>
          <w:sz w:val="18"/>
          <w:szCs w:val="18"/>
          <w:color w:val="auto"/>
        </w:rPr>
        <w:t>American RRT Fiber Supply, L.P.</w:t>
      </w:r>
    </w:p>
    <w:p>
      <w:pPr>
        <w:spacing w:after="0" w:line="237" w:lineRule="auto"/>
        <w:rPr>
          <w:sz w:val="20"/>
          <w:szCs w:val="20"/>
          <w:color w:val="auto"/>
        </w:rPr>
      </w:pPr>
      <w:r>
        <w:rPr>
          <w:rFonts w:ascii="Courier New" w:cs="Courier New" w:eastAsia="Courier New" w:hAnsi="Courier New"/>
          <w:sz w:val="18"/>
          <w:szCs w:val="18"/>
          <w:color w:val="auto"/>
        </w:rPr>
        <w:t>Anderson Landfill,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Antelope Valley Recycling and Disposal Facility,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Apollo Waste Industries, L.L.C.</w:t>
      </w:r>
    </w:p>
    <w:p>
      <w:pPr>
        <w:spacing w:after="0" w:line="238" w:lineRule="auto"/>
        <w:rPr>
          <w:sz w:val="20"/>
          <w:szCs w:val="20"/>
          <w:color w:val="auto"/>
        </w:rPr>
      </w:pPr>
      <w:r>
        <w:rPr>
          <w:rFonts w:ascii="Courier New" w:cs="Courier New" w:eastAsia="Courier New" w:hAnsi="Courier New"/>
          <w:sz w:val="18"/>
          <w:szCs w:val="18"/>
          <w:color w:val="auto"/>
        </w:rPr>
        <w:t>Apollo Waste Services of Georgia, L.L.C.</w:t>
      </w:r>
    </w:p>
    <w:p>
      <w:pPr>
        <w:spacing w:after="0"/>
        <w:rPr>
          <w:sz w:val="20"/>
          <w:szCs w:val="20"/>
          <w:color w:val="auto"/>
        </w:rPr>
      </w:pPr>
      <w:r>
        <w:rPr>
          <w:rFonts w:ascii="Courier New" w:cs="Courier New" w:eastAsia="Courier New" w:hAnsi="Courier New"/>
          <w:sz w:val="18"/>
          <w:szCs w:val="18"/>
          <w:color w:val="auto"/>
        </w:rPr>
        <w:t>Arden Landfill, Inc.</w:t>
      </w:r>
    </w:p>
    <w:p>
      <w:pPr>
        <w:spacing w:after="0" w:line="237" w:lineRule="auto"/>
        <w:rPr>
          <w:sz w:val="20"/>
          <w:szCs w:val="20"/>
          <w:color w:val="auto"/>
        </w:rPr>
      </w:pPr>
      <w:r>
        <w:rPr>
          <w:rFonts w:ascii="Courier New" w:cs="Courier New" w:eastAsia="Courier New" w:hAnsi="Courier New"/>
          <w:sz w:val="18"/>
          <w:szCs w:val="18"/>
          <w:color w:val="auto"/>
        </w:rPr>
        <w:t>Atlantic Waste Disposal, Inc.</w:t>
      </w:r>
    </w:p>
    <w:p>
      <w:pPr>
        <w:spacing w:after="0" w:line="238" w:lineRule="auto"/>
        <w:rPr>
          <w:sz w:val="20"/>
          <w:szCs w:val="20"/>
          <w:color w:val="auto"/>
        </w:rPr>
      </w:pPr>
      <w:r>
        <w:rPr>
          <w:rFonts w:ascii="Courier New" w:cs="Courier New" w:eastAsia="Courier New" w:hAnsi="Courier New"/>
          <w:sz w:val="18"/>
          <w:szCs w:val="18"/>
          <w:color w:val="auto"/>
        </w:rPr>
        <w:t>Automated Salvage Transport Co., L.L.C.</w:t>
      </w:r>
    </w:p>
    <w:p>
      <w:pPr>
        <w:spacing w:after="0"/>
        <w:rPr>
          <w:sz w:val="20"/>
          <w:szCs w:val="20"/>
          <w:color w:val="auto"/>
        </w:rPr>
      </w:pPr>
      <w:r>
        <w:rPr>
          <w:rFonts w:ascii="Courier New" w:cs="Courier New" w:eastAsia="Courier New" w:hAnsi="Courier New"/>
          <w:sz w:val="18"/>
          <w:szCs w:val="18"/>
          <w:color w:val="auto"/>
        </w:rPr>
        <w:t>Auxiwaste Services SA</w:t>
      </w:r>
    </w:p>
    <w:p>
      <w:pPr>
        <w:spacing w:after="0" w:line="237" w:lineRule="auto"/>
        <w:rPr>
          <w:sz w:val="20"/>
          <w:szCs w:val="20"/>
          <w:color w:val="auto"/>
        </w:rPr>
      </w:pPr>
      <w:r>
        <w:rPr>
          <w:rFonts w:ascii="Courier New" w:cs="Courier New" w:eastAsia="Courier New" w:hAnsi="Courier New"/>
          <w:sz w:val="18"/>
          <w:szCs w:val="18"/>
          <w:color w:val="auto"/>
        </w:rPr>
        <w:t>Azusa Land Reclamation, Inc.</w:t>
      </w:r>
    </w:p>
    <w:p>
      <w:pPr>
        <w:spacing w:after="0"/>
        <w:rPr>
          <w:sz w:val="20"/>
          <w:szCs w:val="20"/>
          <w:color w:val="auto"/>
        </w:rPr>
      </w:pPr>
      <w:r>
        <w:rPr>
          <w:rFonts w:ascii="Courier New" w:cs="Courier New" w:eastAsia="Courier New" w:hAnsi="Courier New"/>
          <w:sz w:val="18"/>
          <w:szCs w:val="18"/>
          <w:color w:val="auto"/>
        </w:rPr>
        <w:t>B &amp; L Disposal Co.</w:t>
      </w:r>
    </w:p>
    <w:p>
      <w:pPr>
        <w:spacing w:after="0" w:line="237" w:lineRule="auto"/>
        <w:rPr>
          <w:sz w:val="20"/>
          <w:szCs w:val="20"/>
          <w:color w:val="auto"/>
        </w:rPr>
      </w:pPr>
      <w:r>
        <w:rPr>
          <w:rFonts w:ascii="Courier New" w:cs="Courier New" w:eastAsia="Courier New" w:hAnsi="Courier New"/>
          <w:sz w:val="18"/>
          <w:szCs w:val="18"/>
          <w:color w:val="auto"/>
        </w:rPr>
        <w:t>B&amp;B Landfill, Inc.</w:t>
      </w:r>
    </w:p>
    <w:p>
      <w:pPr>
        <w:spacing w:after="0"/>
        <w:rPr>
          <w:sz w:val="20"/>
          <w:szCs w:val="20"/>
          <w:color w:val="auto"/>
        </w:rPr>
      </w:pPr>
      <w:r>
        <w:rPr>
          <w:rFonts w:ascii="Courier New" w:cs="Courier New" w:eastAsia="Courier New" w:hAnsi="Courier New"/>
          <w:sz w:val="18"/>
          <w:szCs w:val="18"/>
          <w:color w:val="auto"/>
        </w:rPr>
        <w:t>Barre Landfill Gas Associates, L.P.</w:t>
      </w:r>
    </w:p>
    <w:p>
      <w:pPr>
        <w:spacing w:after="0" w:line="237" w:lineRule="auto"/>
        <w:rPr>
          <w:sz w:val="20"/>
          <w:szCs w:val="20"/>
          <w:color w:val="auto"/>
        </w:rPr>
      </w:pPr>
      <w:r>
        <w:rPr>
          <w:rFonts w:ascii="Courier New" w:cs="Courier New" w:eastAsia="Courier New" w:hAnsi="Courier New"/>
          <w:sz w:val="18"/>
          <w:szCs w:val="18"/>
          <w:color w:val="auto"/>
        </w:rPr>
        <w:t>Bayside of Marion, Inc.</w:t>
      </w:r>
    </w:p>
    <w:p>
      <w:pPr>
        <w:spacing w:after="0" w:line="238" w:lineRule="auto"/>
        <w:rPr>
          <w:sz w:val="20"/>
          <w:szCs w:val="20"/>
          <w:color w:val="auto"/>
        </w:rPr>
      </w:pPr>
      <w:r>
        <w:rPr>
          <w:rFonts w:ascii="Courier New" w:cs="Courier New" w:eastAsia="Courier New" w:hAnsi="Courier New"/>
          <w:sz w:val="18"/>
          <w:szCs w:val="18"/>
          <w:color w:val="auto"/>
        </w:rPr>
        <w:t>Beecher Development Company</w:t>
      </w:r>
    </w:p>
    <w:p>
      <w:pPr>
        <w:spacing w:after="0"/>
        <w:rPr>
          <w:sz w:val="20"/>
          <w:szCs w:val="20"/>
          <w:color w:val="auto"/>
        </w:rPr>
      </w:pPr>
      <w:r>
        <w:rPr>
          <w:rFonts w:ascii="Courier New" w:cs="Courier New" w:eastAsia="Courier New" w:hAnsi="Courier New"/>
          <w:sz w:val="18"/>
          <w:szCs w:val="18"/>
          <w:color w:val="auto"/>
        </w:rPr>
        <w:t>Bestan Inc.</w:t>
      </w:r>
    </w:p>
    <w:p>
      <w:pPr>
        <w:spacing w:after="0" w:line="237" w:lineRule="auto"/>
        <w:rPr>
          <w:sz w:val="20"/>
          <w:szCs w:val="20"/>
          <w:color w:val="auto"/>
        </w:rPr>
      </w:pPr>
      <w:r>
        <w:rPr>
          <w:rFonts w:ascii="Courier New" w:cs="Courier New" w:eastAsia="Courier New" w:hAnsi="Courier New"/>
          <w:sz w:val="18"/>
          <w:szCs w:val="18"/>
          <w:color w:val="auto"/>
        </w:rPr>
        <w:t>Big Dipper Enterprises, Inc.</w:t>
      </w:r>
    </w:p>
    <w:p>
      <w:pPr>
        <w:spacing w:after="0"/>
        <w:rPr>
          <w:sz w:val="20"/>
          <w:szCs w:val="20"/>
          <w:color w:val="auto"/>
        </w:rPr>
      </w:pPr>
      <w:r>
        <w:rPr>
          <w:rFonts w:ascii="Courier New" w:cs="Courier New" w:eastAsia="Courier New" w:hAnsi="Courier New"/>
          <w:sz w:val="18"/>
          <w:szCs w:val="18"/>
          <w:color w:val="auto"/>
        </w:rPr>
        <w:t>Bio-Energy Partners</w:t>
      </w:r>
    </w:p>
    <w:p>
      <w:pPr>
        <w:spacing w:after="0" w:line="237" w:lineRule="auto"/>
        <w:rPr>
          <w:sz w:val="20"/>
          <w:szCs w:val="20"/>
          <w:color w:val="auto"/>
        </w:rPr>
      </w:pPr>
      <w:r>
        <w:rPr>
          <w:rFonts w:ascii="Courier New" w:cs="Courier New" w:eastAsia="Courier New" w:hAnsi="Courier New"/>
          <w:sz w:val="18"/>
          <w:szCs w:val="18"/>
          <w:color w:val="auto"/>
        </w:rPr>
        <w:t>Bluegrass Containment, L.L.C.</w:t>
      </w:r>
    </w:p>
    <w:p>
      <w:pPr>
        <w:spacing w:after="0"/>
        <w:rPr>
          <w:sz w:val="20"/>
          <w:szCs w:val="20"/>
          <w:color w:val="auto"/>
        </w:rPr>
      </w:pPr>
      <w:r>
        <w:rPr>
          <w:rFonts w:ascii="Courier New" w:cs="Courier New" w:eastAsia="Courier New" w:hAnsi="Courier New"/>
          <w:sz w:val="18"/>
          <w:szCs w:val="18"/>
          <w:color w:val="auto"/>
        </w:rPr>
        <w:t>Brazoria County Recycling Center, Inc.</w:t>
      </w:r>
    </w:p>
    <w:p>
      <w:pPr>
        <w:spacing w:after="0" w:line="237" w:lineRule="auto"/>
        <w:rPr>
          <w:sz w:val="20"/>
          <w:szCs w:val="20"/>
          <w:color w:val="auto"/>
        </w:rPr>
      </w:pPr>
      <w:r>
        <w:rPr>
          <w:rFonts w:ascii="Courier New" w:cs="Courier New" w:eastAsia="Courier New" w:hAnsi="Courier New"/>
          <w:sz w:val="18"/>
          <w:szCs w:val="18"/>
          <w:color w:val="auto"/>
        </w:rPr>
        <w:t>Burnsville Sanitary Landfill, Inc.</w:t>
      </w:r>
    </w:p>
    <w:p>
      <w:pPr>
        <w:spacing w:after="0" w:line="238" w:lineRule="auto"/>
        <w:rPr>
          <w:sz w:val="20"/>
          <w:szCs w:val="20"/>
          <w:color w:val="auto"/>
        </w:rPr>
      </w:pPr>
      <w:r>
        <w:rPr>
          <w:rFonts w:ascii="Courier New" w:cs="Courier New" w:eastAsia="Courier New" w:hAnsi="Courier New"/>
          <w:sz w:val="18"/>
          <w:szCs w:val="18"/>
          <w:color w:val="auto"/>
        </w:rPr>
        <w:t>Buttrey Development Three, LLC</w:t>
      </w:r>
    </w:p>
    <w:p>
      <w:pPr>
        <w:spacing w:after="0"/>
        <w:rPr>
          <w:sz w:val="20"/>
          <w:szCs w:val="20"/>
          <w:color w:val="auto"/>
        </w:rPr>
      </w:pPr>
      <w:r>
        <w:rPr>
          <w:rFonts w:ascii="Courier New" w:cs="Courier New" w:eastAsia="Courier New" w:hAnsi="Courier New"/>
          <w:sz w:val="18"/>
          <w:szCs w:val="18"/>
          <w:color w:val="auto"/>
        </w:rPr>
        <w:t>Buttrey Development Two, LLC</w:t>
      </w:r>
    </w:p>
    <w:p>
      <w:pPr>
        <w:spacing w:after="0" w:line="237" w:lineRule="auto"/>
        <w:rPr>
          <w:sz w:val="20"/>
          <w:szCs w:val="20"/>
          <w:color w:val="auto"/>
        </w:rPr>
      </w:pPr>
      <w:r>
        <w:rPr>
          <w:rFonts w:ascii="Courier New" w:cs="Courier New" w:eastAsia="Courier New" w:hAnsi="Courier New"/>
          <w:sz w:val="18"/>
          <w:szCs w:val="18"/>
          <w:color w:val="auto"/>
        </w:rPr>
        <w:t>C&amp;C Disposal, LLC</w:t>
      </w:r>
    </w:p>
    <w:p>
      <w:pPr>
        <w:spacing w:after="0"/>
        <w:rPr>
          <w:sz w:val="20"/>
          <w:szCs w:val="20"/>
          <w:color w:val="auto"/>
        </w:rPr>
      </w:pPr>
      <w:r>
        <w:rPr>
          <w:rFonts w:ascii="Courier New" w:cs="Courier New" w:eastAsia="Courier New" w:hAnsi="Courier New"/>
          <w:sz w:val="18"/>
          <w:szCs w:val="18"/>
          <w:color w:val="auto"/>
        </w:rPr>
        <w:t>C.I.D. Landfill, Inc.</w:t>
      </w:r>
    </w:p>
    <w:p>
      <w:pPr>
        <w:spacing w:after="0" w:line="237" w:lineRule="auto"/>
        <w:rPr>
          <w:sz w:val="20"/>
          <w:szCs w:val="20"/>
          <w:color w:val="auto"/>
        </w:rPr>
      </w:pPr>
      <w:r>
        <w:rPr>
          <w:rFonts w:ascii="Courier New" w:cs="Courier New" w:eastAsia="Courier New" w:hAnsi="Courier New"/>
          <w:sz w:val="18"/>
          <w:szCs w:val="18"/>
          <w:color w:val="auto"/>
        </w:rPr>
        <w:t>CA Newco, L.L.C.</w:t>
      </w:r>
    </w:p>
    <w:p>
      <w:pPr>
        <w:spacing w:after="0"/>
        <w:rPr>
          <w:sz w:val="20"/>
          <w:szCs w:val="20"/>
          <w:color w:val="auto"/>
        </w:rPr>
      </w:pPr>
      <w:r>
        <w:rPr>
          <w:rFonts w:ascii="Courier New" w:cs="Courier New" w:eastAsia="Courier New" w:hAnsi="Courier New"/>
          <w:sz w:val="18"/>
          <w:szCs w:val="18"/>
          <w:color w:val="auto"/>
        </w:rPr>
        <w:t>Cal Sierra Disposal</w:t>
      </w:r>
    </w:p>
    <w:p>
      <w:pPr>
        <w:spacing w:after="0" w:line="237" w:lineRule="auto"/>
        <w:rPr>
          <w:sz w:val="20"/>
          <w:szCs w:val="20"/>
          <w:color w:val="auto"/>
        </w:rPr>
      </w:pPr>
      <w:r>
        <w:rPr>
          <w:rFonts w:ascii="Courier New" w:cs="Courier New" w:eastAsia="Courier New" w:hAnsi="Courier New"/>
          <w:sz w:val="18"/>
          <w:szCs w:val="18"/>
          <w:color w:val="auto"/>
        </w:rPr>
        <w:t>California Asbestos Monofill, Inc.</w:t>
      </w:r>
    </w:p>
    <w:p>
      <w:pPr>
        <w:spacing w:after="0"/>
        <w:rPr>
          <w:sz w:val="20"/>
          <w:szCs w:val="20"/>
          <w:color w:val="auto"/>
        </w:rPr>
      </w:pPr>
      <w:r>
        <w:rPr>
          <w:rFonts w:ascii="Courier New" w:cs="Courier New" w:eastAsia="Courier New" w:hAnsi="Courier New"/>
          <w:sz w:val="18"/>
          <w:szCs w:val="18"/>
          <w:color w:val="auto"/>
        </w:rPr>
        <w:t>Canadian Waste Services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Alberta</w:t>
      </w:r>
    </w:p>
    <w:p>
      <w:pPr>
        <w:spacing w:after="0" w:line="238" w:lineRule="auto"/>
        <w:rPr>
          <w:sz w:val="20"/>
          <w:szCs w:val="20"/>
          <w:color w:val="auto"/>
        </w:rPr>
      </w:pPr>
      <w:r>
        <w:rPr>
          <w:rFonts w:ascii="Courier New" w:cs="Courier New" w:eastAsia="Courier New" w:hAnsi="Courier New"/>
          <w:sz w:val="18"/>
          <w:szCs w:val="18"/>
          <w:color w:val="auto"/>
        </w:rPr>
        <w:t>Ontario</w:t>
      </w:r>
    </w:p>
    <w:p>
      <w:pPr>
        <w:spacing w:after="0"/>
        <w:rPr>
          <w:sz w:val="20"/>
          <w:szCs w:val="20"/>
          <w:color w:val="auto"/>
        </w:rPr>
      </w:pPr>
      <w:r>
        <w:rPr>
          <w:rFonts w:ascii="Courier New" w:cs="Courier New" w:eastAsia="Courier New" w:hAnsi="Courier New"/>
          <w:sz w:val="18"/>
          <w:szCs w:val="18"/>
          <w:color w:val="auto"/>
        </w:rPr>
        <w:t>Canada</w:t>
      </w:r>
    </w:p>
    <w:p>
      <w:pPr>
        <w:spacing w:after="0" w:line="237" w:lineRule="auto"/>
        <w:rPr>
          <w:sz w:val="20"/>
          <w:szCs w:val="20"/>
          <w:color w:val="auto"/>
        </w:rPr>
      </w:pPr>
      <w:r>
        <w:rPr>
          <w:rFonts w:ascii="Courier New" w:cs="Courier New" w:eastAsia="Courier New" w:hAnsi="Courier New"/>
          <w:sz w:val="18"/>
          <w:szCs w:val="18"/>
          <w:color w:val="auto"/>
        </w:rPr>
        <w:t>Ontario</w:t>
      </w:r>
    </w:p>
    <w:p>
      <w:pPr>
        <w:spacing w:after="0" w:line="238" w:lineRule="auto"/>
        <w:rPr>
          <w:sz w:val="20"/>
          <w:szCs w:val="20"/>
          <w:color w:val="auto"/>
        </w:rPr>
      </w:pPr>
      <w:r>
        <w:rPr>
          <w:rFonts w:ascii="Courier New" w:cs="Courier New" w:eastAsia="Courier New" w:hAnsi="Courier New"/>
          <w:sz w:val="18"/>
          <w:szCs w:val="18"/>
          <w:color w:val="auto"/>
        </w:rPr>
        <w:t>Mexico</w:t>
      </w:r>
    </w:p>
    <w:p>
      <w:pPr>
        <w:spacing w:after="0"/>
        <w:rPr>
          <w:sz w:val="20"/>
          <w:szCs w:val="20"/>
          <w:color w:val="auto"/>
        </w:rPr>
      </w:pPr>
      <w:r>
        <w:rPr>
          <w:rFonts w:ascii="Courier New" w:cs="Courier New" w:eastAsia="Courier New" w:hAnsi="Courier New"/>
          <w:sz w:val="18"/>
          <w:szCs w:val="18"/>
          <w:color w:val="auto"/>
        </w:rPr>
        <w:t>Mexico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Alabama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Georgia</w:t>
      </w:r>
    </w:p>
    <w:p>
      <w:pPr>
        <w:spacing w:after="0" w:line="238" w:lineRule="auto"/>
        <w:rPr>
          <w:sz w:val="20"/>
          <w:szCs w:val="20"/>
          <w:color w:val="auto"/>
        </w:rPr>
      </w:pPr>
      <w:r>
        <w:rPr>
          <w:rFonts w:ascii="Courier New" w:cs="Courier New" w:eastAsia="Courier New" w:hAnsi="Courier New"/>
          <w:sz w:val="18"/>
          <w:szCs w:val="18"/>
          <w:color w:val="auto"/>
        </w:rPr>
        <w:t>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France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rPr>
          <w:sz w:val="20"/>
          <w:szCs w:val="20"/>
          <w:color w:val="auto"/>
        </w:rPr>
      </w:pPr>
      <w:r>
        <w:rPr>
          <w:rFonts w:ascii="Courier New" w:cs="Courier New" w:eastAsia="Courier New" w:hAnsi="Courier New"/>
          <w:sz w:val="18"/>
          <w:szCs w:val="18"/>
          <w:color w:val="auto"/>
        </w:rPr>
        <w:t>Quebec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Dakota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Ontario</w:t>
      </w:r>
    </w:p>
    <w:p>
      <w:pPr>
        <w:sectPr>
          <w:pgSz w:w="11900" w:h="16838" w:orient="portrait"/>
          <w:cols w:equalWidth="0" w:num="2">
            <w:col w:w="7180" w:space="720"/>
            <w:col w:w="2540"/>
          </w:cols>
          <w:pgMar w:left="240" w:top="345" w:right="1219" w:bottom="1440" w:gutter="0" w:footer="0" w:header="0"/>
          <w:type w:val="continuous"/>
        </w:sectPr>
      </w:pPr>
    </w:p>
    <w:bookmarkStart w:id="199" w:name="page200"/>
    <w:bookmarkEnd w:id="199"/>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CAP/CRA, L.L.C.</w:t>
      </w:r>
    </w:p>
    <w:p>
      <w:pPr>
        <w:spacing w:after="0" w:line="238" w:lineRule="auto"/>
        <w:rPr>
          <w:sz w:val="20"/>
          <w:szCs w:val="20"/>
          <w:color w:val="auto"/>
        </w:rPr>
      </w:pPr>
      <w:r>
        <w:rPr>
          <w:rFonts w:ascii="Courier New" w:cs="Courier New" w:eastAsia="Courier New" w:hAnsi="Courier New"/>
          <w:sz w:val="18"/>
          <w:szCs w:val="18"/>
          <w:color w:val="auto"/>
        </w:rPr>
        <w:t>Capital Sanitation Company</w:t>
      </w:r>
    </w:p>
    <w:p>
      <w:pPr>
        <w:spacing w:after="0"/>
        <w:rPr>
          <w:sz w:val="20"/>
          <w:szCs w:val="20"/>
          <w:color w:val="auto"/>
        </w:rPr>
      </w:pPr>
      <w:r>
        <w:rPr>
          <w:rFonts w:ascii="Courier New" w:cs="Courier New" w:eastAsia="Courier New" w:hAnsi="Courier New"/>
          <w:sz w:val="18"/>
          <w:szCs w:val="18"/>
          <w:color w:val="auto"/>
        </w:rPr>
        <w:t>Capitol Disposal, Inc.</w:t>
      </w:r>
    </w:p>
    <w:p>
      <w:pPr>
        <w:spacing w:after="0" w:line="237" w:lineRule="auto"/>
        <w:rPr>
          <w:sz w:val="20"/>
          <w:szCs w:val="20"/>
          <w:color w:val="auto"/>
        </w:rPr>
      </w:pPr>
      <w:r>
        <w:rPr>
          <w:rFonts w:ascii="Courier New" w:cs="Courier New" w:eastAsia="Courier New" w:hAnsi="Courier New"/>
          <w:sz w:val="18"/>
          <w:szCs w:val="18"/>
          <w:color w:val="auto"/>
        </w:rPr>
        <w:t>Carolina Grading, Inc.</w:t>
      </w:r>
    </w:p>
    <w:p>
      <w:pPr>
        <w:spacing w:after="0" w:line="238" w:lineRule="auto"/>
        <w:rPr>
          <w:sz w:val="20"/>
          <w:szCs w:val="20"/>
          <w:color w:val="auto"/>
        </w:rPr>
      </w:pPr>
      <w:r>
        <w:rPr>
          <w:rFonts w:ascii="Courier New" w:cs="Courier New" w:eastAsia="Courier New" w:hAnsi="Courier New"/>
          <w:sz w:val="18"/>
          <w:szCs w:val="18"/>
          <w:color w:val="auto"/>
        </w:rPr>
        <w:t>Carver Transfer &amp; Processing, LLC</w:t>
      </w:r>
    </w:p>
    <w:p>
      <w:pPr>
        <w:spacing w:after="0"/>
        <w:rPr>
          <w:sz w:val="20"/>
          <w:szCs w:val="20"/>
          <w:color w:val="auto"/>
        </w:rPr>
      </w:pPr>
      <w:r>
        <w:rPr>
          <w:rFonts w:ascii="Courier New" w:cs="Courier New" w:eastAsia="Courier New" w:hAnsi="Courier New"/>
          <w:sz w:val="18"/>
          <w:szCs w:val="18"/>
          <w:color w:val="auto"/>
        </w:rPr>
        <w:t>Cedar Ridge Landfill, Inc.</w:t>
      </w:r>
    </w:p>
    <w:p>
      <w:pPr>
        <w:spacing w:after="0" w:line="237" w:lineRule="auto"/>
        <w:rPr>
          <w:sz w:val="20"/>
          <w:szCs w:val="20"/>
          <w:color w:val="auto"/>
        </w:rPr>
      </w:pPr>
      <w:r>
        <w:rPr>
          <w:rFonts w:ascii="Courier New" w:cs="Courier New" w:eastAsia="Courier New" w:hAnsi="Courier New"/>
          <w:sz w:val="18"/>
          <w:szCs w:val="18"/>
          <w:color w:val="auto"/>
        </w:rPr>
        <w:t>Central Disposal Systems, Inc.</w:t>
      </w:r>
    </w:p>
    <w:p>
      <w:pPr>
        <w:spacing w:after="0"/>
        <w:rPr>
          <w:sz w:val="20"/>
          <w:szCs w:val="20"/>
          <w:color w:val="auto"/>
        </w:rPr>
      </w:pPr>
      <w:r>
        <w:rPr>
          <w:rFonts w:ascii="Courier New" w:cs="Courier New" w:eastAsia="Courier New" w:hAnsi="Courier New"/>
          <w:sz w:val="18"/>
          <w:szCs w:val="18"/>
          <w:color w:val="auto"/>
        </w:rPr>
        <w:t>Central Missouri Landfill, Inc.</w:t>
      </w:r>
    </w:p>
    <w:p>
      <w:pPr>
        <w:spacing w:after="0" w:line="237" w:lineRule="auto"/>
        <w:rPr>
          <w:sz w:val="20"/>
          <w:szCs w:val="20"/>
          <w:color w:val="auto"/>
        </w:rPr>
      </w:pPr>
      <w:r>
        <w:rPr>
          <w:rFonts w:ascii="Courier New" w:cs="Courier New" w:eastAsia="Courier New" w:hAnsi="Courier New"/>
          <w:sz w:val="18"/>
          <w:szCs w:val="18"/>
          <w:color w:val="auto"/>
        </w:rPr>
        <w:t>Central Valley Waste Services, Inc.</w:t>
      </w:r>
    </w:p>
    <w:p>
      <w:pPr>
        <w:spacing w:after="0"/>
        <w:rPr>
          <w:sz w:val="20"/>
          <w:szCs w:val="20"/>
          <w:color w:val="auto"/>
        </w:rPr>
      </w:pPr>
      <w:r>
        <w:rPr>
          <w:rFonts w:ascii="Courier New" w:cs="Courier New" w:eastAsia="Courier New" w:hAnsi="Courier New"/>
          <w:sz w:val="18"/>
          <w:szCs w:val="18"/>
          <w:color w:val="auto"/>
        </w:rPr>
        <w:t>Chadwick Road Landfill,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Clearview Environmental Landfill,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Chambers Development Company, Inc.</w:t>
      </w:r>
    </w:p>
    <w:p>
      <w:pPr>
        <w:spacing w:after="0" w:line="238" w:lineRule="auto"/>
        <w:rPr>
          <w:sz w:val="20"/>
          <w:szCs w:val="20"/>
          <w:color w:val="auto"/>
        </w:rPr>
      </w:pPr>
      <w:r>
        <w:rPr>
          <w:rFonts w:ascii="Courier New" w:cs="Courier New" w:eastAsia="Courier New" w:hAnsi="Courier New"/>
          <w:sz w:val="18"/>
          <w:szCs w:val="18"/>
          <w:color w:val="auto"/>
        </w:rPr>
        <w:t>Chambers Development of Ohio, Inc.</w:t>
      </w:r>
    </w:p>
    <w:p>
      <w:pPr>
        <w:spacing w:after="0"/>
        <w:rPr>
          <w:sz w:val="20"/>
          <w:szCs w:val="20"/>
          <w:color w:val="auto"/>
        </w:rPr>
      </w:pPr>
      <w:r>
        <w:rPr>
          <w:rFonts w:ascii="Courier New" w:cs="Courier New" w:eastAsia="Courier New" w:hAnsi="Courier New"/>
          <w:sz w:val="18"/>
          <w:szCs w:val="18"/>
          <w:color w:val="auto"/>
        </w:rPr>
        <w:t>Chambers of Asia</w:t>
      </w:r>
    </w:p>
    <w:p>
      <w:pPr>
        <w:spacing w:after="0" w:line="237" w:lineRule="auto"/>
        <w:rPr>
          <w:sz w:val="20"/>
          <w:szCs w:val="20"/>
          <w:color w:val="auto"/>
        </w:rPr>
      </w:pPr>
      <w:r>
        <w:rPr>
          <w:rFonts w:ascii="Courier New" w:cs="Courier New" w:eastAsia="Courier New" w:hAnsi="Courier New"/>
          <w:sz w:val="18"/>
          <w:szCs w:val="18"/>
          <w:color w:val="auto"/>
        </w:rPr>
        <w:t>Chambers of Georgia, Inc.</w:t>
      </w:r>
    </w:p>
    <w:p>
      <w:pPr>
        <w:spacing w:after="0" w:line="238" w:lineRule="auto"/>
        <w:rPr>
          <w:sz w:val="20"/>
          <w:szCs w:val="20"/>
          <w:color w:val="auto"/>
        </w:rPr>
      </w:pPr>
      <w:r>
        <w:rPr>
          <w:rFonts w:ascii="Courier New" w:cs="Courier New" w:eastAsia="Courier New" w:hAnsi="Courier New"/>
          <w:sz w:val="18"/>
          <w:szCs w:val="18"/>
          <w:color w:val="auto"/>
        </w:rPr>
        <w:t>Chambers of Hong Kong, Inc.</w:t>
      </w:r>
    </w:p>
    <w:p>
      <w:pPr>
        <w:spacing w:after="0"/>
        <w:rPr>
          <w:sz w:val="20"/>
          <w:szCs w:val="20"/>
          <w:color w:val="auto"/>
        </w:rPr>
      </w:pPr>
      <w:r>
        <w:rPr>
          <w:rFonts w:ascii="Courier New" w:cs="Courier New" w:eastAsia="Courier New" w:hAnsi="Courier New"/>
          <w:sz w:val="18"/>
          <w:szCs w:val="18"/>
          <w:color w:val="auto"/>
        </w:rPr>
        <w:t>Chambers of Mississippi, Inc.</w:t>
      </w:r>
    </w:p>
    <w:p>
      <w:pPr>
        <w:spacing w:after="0" w:line="237" w:lineRule="auto"/>
        <w:rPr>
          <w:sz w:val="20"/>
          <w:szCs w:val="20"/>
          <w:color w:val="auto"/>
        </w:rPr>
      </w:pPr>
      <w:r>
        <w:rPr>
          <w:rFonts w:ascii="Courier New" w:cs="Courier New" w:eastAsia="Courier New" w:hAnsi="Courier New"/>
          <w:sz w:val="18"/>
          <w:szCs w:val="18"/>
          <w:color w:val="auto"/>
        </w:rPr>
        <w:t>Chastang Landfill, Inc.</w:t>
      </w:r>
    </w:p>
    <w:p>
      <w:pPr>
        <w:spacing w:after="0"/>
        <w:rPr>
          <w:sz w:val="20"/>
          <w:szCs w:val="20"/>
          <w:color w:val="auto"/>
        </w:rPr>
      </w:pPr>
      <w:r>
        <w:rPr>
          <w:rFonts w:ascii="Courier New" w:cs="Courier New" w:eastAsia="Courier New" w:hAnsi="Courier New"/>
          <w:sz w:val="18"/>
          <w:szCs w:val="18"/>
          <w:color w:val="auto"/>
        </w:rPr>
        <w:t>Chemical Waste Management of Indiana,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Chemical Waste Management of the Northwest,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Waste Management, Inc.</w:t>
      </w:r>
    </w:p>
    <w:p>
      <w:pPr>
        <w:spacing w:after="0" w:line="238" w:lineRule="auto"/>
        <w:rPr>
          <w:sz w:val="20"/>
          <w:szCs w:val="20"/>
          <w:color w:val="auto"/>
        </w:rPr>
      </w:pPr>
      <w:r>
        <w:rPr>
          <w:rFonts w:ascii="Courier New" w:cs="Courier New" w:eastAsia="Courier New" w:hAnsi="Courier New"/>
          <w:sz w:val="18"/>
          <w:szCs w:val="18"/>
          <w:color w:val="auto"/>
        </w:rPr>
        <w:t>Chesser Island Road Landfill, Inc.</w:t>
      </w:r>
    </w:p>
    <w:p>
      <w:pPr>
        <w:spacing w:after="0"/>
        <w:rPr>
          <w:sz w:val="20"/>
          <w:szCs w:val="20"/>
          <w:color w:val="auto"/>
        </w:rPr>
      </w:pPr>
      <w:r>
        <w:rPr>
          <w:rFonts w:ascii="Courier New" w:cs="Courier New" w:eastAsia="Courier New" w:hAnsi="Courier New"/>
          <w:sz w:val="18"/>
          <w:szCs w:val="18"/>
          <w:color w:val="auto"/>
        </w:rPr>
        <w:t>City Disposal Systems, Inc.</w:t>
      </w:r>
    </w:p>
    <w:p>
      <w:pPr>
        <w:spacing w:after="0" w:line="237" w:lineRule="auto"/>
        <w:rPr>
          <w:sz w:val="20"/>
          <w:szCs w:val="20"/>
          <w:color w:val="auto"/>
        </w:rPr>
      </w:pPr>
      <w:r>
        <w:rPr>
          <w:rFonts w:ascii="Courier New" w:cs="Courier New" w:eastAsia="Courier New" w:hAnsi="Courier New"/>
          <w:sz w:val="18"/>
          <w:szCs w:val="18"/>
          <w:color w:val="auto"/>
        </w:rPr>
        <w:t>City Environmental Services, Inc. of Arecibo</w:t>
      </w:r>
    </w:p>
    <w:p>
      <w:pPr>
        <w:spacing w:after="0" w:line="238" w:lineRule="auto"/>
        <w:rPr>
          <w:sz w:val="20"/>
          <w:szCs w:val="20"/>
          <w:color w:val="auto"/>
        </w:rPr>
      </w:pPr>
      <w:r>
        <w:rPr>
          <w:rFonts w:ascii="Courier New" w:cs="Courier New" w:eastAsia="Courier New" w:hAnsi="Courier New"/>
          <w:sz w:val="18"/>
          <w:szCs w:val="18"/>
          <w:color w:val="auto"/>
        </w:rPr>
        <w:t>City Environmental Services, Inc. of Waters</w:t>
      </w:r>
    </w:p>
    <w:p>
      <w:pPr>
        <w:spacing w:after="0"/>
        <w:rPr>
          <w:sz w:val="20"/>
          <w:szCs w:val="20"/>
          <w:color w:val="auto"/>
        </w:rPr>
      </w:pPr>
      <w:r>
        <w:rPr>
          <w:rFonts w:ascii="Courier New" w:cs="Courier New" w:eastAsia="Courier New" w:hAnsi="Courier New"/>
          <w:sz w:val="18"/>
          <w:szCs w:val="18"/>
          <w:color w:val="auto"/>
        </w:rPr>
        <w:t>City Environmental, Inc.</w:t>
      </w:r>
    </w:p>
    <w:p>
      <w:pPr>
        <w:spacing w:after="0" w:line="237" w:lineRule="auto"/>
        <w:rPr>
          <w:sz w:val="20"/>
          <w:szCs w:val="20"/>
          <w:color w:val="auto"/>
        </w:rPr>
      </w:pPr>
      <w:r>
        <w:rPr>
          <w:rFonts w:ascii="Courier New" w:cs="Courier New" w:eastAsia="Courier New" w:hAnsi="Courier New"/>
          <w:sz w:val="18"/>
          <w:szCs w:val="18"/>
          <w:color w:val="auto"/>
        </w:rPr>
        <w:t>City Management Corporation</w:t>
      </w:r>
    </w:p>
    <w:p>
      <w:pPr>
        <w:spacing w:after="0"/>
        <w:rPr>
          <w:sz w:val="20"/>
          <w:szCs w:val="20"/>
          <w:color w:val="auto"/>
        </w:rPr>
      </w:pPr>
      <w:r>
        <w:rPr>
          <w:rFonts w:ascii="Courier New" w:cs="Courier New" w:eastAsia="Courier New" w:hAnsi="Courier New"/>
          <w:sz w:val="18"/>
          <w:szCs w:val="18"/>
          <w:color w:val="auto"/>
        </w:rPr>
        <w:t>Clayton-Ward Company, Inc.</w:t>
      </w:r>
    </w:p>
    <w:p>
      <w:pPr>
        <w:spacing w:after="0" w:line="237" w:lineRule="auto"/>
        <w:rPr>
          <w:sz w:val="20"/>
          <w:szCs w:val="20"/>
          <w:color w:val="auto"/>
        </w:rPr>
      </w:pPr>
      <w:r>
        <w:rPr>
          <w:rFonts w:ascii="Courier New" w:cs="Courier New" w:eastAsia="Courier New" w:hAnsi="Courier New"/>
          <w:sz w:val="18"/>
          <w:szCs w:val="18"/>
          <w:color w:val="auto"/>
        </w:rPr>
        <w:t>Cleburne Landfill Company Corp.</w:t>
      </w:r>
    </w:p>
    <w:p>
      <w:pPr>
        <w:spacing w:after="0"/>
        <w:rPr>
          <w:sz w:val="20"/>
          <w:szCs w:val="20"/>
          <w:color w:val="auto"/>
        </w:rPr>
      </w:pPr>
      <w:r>
        <w:rPr>
          <w:rFonts w:ascii="Courier New" w:cs="Courier New" w:eastAsia="Courier New" w:hAnsi="Courier New"/>
          <w:sz w:val="18"/>
          <w:szCs w:val="18"/>
          <w:color w:val="auto"/>
        </w:rPr>
        <w:t>CO Holding Company, LLC</w:t>
      </w:r>
    </w:p>
    <w:p>
      <w:pPr>
        <w:spacing w:after="0" w:line="237" w:lineRule="auto"/>
        <w:rPr>
          <w:sz w:val="20"/>
          <w:szCs w:val="20"/>
          <w:color w:val="auto"/>
        </w:rPr>
      </w:pPr>
      <w:r>
        <w:rPr>
          <w:rFonts w:ascii="Courier New" w:cs="Courier New" w:eastAsia="Courier New" w:hAnsi="Courier New"/>
          <w:sz w:val="18"/>
          <w:szCs w:val="18"/>
          <w:color w:val="auto"/>
        </w:rPr>
        <w:t>CO SPV Assets, LLC</w:t>
      </w:r>
    </w:p>
    <w:p>
      <w:pPr>
        <w:spacing w:after="0" w:line="238" w:lineRule="auto"/>
        <w:rPr>
          <w:sz w:val="20"/>
          <w:szCs w:val="20"/>
          <w:color w:val="auto"/>
        </w:rPr>
      </w:pPr>
      <w:r>
        <w:rPr>
          <w:rFonts w:ascii="Courier New" w:cs="Courier New" w:eastAsia="Courier New" w:hAnsi="Courier New"/>
          <w:sz w:val="18"/>
          <w:szCs w:val="18"/>
          <w:color w:val="auto"/>
        </w:rPr>
        <w:t>Coast Waste Management, Inc.</w:t>
      </w:r>
    </w:p>
    <w:p>
      <w:pPr>
        <w:spacing w:after="0"/>
        <w:rPr>
          <w:sz w:val="20"/>
          <w:szCs w:val="20"/>
          <w:color w:val="auto"/>
        </w:rPr>
      </w:pPr>
      <w:r>
        <w:rPr>
          <w:rFonts w:ascii="Courier New" w:cs="Courier New" w:eastAsia="Courier New" w:hAnsi="Courier New"/>
          <w:sz w:val="18"/>
          <w:szCs w:val="18"/>
          <w:color w:val="auto"/>
        </w:rPr>
        <w:t>Colorado Landfill,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Connecticut Valley Sanitary Waste Disposal,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Conservation Services, Inc.</w:t>
      </w:r>
    </w:p>
    <w:p>
      <w:pPr>
        <w:spacing w:after="0" w:line="238" w:lineRule="auto"/>
        <w:rPr>
          <w:sz w:val="20"/>
          <w:szCs w:val="20"/>
          <w:color w:val="auto"/>
        </w:rPr>
      </w:pPr>
      <w:r>
        <w:rPr>
          <w:rFonts w:ascii="Courier New" w:cs="Courier New" w:eastAsia="Courier New" w:hAnsi="Courier New"/>
          <w:sz w:val="18"/>
          <w:szCs w:val="18"/>
          <w:color w:val="auto"/>
        </w:rPr>
        <w:t>Container Recycling Alliance, L.P.</w:t>
      </w:r>
    </w:p>
    <w:p>
      <w:pPr>
        <w:spacing w:after="0"/>
        <w:rPr>
          <w:sz w:val="20"/>
          <w:szCs w:val="20"/>
          <w:color w:val="auto"/>
        </w:rPr>
      </w:pPr>
      <w:r>
        <w:rPr>
          <w:rFonts w:ascii="Courier New" w:cs="Courier New" w:eastAsia="Courier New" w:hAnsi="Courier New"/>
          <w:sz w:val="18"/>
          <w:szCs w:val="18"/>
          <w:color w:val="auto"/>
        </w:rPr>
        <w:t>Continental Waste Industries Arizona, Inc.</w:t>
      </w:r>
    </w:p>
    <w:p>
      <w:pPr>
        <w:spacing w:after="0" w:line="237" w:lineRule="auto"/>
        <w:rPr>
          <w:sz w:val="20"/>
          <w:szCs w:val="20"/>
          <w:color w:val="auto"/>
        </w:rPr>
      </w:pPr>
      <w:r>
        <w:rPr>
          <w:rFonts w:ascii="Courier New" w:cs="Courier New" w:eastAsia="Courier New" w:hAnsi="Courier New"/>
          <w:sz w:val="18"/>
          <w:szCs w:val="18"/>
          <w:color w:val="auto"/>
        </w:rPr>
        <w:t>Coshocton Landfill, Inc.</w:t>
      </w:r>
    </w:p>
    <w:p>
      <w:pPr>
        <w:spacing w:after="0" w:line="238" w:lineRule="auto"/>
        <w:rPr>
          <w:sz w:val="20"/>
          <w:szCs w:val="20"/>
          <w:color w:val="auto"/>
        </w:rPr>
      </w:pPr>
      <w:r>
        <w:rPr>
          <w:rFonts w:ascii="Courier New" w:cs="Courier New" w:eastAsia="Courier New" w:hAnsi="Courier New"/>
          <w:sz w:val="18"/>
          <w:szCs w:val="18"/>
          <w:color w:val="auto"/>
        </w:rPr>
        <w:t>Cougar Landfill, Inc.</w:t>
      </w:r>
    </w:p>
    <w:p>
      <w:pPr>
        <w:spacing w:after="0"/>
        <w:rPr>
          <w:sz w:val="20"/>
          <w:szCs w:val="20"/>
          <w:color w:val="auto"/>
        </w:rPr>
      </w:pPr>
      <w:r>
        <w:rPr>
          <w:rFonts w:ascii="Courier New" w:cs="Courier New" w:eastAsia="Courier New" w:hAnsi="Courier New"/>
          <w:sz w:val="18"/>
          <w:szCs w:val="18"/>
          <w:color w:val="auto"/>
        </w:rPr>
        <w:t>Countryside Landfill, Inc.</w:t>
      </w:r>
    </w:p>
    <w:p>
      <w:pPr>
        <w:spacing w:after="0" w:line="237" w:lineRule="auto"/>
        <w:rPr>
          <w:sz w:val="20"/>
          <w:szCs w:val="20"/>
          <w:color w:val="auto"/>
        </w:rPr>
      </w:pPr>
      <w:r>
        <w:rPr>
          <w:rFonts w:ascii="Courier New" w:cs="Courier New" w:eastAsia="Courier New" w:hAnsi="Courier New"/>
          <w:sz w:val="18"/>
          <w:szCs w:val="18"/>
          <w:color w:val="auto"/>
        </w:rPr>
        <w:t>Cuyahoga Landfill, Inc.</w:t>
      </w:r>
    </w:p>
    <w:p>
      <w:pPr>
        <w:spacing w:after="0"/>
        <w:rPr>
          <w:sz w:val="20"/>
          <w:szCs w:val="20"/>
          <w:color w:val="auto"/>
        </w:rPr>
      </w:pPr>
      <w:r>
        <w:rPr>
          <w:rFonts w:ascii="Courier New" w:cs="Courier New" w:eastAsia="Courier New" w:hAnsi="Courier New"/>
          <w:sz w:val="18"/>
          <w:szCs w:val="18"/>
          <w:color w:val="auto"/>
        </w:rPr>
        <w:t>CWM Chemical Services, L.L.C.</w:t>
      </w:r>
    </w:p>
    <w:p>
      <w:pPr>
        <w:spacing w:after="0" w:line="237" w:lineRule="auto"/>
        <w:rPr>
          <w:sz w:val="20"/>
          <w:szCs w:val="20"/>
          <w:color w:val="auto"/>
        </w:rPr>
      </w:pPr>
      <w:r>
        <w:rPr>
          <w:rFonts w:ascii="Courier New" w:cs="Courier New" w:eastAsia="Courier New" w:hAnsi="Courier New"/>
          <w:sz w:val="18"/>
          <w:szCs w:val="18"/>
          <w:color w:val="auto"/>
        </w:rPr>
        <w:t>Dafter Sanitary Landfill, Inc.</w:t>
      </w:r>
    </w:p>
    <w:p>
      <w:pPr>
        <w:spacing w:after="0"/>
        <w:rPr>
          <w:sz w:val="20"/>
          <w:szCs w:val="20"/>
          <w:color w:val="auto"/>
        </w:rPr>
      </w:pPr>
      <w:r>
        <w:rPr>
          <w:rFonts w:ascii="Courier New" w:cs="Courier New" w:eastAsia="Courier New" w:hAnsi="Courier New"/>
          <w:sz w:val="18"/>
          <w:szCs w:val="18"/>
          <w:color w:val="auto"/>
        </w:rPr>
        <w:t>Dauphin Meadows, Inc.</w:t>
      </w:r>
    </w:p>
    <w:p>
      <w:pPr>
        <w:spacing w:after="0" w:line="237" w:lineRule="auto"/>
        <w:rPr>
          <w:sz w:val="20"/>
          <w:szCs w:val="20"/>
          <w:color w:val="auto"/>
        </w:rPr>
      </w:pPr>
      <w:r>
        <w:rPr>
          <w:rFonts w:ascii="Courier New" w:cs="Courier New" w:eastAsia="Courier New" w:hAnsi="Courier New"/>
          <w:sz w:val="18"/>
          <w:szCs w:val="18"/>
          <w:color w:val="auto"/>
        </w:rPr>
        <w:t>Deep Valley Landfill,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Alaska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Iowa</w:t>
      </w:r>
    </w:p>
    <w:p>
      <w:pPr>
        <w:spacing w:after="0" w:line="237" w:lineRule="auto"/>
        <w:rPr>
          <w:sz w:val="20"/>
          <w:szCs w:val="20"/>
          <w:color w:val="auto"/>
        </w:rPr>
      </w:pPr>
      <w:r>
        <w:rPr>
          <w:rFonts w:ascii="Courier New" w:cs="Courier New" w:eastAsia="Courier New" w:hAnsi="Courier New"/>
          <w:sz w:val="18"/>
          <w:szCs w:val="18"/>
          <w:color w:val="auto"/>
        </w:rPr>
        <w:t>Missouri</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Mississippi</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Hong Kong</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Hong Kong</w:t>
      </w:r>
    </w:p>
    <w:p>
      <w:pPr>
        <w:spacing w:after="0"/>
        <w:rPr>
          <w:sz w:val="20"/>
          <w:szCs w:val="20"/>
          <w:color w:val="auto"/>
        </w:rPr>
      </w:pPr>
      <w:r>
        <w:rPr>
          <w:rFonts w:ascii="Courier New" w:cs="Courier New" w:eastAsia="Courier New" w:hAnsi="Courier New"/>
          <w:sz w:val="18"/>
          <w:szCs w:val="18"/>
          <w:color w:val="auto"/>
        </w:rPr>
        <w:t>Mississippi</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Washington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Alabama</w:t>
      </w:r>
    </w:p>
    <w:p>
      <w:pPr>
        <w:spacing w:after="0"/>
        <w:rPr>
          <w:sz w:val="20"/>
          <w:szCs w:val="20"/>
          <w:color w:val="auto"/>
        </w:rPr>
      </w:pPr>
      <w:r>
        <w:rPr>
          <w:rFonts w:ascii="Courier New" w:cs="Courier New" w:eastAsia="Courier New" w:hAnsi="Courier New"/>
          <w:sz w:val="18"/>
          <w:szCs w:val="18"/>
          <w:color w:val="auto"/>
        </w:rPr>
        <w:t>Colorado</w:t>
      </w:r>
    </w:p>
    <w:p>
      <w:pPr>
        <w:spacing w:after="0" w:line="237" w:lineRule="auto"/>
        <w:rPr>
          <w:sz w:val="20"/>
          <w:szCs w:val="20"/>
          <w:color w:val="auto"/>
        </w:rPr>
      </w:pPr>
      <w:r>
        <w:rPr>
          <w:rFonts w:ascii="Courier New" w:cs="Courier New" w:eastAsia="Courier New" w:hAnsi="Courier New"/>
          <w:sz w:val="18"/>
          <w:szCs w:val="18"/>
          <w:color w:val="auto"/>
        </w:rPr>
        <w:t>Colorado</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Colorado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Jersey</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line="238"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Illinois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7180" w:space="720"/>
            <w:col w:w="2540"/>
          </w:cols>
          <w:pgMar w:left="240" w:top="1122" w:right="1219" w:bottom="1440" w:gutter="0" w:footer="0" w:header="0"/>
          <w:type w:val="continuous"/>
        </w:sectPr>
      </w:pPr>
    </w:p>
    <w:bookmarkStart w:id="200" w:name="page201"/>
    <w:bookmarkEnd w:id="200"/>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Deer Track Park Landfill, Inc.</w:t>
      </w:r>
    </w:p>
    <w:p>
      <w:pPr>
        <w:spacing w:after="0" w:line="238" w:lineRule="auto"/>
        <w:rPr>
          <w:sz w:val="20"/>
          <w:szCs w:val="20"/>
          <w:color w:val="auto"/>
        </w:rPr>
      </w:pPr>
      <w:r>
        <w:rPr>
          <w:rFonts w:ascii="Courier New" w:cs="Courier New" w:eastAsia="Courier New" w:hAnsi="Courier New"/>
          <w:sz w:val="18"/>
          <w:szCs w:val="18"/>
          <w:color w:val="auto"/>
        </w:rPr>
        <w:t>Del Almo Landfill, L.L.C.</w:t>
      </w:r>
    </w:p>
    <w:p>
      <w:pPr>
        <w:spacing w:after="0"/>
        <w:rPr>
          <w:sz w:val="20"/>
          <w:szCs w:val="20"/>
          <w:color w:val="auto"/>
        </w:rPr>
      </w:pPr>
      <w:r>
        <w:rPr>
          <w:rFonts w:ascii="Courier New" w:cs="Courier New" w:eastAsia="Courier New" w:hAnsi="Courier New"/>
          <w:sz w:val="18"/>
          <w:szCs w:val="18"/>
          <w:color w:val="auto"/>
        </w:rPr>
        <w:t>Deland Landfill, Inc.</w:t>
      </w:r>
    </w:p>
    <w:p>
      <w:pPr>
        <w:spacing w:after="0" w:line="237" w:lineRule="auto"/>
        <w:rPr>
          <w:sz w:val="20"/>
          <w:szCs w:val="20"/>
          <w:color w:val="auto"/>
        </w:rPr>
      </w:pPr>
      <w:r>
        <w:rPr>
          <w:rFonts w:ascii="Courier New" w:cs="Courier New" w:eastAsia="Courier New" w:hAnsi="Courier New"/>
          <w:sz w:val="18"/>
          <w:szCs w:val="18"/>
          <w:color w:val="auto"/>
        </w:rPr>
        <w:t>Delaware Recyclable Products, Inc.</w:t>
      </w:r>
    </w:p>
    <w:p>
      <w:pPr>
        <w:spacing w:after="0" w:line="238" w:lineRule="auto"/>
        <w:rPr>
          <w:sz w:val="20"/>
          <w:szCs w:val="20"/>
          <w:color w:val="auto"/>
        </w:rPr>
      </w:pPr>
      <w:r>
        <w:rPr>
          <w:rFonts w:ascii="Courier New" w:cs="Courier New" w:eastAsia="Courier New" w:hAnsi="Courier New"/>
          <w:sz w:val="18"/>
          <w:szCs w:val="18"/>
          <w:color w:val="auto"/>
        </w:rPr>
        <w:t>Delta Recycling Corp.</w:t>
      </w:r>
    </w:p>
    <w:p>
      <w:pPr>
        <w:spacing w:after="0"/>
        <w:rPr>
          <w:sz w:val="20"/>
          <w:szCs w:val="20"/>
          <w:color w:val="auto"/>
        </w:rPr>
      </w:pPr>
      <w:r>
        <w:rPr>
          <w:rFonts w:ascii="Courier New" w:cs="Courier New" w:eastAsia="Courier New" w:hAnsi="Courier New"/>
          <w:sz w:val="18"/>
          <w:szCs w:val="18"/>
          <w:color w:val="auto"/>
        </w:rPr>
        <w:t>Delta Tall Pines Corp.</w:t>
      </w:r>
    </w:p>
    <w:p>
      <w:pPr>
        <w:spacing w:after="0" w:line="237" w:lineRule="auto"/>
        <w:rPr>
          <w:sz w:val="20"/>
          <w:szCs w:val="20"/>
          <w:color w:val="auto"/>
        </w:rPr>
      </w:pPr>
      <w:r>
        <w:rPr>
          <w:rFonts w:ascii="Courier New" w:cs="Courier New" w:eastAsia="Courier New" w:hAnsi="Courier New"/>
          <w:sz w:val="18"/>
          <w:szCs w:val="18"/>
          <w:color w:val="auto"/>
        </w:rPr>
        <w:t>Delta Transfer Corp.</w:t>
      </w:r>
    </w:p>
    <w:p>
      <w:pPr>
        <w:spacing w:after="0"/>
        <w:rPr>
          <w:sz w:val="20"/>
          <w:szCs w:val="20"/>
          <w:color w:val="auto"/>
        </w:rPr>
      </w:pPr>
      <w:r>
        <w:rPr>
          <w:rFonts w:ascii="Courier New" w:cs="Courier New" w:eastAsia="Courier New" w:hAnsi="Courier New"/>
          <w:sz w:val="18"/>
          <w:szCs w:val="18"/>
          <w:color w:val="auto"/>
        </w:rPr>
        <w:t>Dickinson Landfill, Inc.</w:t>
      </w:r>
    </w:p>
    <w:p>
      <w:pPr>
        <w:spacing w:after="0" w:line="237" w:lineRule="auto"/>
        <w:rPr>
          <w:sz w:val="20"/>
          <w:szCs w:val="20"/>
          <w:color w:val="auto"/>
        </w:rPr>
      </w:pPr>
      <w:r>
        <w:rPr>
          <w:rFonts w:ascii="Courier New" w:cs="Courier New" w:eastAsia="Courier New" w:hAnsi="Courier New"/>
          <w:sz w:val="18"/>
          <w:szCs w:val="18"/>
          <w:color w:val="auto"/>
        </w:rPr>
        <w:t>Disposal Service, Incorporated</w:t>
      </w:r>
    </w:p>
    <w:p>
      <w:pPr>
        <w:spacing w:after="0"/>
        <w:rPr>
          <w:sz w:val="20"/>
          <w:szCs w:val="20"/>
          <w:color w:val="auto"/>
        </w:rPr>
      </w:pPr>
      <w:r>
        <w:rPr>
          <w:rFonts w:ascii="Courier New" w:cs="Courier New" w:eastAsia="Courier New" w:hAnsi="Courier New"/>
          <w:sz w:val="18"/>
          <w:szCs w:val="18"/>
          <w:color w:val="auto"/>
        </w:rPr>
        <w:t>Donahue/JRP Asia Pacific Ltd</w:t>
      </w:r>
    </w:p>
    <w:p>
      <w:pPr>
        <w:spacing w:after="0" w:line="237" w:lineRule="auto"/>
        <w:rPr>
          <w:sz w:val="20"/>
          <w:szCs w:val="20"/>
          <w:color w:val="auto"/>
        </w:rPr>
      </w:pPr>
      <w:r>
        <w:rPr>
          <w:rFonts w:ascii="Courier New" w:cs="Courier New" w:eastAsia="Courier New" w:hAnsi="Courier New"/>
          <w:sz w:val="18"/>
          <w:szCs w:val="18"/>
          <w:color w:val="auto"/>
        </w:rPr>
        <w:t>E.C. Waste, Inc.</w:t>
      </w:r>
    </w:p>
    <w:p>
      <w:pPr>
        <w:spacing w:after="0" w:line="238" w:lineRule="auto"/>
        <w:rPr>
          <w:sz w:val="20"/>
          <w:szCs w:val="20"/>
          <w:color w:val="auto"/>
        </w:rPr>
      </w:pPr>
      <w:r>
        <w:rPr>
          <w:rFonts w:ascii="Courier New" w:cs="Courier New" w:eastAsia="Courier New" w:hAnsi="Courier New"/>
          <w:sz w:val="18"/>
          <w:szCs w:val="18"/>
          <w:color w:val="auto"/>
        </w:rPr>
        <w:t>Earthmovers Landfill, L.L.C.</w:t>
      </w:r>
    </w:p>
    <w:p>
      <w:pPr>
        <w:spacing w:after="0"/>
        <w:rPr>
          <w:sz w:val="20"/>
          <w:szCs w:val="20"/>
          <w:color w:val="auto"/>
        </w:rPr>
      </w:pPr>
      <w:r>
        <w:rPr>
          <w:rFonts w:ascii="Courier New" w:cs="Courier New" w:eastAsia="Courier New" w:hAnsi="Courier New"/>
          <w:sz w:val="18"/>
          <w:szCs w:val="18"/>
          <w:color w:val="auto"/>
        </w:rPr>
        <w:t>East Liverpool Landfill, Inc.</w:t>
      </w:r>
    </w:p>
    <w:p>
      <w:pPr>
        <w:spacing w:after="0" w:line="237" w:lineRule="auto"/>
        <w:rPr>
          <w:sz w:val="20"/>
          <w:szCs w:val="20"/>
          <w:color w:val="auto"/>
        </w:rPr>
      </w:pPr>
      <w:r>
        <w:rPr>
          <w:rFonts w:ascii="Courier New" w:cs="Courier New" w:eastAsia="Courier New" w:hAnsi="Courier New"/>
          <w:sz w:val="18"/>
          <w:szCs w:val="18"/>
          <w:color w:val="auto"/>
        </w:rPr>
        <w:t>Eastern One Land Corporation</w:t>
      </w:r>
    </w:p>
    <w:p>
      <w:pPr>
        <w:spacing w:after="0"/>
        <w:rPr>
          <w:sz w:val="20"/>
          <w:szCs w:val="20"/>
          <w:color w:val="auto"/>
        </w:rPr>
      </w:pPr>
      <w:r>
        <w:rPr>
          <w:rFonts w:ascii="Courier New" w:cs="Courier New" w:eastAsia="Courier New" w:hAnsi="Courier New"/>
          <w:sz w:val="18"/>
          <w:szCs w:val="18"/>
          <w:color w:val="auto"/>
        </w:rPr>
        <w:t>eCycling Services, L.L.C.</w:t>
      </w:r>
    </w:p>
    <w:p>
      <w:pPr>
        <w:spacing w:after="0" w:line="237" w:lineRule="auto"/>
        <w:rPr>
          <w:sz w:val="20"/>
          <w:szCs w:val="20"/>
          <w:color w:val="auto"/>
        </w:rPr>
      </w:pPr>
      <w:r>
        <w:rPr>
          <w:rFonts w:ascii="Courier New" w:cs="Courier New" w:eastAsia="Courier New" w:hAnsi="Courier New"/>
          <w:sz w:val="18"/>
          <w:szCs w:val="18"/>
          <w:color w:val="auto"/>
        </w:rPr>
        <w:t>El Coqui de San Juan</w:t>
      </w:r>
    </w:p>
    <w:p>
      <w:pPr>
        <w:spacing w:after="0"/>
        <w:rPr>
          <w:sz w:val="20"/>
          <w:szCs w:val="20"/>
          <w:color w:val="auto"/>
        </w:rPr>
      </w:pPr>
      <w:r>
        <w:rPr>
          <w:rFonts w:ascii="Courier New" w:cs="Courier New" w:eastAsia="Courier New" w:hAnsi="Courier New"/>
          <w:sz w:val="18"/>
          <w:szCs w:val="18"/>
          <w:color w:val="auto"/>
        </w:rPr>
        <w:t>El Coqui Landfill Company, Inc.</w:t>
      </w:r>
    </w:p>
    <w:p>
      <w:pPr>
        <w:spacing w:after="0" w:line="237" w:lineRule="auto"/>
        <w:rPr>
          <w:sz w:val="20"/>
          <w:szCs w:val="20"/>
          <w:color w:val="auto"/>
        </w:rPr>
      </w:pPr>
      <w:r>
        <w:rPr>
          <w:rFonts w:ascii="Courier New" w:cs="Courier New" w:eastAsia="Courier New" w:hAnsi="Courier New"/>
          <w:sz w:val="18"/>
          <w:szCs w:val="18"/>
          <w:color w:val="auto"/>
        </w:rPr>
        <w:t>El Coqui Waste Disposal, Inc.</w:t>
      </w:r>
    </w:p>
    <w:p>
      <w:pPr>
        <w:spacing w:after="0" w:line="238" w:lineRule="auto"/>
        <w:rPr>
          <w:sz w:val="20"/>
          <w:szCs w:val="20"/>
          <w:color w:val="auto"/>
        </w:rPr>
      </w:pPr>
      <w:r>
        <w:rPr>
          <w:rFonts w:ascii="Courier New" w:cs="Courier New" w:eastAsia="Courier New" w:hAnsi="Courier New"/>
          <w:sz w:val="18"/>
          <w:szCs w:val="18"/>
          <w:color w:val="auto"/>
        </w:rPr>
        <w:t>ELDA Landfill, Inc.</w:t>
      </w:r>
    </w:p>
    <w:p>
      <w:pPr>
        <w:spacing w:after="0"/>
        <w:rPr>
          <w:sz w:val="20"/>
          <w:szCs w:val="20"/>
          <w:color w:val="auto"/>
        </w:rPr>
      </w:pPr>
      <w:r>
        <w:rPr>
          <w:rFonts w:ascii="Courier New" w:cs="Courier New" w:eastAsia="Courier New" w:hAnsi="Courier New"/>
          <w:sz w:val="18"/>
          <w:szCs w:val="18"/>
          <w:color w:val="auto"/>
        </w:rPr>
        <w:t>Elk River Landfill, Inc.</w:t>
      </w:r>
    </w:p>
    <w:p>
      <w:pPr>
        <w:spacing w:after="0" w:line="237" w:lineRule="auto"/>
        <w:rPr>
          <w:sz w:val="20"/>
          <w:szCs w:val="20"/>
          <w:color w:val="auto"/>
        </w:rPr>
      </w:pPr>
      <w:r>
        <w:rPr>
          <w:rFonts w:ascii="Courier New" w:cs="Courier New" w:eastAsia="Courier New" w:hAnsi="Courier New"/>
          <w:sz w:val="18"/>
          <w:szCs w:val="18"/>
          <w:color w:val="auto"/>
        </w:rPr>
        <w:t>Envirofil of Illinois, Inc.</w:t>
      </w:r>
    </w:p>
    <w:p>
      <w:pPr>
        <w:spacing w:after="0"/>
        <w:rPr>
          <w:sz w:val="20"/>
          <w:szCs w:val="20"/>
          <w:color w:val="auto"/>
        </w:rPr>
      </w:pPr>
      <w:r>
        <w:rPr>
          <w:rFonts w:ascii="Courier New" w:cs="Courier New" w:eastAsia="Courier New" w:hAnsi="Courier New"/>
          <w:sz w:val="18"/>
          <w:szCs w:val="18"/>
          <w:color w:val="auto"/>
        </w:rPr>
        <w:t>Evergreen Landfill,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Evergreen Recycling and Disposal Facility,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Farmer's Landfill, Inc.</w:t>
      </w:r>
    </w:p>
    <w:p>
      <w:pPr>
        <w:spacing w:after="0" w:line="238" w:lineRule="auto"/>
        <w:rPr>
          <w:sz w:val="20"/>
          <w:szCs w:val="20"/>
          <w:color w:val="auto"/>
        </w:rPr>
      </w:pPr>
      <w:r>
        <w:rPr>
          <w:rFonts w:ascii="Courier New" w:cs="Courier New" w:eastAsia="Courier New" w:hAnsi="Courier New"/>
          <w:sz w:val="18"/>
          <w:szCs w:val="18"/>
          <w:color w:val="auto"/>
        </w:rPr>
        <w:t>Feather River Disposal, Inc.</w:t>
      </w:r>
    </w:p>
    <w:p>
      <w:pPr>
        <w:spacing w:after="0"/>
        <w:rPr>
          <w:sz w:val="20"/>
          <w:szCs w:val="20"/>
          <w:color w:val="auto"/>
        </w:rPr>
      </w:pPr>
      <w:r>
        <w:rPr>
          <w:rFonts w:ascii="Courier New" w:cs="Courier New" w:eastAsia="Courier New" w:hAnsi="Courier New"/>
          <w:sz w:val="18"/>
          <w:szCs w:val="18"/>
          <w:color w:val="auto"/>
        </w:rPr>
        <w:t>Fernley Disposal, Inc.</w:t>
      </w:r>
    </w:p>
    <w:p>
      <w:pPr>
        <w:spacing w:after="0" w:line="237" w:lineRule="auto"/>
        <w:rPr>
          <w:sz w:val="20"/>
          <w:szCs w:val="20"/>
          <w:color w:val="auto"/>
        </w:rPr>
      </w:pPr>
      <w:r>
        <w:rPr>
          <w:rFonts w:ascii="Courier New" w:cs="Courier New" w:eastAsia="Courier New" w:hAnsi="Courier New"/>
          <w:sz w:val="18"/>
          <w:szCs w:val="18"/>
          <w:color w:val="auto"/>
        </w:rPr>
        <w:t>Front Range Landfill, Inc.</w:t>
      </w:r>
    </w:p>
    <w:p>
      <w:pPr>
        <w:spacing w:after="0" w:line="238" w:lineRule="auto"/>
        <w:rPr>
          <w:sz w:val="20"/>
          <w:szCs w:val="20"/>
          <w:color w:val="auto"/>
        </w:rPr>
      </w:pPr>
      <w:r>
        <w:rPr>
          <w:rFonts w:ascii="Courier New" w:cs="Courier New" w:eastAsia="Courier New" w:hAnsi="Courier New"/>
          <w:sz w:val="18"/>
          <w:szCs w:val="18"/>
          <w:color w:val="auto"/>
        </w:rPr>
        <w:t>G.I. Industries</w:t>
      </w:r>
    </w:p>
    <w:p>
      <w:pPr>
        <w:spacing w:after="0"/>
        <w:rPr>
          <w:sz w:val="20"/>
          <w:szCs w:val="20"/>
          <w:color w:val="auto"/>
        </w:rPr>
      </w:pPr>
      <w:r>
        <w:rPr>
          <w:rFonts w:ascii="Courier New" w:cs="Courier New" w:eastAsia="Courier New" w:hAnsi="Courier New"/>
          <w:sz w:val="18"/>
          <w:szCs w:val="18"/>
          <w:color w:val="auto"/>
        </w:rPr>
        <w:t>GA Contracts Enterprises, LLC</w:t>
      </w:r>
    </w:p>
    <w:p>
      <w:pPr>
        <w:spacing w:after="0" w:line="237" w:lineRule="auto"/>
        <w:rPr>
          <w:sz w:val="20"/>
          <w:szCs w:val="20"/>
          <w:color w:val="auto"/>
        </w:rPr>
      </w:pPr>
      <w:r>
        <w:rPr>
          <w:rFonts w:ascii="Courier New" w:cs="Courier New" w:eastAsia="Courier New" w:hAnsi="Courier New"/>
          <w:sz w:val="18"/>
          <w:szCs w:val="18"/>
          <w:color w:val="auto"/>
        </w:rPr>
        <w:t>GA Landfills, Inc.</w:t>
      </w:r>
    </w:p>
    <w:p>
      <w:pPr>
        <w:spacing w:after="0"/>
        <w:rPr>
          <w:sz w:val="20"/>
          <w:szCs w:val="20"/>
          <w:color w:val="auto"/>
        </w:rPr>
      </w:pPr>
      <w:r>
        <w:rPr>
          <w:rFonts w:ascii="Courier New" w:cs="Courier New" w:eastAsia="Courier New" w:hAnsi="Courier New"/>
          <w:sz w:val="18"/>
          <w:szCs w:val="18"/>
          <w:color w:val="auto"/>
        </w:rPr>
        <w:t>Gallia Landfill, Inc.</w:t>
      </w:r>
    </w:p>
    <w:p>
      <w:pPr>
        <w:spacing w:after="0" w:line="237" w:lineRule="auto"/>
        <w:rPr>
          <w:sz w:val="20"/>
          <w:szCs w:val="20"/>
          <w:color w:val="auto"/>
        </w:rPr>
      </w:pPr>
      <w:r>
        <w:rPr>
          <w:rFonts w:ascii="Courier New" w:cs="Courier New" w:eastAsia="Courier New" w:hAnsi="Courier New"/>
          <w:sz w:val="18"/>
          <w:szCs w:val="18"/>
          <w:color w:val="auto"/>
        </w:rPr>
        <w:t>Garnet of Maryland, Inc.</w:t>
      </w:r>
    </w:p>
    <w:p>
      <w:pPr>
        <w:spacing w:after="0"/>
        <w:rPr>
          <w:sz w:val="20"/>
          <w:szCs w:val="20"/>
          <w:color w:val="auto"/>
        </w:rPr>
      </w:pPr>
      <w:r>
        <w:rPr>
          <w:rFonts w:ascii="Courier New" w:cs="Courier New" w:eastAsia="Courier New" w:hAnsi="Courier New"/>
          <w:sz w:val="18"/>
          <w:szCs w:val="18"/>
          <w:color w:val="auto"/>
        </w:rPr>
        <w:t>Gateway Transfer Station, LLC</w:t>
      </w:r>
    </w:p>
    <w:p>
      <w:pPr>
        <w:spacing w:after="0" w:line="237" w:lineRule="auto"/>
        <w:rPr>
          <w:sz w:val="20"/>
          <w:szCs w:val="20"/>
          <w:color w:val="auto"/>
        </w:rPr>
      </w:pPr>
      <w:r>
        <w:rPr>
          <w:rFonts w:ascii="Courier New" w:cs="Courier New" w:eastAsia="Courier New" w:hAnsi="Courier New"/>
          <w:sz w:val="18"/>
          <w:szCs w:val="18"/>
          <w:color w:val="auto"/>
        </w:rPr>
        <w:t>GCP Engineering Ltd</w:t>
      </w:r>
    </w:p>
    <w:p>
      <w:pPr>
        <w:spacing w:after="0" w:line="238" w:lineRule="auto"/>
        <w:rPr>
          <w:sz w:val="20"/>
          <w:szCs w:val="20"/>
          <w:color w:val="auto"/>
        </w:rPr>
      </w:pPr>
      <w:r>
        <w:rPr>
          <w:rFonts w:ascii="Courier New" w:cs="Courier New" w:eastAsia="Courier New" w:hAnsi="Courier New"/>
          <w:sz w:val="18"/>
          <w:szCs w:val="18"/>
          <w:color w:val="auto"/>
        </w:rPr>
        <w:t>Georgia Waste Systems, Inc.</w:t>
      </w:r>
    </w:p>
    <w:p>
      <w:pPr>
        <w:spacing w:after="0"/>
        <w:rPr>
          <w:sz w:val="20"/>
          <w:szCs w:val="20"/>
          <w:color w:val="auto"/>
        </w:rPr>
      </w:pPr>
      <w:r>
        <w:rPr>
          <w:rFonts w:ascii="Courier New" w:cs="Courier New" w:eastAsia="Courier New" w:hAnsi="Courier New"/>
          <w:sz w:val="18"/>
          <w:szCs w:val="18"/>
          <w:color w:val="auto"/>
        </w:rPr>
        <w:t>Gestion Des Rebuts D.M.P. Inc.</w:t>
      </w:r>
    </w:p>
    <w:p>
      <w:pPr>
        <w:spacing w:after="0" w:line="237" w:lineRule="auto"/>
        <w:rPr>
          <w:sz w:val="20"/>
          <w:szCs w:val="20"/>
          <w:color w:val="auto"/>
        </w:rPr>
      </w:pPr>
      <w:r>
        <w:rPr>
          <w:rFonts w:ascii="Courier New" w:cs="Courier New" w:eastAsia="Courier New" w:hAnsi="Courier New"/>
          <w:sz w:val="18"/>
          <w:szCs w:val="18"/>
          <w:color w:val="auto"/>
        </w:rPr>
        <w:t>Giordano Recycling, L.L.C.</w:t>
      </w:r>
    </w:p>
    <w:p>
      <w:pPr>
        <w:spacing w:after="0"/>
        <w:rPr>
          <w:sz w:val="20"/>
          <w:szCs w:val="20"/>
          <w:color w:val="auto"/>
        </w:rPr>
      </w:pPr>
      <w:r>
        <w:rPr>
          <w:rFonts w:ascii="Courier New" w:cs="Courier New" w:eastAsia="Courier New" w:hAnsi="Courier New"/>
          <w:sz w:val="18"/>
          <w:szCs w:val="18"/>
          <w:color w:val="auto"/>
        </w:rPr>
        <w:t>Glen's Sanitary Landfill, Inc.</w:t>
      </w:r>
    </w:p>
    <w:p>
      <w:pPr>
        <w:spacing w:after="0" w:line="237" w:lineRule="auto"/>
        <w:rPr>
          <w:sz w:val="20"/>
          <w:szCs w:val="20"/>
          <w:color w:val="auto"/>
        </w:rPr>
      </w:pPr>
      <w:r>
        <w:rPr>
          <w:rFonts w:ascii="Courier New" w:cs="Courier New" w:eastAsia="Courier New" w:hAnsi="Courier New"/>
          <w:sz w:val="18"/>
          <w:szCs w:val="18"/>
          <w:color w:val="auto"/>
        </w:rPr>
        <w:t>Grand Central Sanitary Landfill, Inc.</w:t>
      </w:r>
    </w:p>
    <w:p>
      <w:pPr>
        <w:spacing w:after="0"/>
        <w:rPr>
          <w:sz w:val="20"/>
          <w:szCs w:val="20"/>
          <w:color w:val="auto"/>
        </w:rPr>
      </w:pPr>
      <w:r>
        <w:rPr>
          <w:rFonts w:ascii="Courier New" w:cs="Courier New" w:eastAsia="Courier New" w:hAnsi="Courier New"/>
          <w:sz w:val="18"/>
          <w:szCs w:val="18"/>
          <w:color w:val="auto"/>
        </w:rPr>
        <w:t>Greeley Holding Company, LLC</w:t>
      </w:r>
    </w:p>
    <w:p>
      <w:pPr>
        <w:spacing w:after="0" w:line="237" w:lineRule="auto"/>
        <w:rPr>
          <w:sz w:val="20"/>
          <w:szCs w:val="20"/>
          <w:color w:val="auto"/>
        </w:rPr>
      </w:pPr>
      <w:r>
        <w:rPr>
          <w:rFonts w:ascii="Courier New" w:cs="Courier New" w:eastAsia="Courier New" w:hAnsi="Courier New"/>
          <w:sz w:val="18"/>
          <w:szCs w:val="18"/>
          <w:color w:val="auto"/>
        </w:rPr>
        <w:t>Grupo WMX, S.A. De C.V.</w:t>
      </w:r>
    </w:p>
    <w:p>
      <w:pPr>
        <w:spacing w:after="0" w:line="238" w:lineRule="auto"/>
        <w:rPr>
          <w:sz w:val="20"/>
          <w:szCs w:val="20"/>
          <w:color w:val="auto"/>
        </w:rPr>
      </w:pPr>
      <w:r>
        <w:rPr>
          <w:rFonts w:ascii="Courier New" w:cs="Courier New" w:eastAsia="Courier New" w:hAnsi="Courier New"/>
          <w:sz w:val="18"/>
          <w:szCs w:val="18"/>
          <w:color w:val="auto"/>
        </w:rPr>
        <w:t>Guadalupe Mines Mutual Water Company</w:t>
      </w:r>
    </w:p>
    <w:p>
      <w:pPr>
        <w:spacing w:after="0"/>
        <w:rPr>
          <w:sz w:val="20"/>
          <w:szCs w:val="20"/>
          <w:color w:val="auto"/>
        </w:rPr>
      </w:pPr>
      <w:r>
        <w:rPr>
          <w:rFonts w:ascii="Courier New" w:cs="Courier New" w:eastAsia="Courier New" w:hAnsi="Courier New"/>
          <w:sz w:val="18"/>
          <w:szCs w:val="18"/>
          <w:color w:val="auto"/>
        </w:rPr>
        <w:t>Guadalupe Rubbish Disposal Co., Inc.</w:t>
      </w:r>
    </w:p>
    <w:p>
      <w:pPr>
        <w:spacing w:after="0" w:line="237" w:lineRule="auto"/>
        <w:rPr>
          <w:sz w:val="20"/>
          <w:szCs w:val="20"/>
          <w:color w:val="auto"/>
        </w:rPr>
      </w:pPr>
      <w:r>
        <w:rPr>
          <w:rFonts w:ascii="Courier New" w:cs="Courier New" w:eastAsia="Courier New" w:hAnsi="Courier New"/>
          <w:sz w:val="18"/>
          <w:szCs w:val="18"/>
          <w:color w:val="auto"/>
        </w:rPr>
        <w:t>Guam Resource Recovery Partners, L.P.</w:t>
      </w:r>
    </w:p>
    <w:p>
      <w:pPr>
        <w:spacing w:after="0"/>
        <w:rPr>
          <w:sz w:val="20"/>
          <w:szCs w:val="20"/>
          <w:color w:val="auto"/>
        </w:rPr>
      </w:pPr>
      <w:r>
        <w:rPr>
          <w:rFonts w:ascii="Courier New" w:cs="Courier New" w:eastAsia="Courier New" w:hAnsi="Courier New"/>
          <w:sz w:val="18"/>
          <w:szCs w:val="18"/>
          <w:color w:val="auto"/>
        </w:rPr>
        <w:t>Harris Sanitation,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Hong Kong</w:t>
      </w:r>
    </w:p>
    <w:p>
      <w:pPr>
        <w:spacing w:after="0" w:line="238" w:lineRule="auto"/>
        <w:rPr>
          <w:sz w:val="20"/>
          <w:szCs w:val="20"/>
          <w:color w:val="auto"/>
        </w:rPr>
      </w:pPr>
      <w:r>
        <w:rPr>
          <w:rFonts w:ascii="Courier New" w:cs="Courier New" w:eastAsia="Courier New" w:hAnsi="Courier New"/>
          <w:sz w:val="18"/>
          <w:szCs w:val="18"/>
          <w:color w:val="auto"/>
        </w:rPr>
        <w:t>Puerto Rico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Puerto Rico</w:t>
      </w:r>
    </w:p>
    <w:p>
      <w:pPr>
        <w:spacing w:after="0"/>
        <w:rPr>
          <w:sz w:val="20"/>
          <w:szCs w:val="20"/>
          <w:color w:val="auto"/>
        </w:rPr>
      </w:pPr>
      <w:r>
        <w:rPr>
          <w:rFonts w:ascii="Courier New" w:cs="Courier New" w:eastAsia="Courier New" w:hAnsi="Courier New"/>
          <w:sz w:val="18"/>
          <w:szCs w:val="18"/>
          <w:color w:val="auto"/>
        </w:rPr>
        <w:t>Puerto Rico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Illinois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Missouri</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Utah</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Hong Kong</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Quebec</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Colorado</w:t>
      </w:r>
    </w:p>
    <w:p>
      <w:pPr>
        <w:spacing w:after="0" w:line="237" w:lineRule="auto"/>
        <w:rPr>
          <w:sz w:val="20"/>
          <w:szCs w:val="20"/>
          <w:color w:val="auto"/>
        </w:rPr>
      </w:pPr>
      <w:r>
        <w:rPr>
          <w:rFonts w:ascii="Courier New" w:cs="Courier New" w:eastAsia="Courier New" w:hAnsi="Courier New"/>
          <w:sz w:val="18"/>
          <w:szCs w:val="18"/>
          <w:color w:val="auto"/>
        </w:rPr>
        <w:t>Mexico</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Florida</w:t>
      </w:r>
    </w:p>
    <w:p>
      <w:pPr>
        <w:sectPr>
          <w:pgSz w:w="11900" w:h="16838" w:orient="portrait"/>
          <w:cols w:equalWidth="0" w:num="2">
            <w:col w:w="7180" w:space="720"/>
            <w:col w:w="2540"/>
          </w:cols>
          <w:pgMar w:left="240" w:top="1122" w:right="1219" w:bottom="1440" w:gutter="0" w:footer="0" w:header="0"/>
          <w:type w:val="continuous"/>
        </w:sectPr>
      </w:pPr>
    </w:p>
    <w:bookmarkStart w:id="201" w:name="page202"/>
    <w:bookmarkEnd w:id="201"/>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Harwood Landfill, Inc.</w:t>
      </w:r>
    </w:p>
    <w:p>
      <w:pPr>
        <w:spacing w:after="0" w:line="238" w:lineRule="auto"/>
        <w:rPr>
          <w:sz w:val="20"/>
          <w:szCs w:val="20"/>
          <w:color w:val="auto"/>
        </w:rPr>
      </w:pPr>
      <w:r>
        <w:rPr>
          <w:rFonts w:ascii="Courier New" w:cs="Courier New" w:eastAsia="Courier New" w:hAnsi="Courier New"/>
          <w:sz w:val="18"/>
          <w:szCs w:val="18"/>
          <w:color w:val="auto"/>
        </w:rPr>
        <w:t>Hedco Landfill Limited</w:t>
      </w:r>
    </w:p>
    <w:p>
      <w:pPr>
        <w:spacing w:after="0"/>
        <w:rPr>
          <w:sz w:val="20"/>
          <w:szCs w:val="20"/>
          <w:color w:val="auto"/>
        </w:rPr>
      </w:pPr>
      <w:r>
        <w:rPr>
          <w:rFonts w:ascii="Courier New" w:cs="Courier New" w:eastAsia="Courier New" w:hAnsi="Courier New"/>
          <w:sz w:val="18"/>
          <w:szCs w:val="18"/>
          <w:color w:val="auto"/>
        </w:rPr>
        <w:t>Hillsboro Landfill Inc.</w:t>
      </w:r>
    </w:p>
    <w:p>
      <w:pPr>
        <w:spacing w:after="0" w:line="237" w:lineRule="auto"/>
        <w:rPr>
          <w:sz w:val="20"/>
          <w:szCs w:val="20"/>
          <w:color w:val="auto"/>
        </w:rPr>
      </w:pPr>
      <w:r>
        <w:rPr>
          <w:rFonts w:ascii="Courier New" w:cs="Courier New" w:eastAsia="Courier New" w:hAnsi="Courier New"/>
          <w:sz w:val="18"/>
          <w:szCs w:val="18"/>
          <w:color w:val="auto"/>
        </w:rPr>
        <w:t>Holyoke Sanitary Landfill, Inc.</w:t>
      </w:r>
    </w:p>
    <w:p>
      <w:pPr>
        <w:spacing w:after="0" w:line="238" w:lineRule="auto"/>
        <w:rPr>
          <w:sz w:val="20"/>
          <w:szCs w:val="20"/>
          <w:color w:val="auto"/>
        </w:rPr>
      </w:pPr>
      <w:r>
        <w:rPr>
          <w:rFonts w:ascii="Courier New" w:cs="Courier New" w:eastAsia="Courier New" w:hAnsi="Courier New"/>
          <w:sz w:val="18"/>
          <w:szCs w:val="18"/>
          <w:color w:val="auto"/>
        </w:rPr>
        <w:t>IN Landfills, L.L.C.</w:t>
      </w:r>
    </w:p>
    <w:p>
      <w:pPr>
        <w:spacing w:after="0"/>
        <w:rPr>
          <w:sz w:val="20"/>
          <w:szCs w:val="20"/>
          <w:color w:val="auto"/>
        </w:rPr>
      </w:pPr>
      <w:r>
        <w:rPr>
          <w:rFonts w:ascii="Courier New" w:cs="Courier New" w:eastAsia="Courier New" w:hAnsi="Courier New"/>
          <w:sz w:val="18"/>
          <w:szCs w:val="18"/>
          <w:color w:val="auto"/>
        </w:rPr>
        <w:t>Independent Sanitation Company</w:t>
      </w:r>
    </w:p>
    <w:p>
      <w:pPr>
        <w:spacing w:after="0" w:line="237" w:lineRule="auto"/>
        <w:rPr>
          <w:sz w:val="20"/>
          <w:szCs w:val="20"/>
          <w:color w:val="auto"/>
        </w:rPr>
      </w:pPr>
      <w:r>
        <w:rPr>
          <w:rFonts w:ascii="Courier New" w:cs="Courier New" w:eastAsia="Courier New" w:hAnsi="Courier New"/>
          <w:sz w:val="18"/>
          <w:szCs w:val="18"/>
          <w:color w:val="auto"/>
        </w:rPr>
        <w:t>Intersan Inc.</w:t>
      </w:r>
    </w:p>
    <w:p>
      <w:pPr>
        <w:spacing w:after="0"/>
        <w:rPr>
          <w:sz w:val="20"/>
          <w:szCs w:val="20"/>
          <w:color w:val="auto"/>
        </w:rPr>
      </w:pPr>
      <w:r>
        <w:rPr>
          <w:rFonts w:ascii="Courier New" w:cs="Courier New" w:eastAsia="Courier New" w:hAnsi="Courier New"/>
          <w:sz w:val="18"/>
          <w:szCs w:val="18"/>
          <w:color w:val="auto"/>
        </w:rPr>
        <w:t>Jahner Sanitation, Inc.</w:t>
      </w:r>
    </w:p>
    <w:p>
      <w:pPr>
        <w:spacing w:after="0" w:line="237" w:lineRule="auto"/>
        <w:rPr>
          <w:sz w:val="20"/>
          <w:szCs w:val="20"/>
          <w:color w:val="auto"/>
        </w:rPr>
      </w:pPr>
      <w:r>
        <w:rPr>
          <w:rFonts w:ascii="Courier New" w:cs="Courier New" w:eastAsia="Courier New" w:hAnsi="Courier New"/>
          <w:sz w:val="18"/>
          <w:szCs w:val="18"/>
          <w:color w:val="auto"/>
        </w:rPr>
        <w:t>Jay County Landfill, L.L.C.</w:t>
      </w:r>
    </w:p>
    <w:p>
      <w:pPr>
        <w:spacing w:after="0"/>
        <w:rPr>
          <w:sz w:val="20"/>
          <w:szCs w:val="20"/>
          <w:color w:val="auto"/>
        </w:rPr>
      </w:pPr>
      <w:r>
        <w:rPr>
          <w:rFonts w:ascii="Courier New" w:cs="Courier New" w:eastAsia="Courier New" w:hAnsi="Courier New"/>
          <w:sz w:val="18"/>
          <w:szCs w:val="18"/>
          <w:color w:val="auto"/>
        </w:rPr>
        <w:t>JFS (UK) Limited</w:t>
      </w:r>
    </w:p>
    <w:p>
      <w:pPr>
        <w:spacing w:after="0" w:line="237" w:lineRule="auto"/>
        <w:rPr>
          <w:sz w:val="20"/>
          <w:szCs w:val="20"/>
          <w:color w:val="auto"/>
        </w:rPr>
      </w:pPr>
      <w:r>
        <w:rPr>
          <w:rFonts w:ascii="Courier New" w:cs="Courier New" w:eastAsia="Courier New" w:hAnsi="Courier New"/>
          <w:sz w:val="18"/>
          <w:szCs w:val="18"/>
          <w:color w:val="auto"/>
        </w:rPr>
        <w:t>Jones Sanitation, L.L.C.</w:t>
      </w:r>
    </w:p>
    <w:p>
      <w:pPr>
        <w:spacing w:after="0" w:line="238" w:lineRule="auto"/>
        <w:rPr>
          <w:sz w:val="20"/>
          <w:szCs w:val="20"/>
          <w:color w:val="auto"/>
        </w:rPr>
      </w:pPr>
      <w:r>
        <w:rPr>
          <w:rFonts w:ascii="Courier New" w:cs="Courier New" w:eastAsia="Courier New" w:hAnsi="Courier New"/>
          <w:sz w:val="18"/>
          <w:szCs w:val="18"/>
          <w:color w:val="auto"/>
        </w:rPr>
        <w:t>Junker Sanitation Services, Inc.</w:t>
      </w:r>
    </w:p>
    <w:p>
      <w:pPr>
        <w:spacing w:after="0"/>
        <w:rPr>
          <w:sz w:val="20"/>
          <w:szCs w:val="20"/>
          <w:color w:val="auto"/>
        </w:rPr>
      </w:pPr>
      <w:r>
        <w:rPr>
          <w:rFonts w:ascii="Courier New" w:cs="Courier New" w:eastAsia="Courier New" w:hAnsi="Courier New"/>
          <w:sz w:val="18"/>
          <w:szCs w:val="18"/>
          <w:color w:val="auto"/>
        </w:rPr>
        <w:t>K and W Landfill Inc.</w:t>
      </w:r>
    </w:p>
    <w:p>
      <w:pPr>
        <w:spacing w:after="0" w:line="237" w:lineRule="auto"/>
        <w:rPr>
          <w:sz w:val="20"/>
          <w:szCs w:val="20"/>
          <w:color w:val="auto"/>
        </w:rPr>
      </w:pPr>
      <w:r>
        <w:rPr>
          <w:rFonts w:ascii="Courier New" w:cs="Courier New" w:eastAsia="Courier New" w:hAnsi="Courier New"/>
          <w:sz w:val="18"/>
          <w:szCs w:val="18"/>
          <w:color w:val="auto"/>
        </w:rPr>
        <w:t>Kahle Landfill, Inc.</w:t>
      </w:r>
    </w:p>
    <w:p>
      <w:pPr>
        <w:spacing w:after="0"/>
        <w:rPr>
          <w:sz w:val="20"/>
          <w:szCs w:val="20"/>
          <w:color w:val="auto"/>
        </w:rPr>
      </w:pPr>
      <w:r>
        <w:rPr>
          <w:rFonts w:ascii="Courier New" w:cs="Courier New" w:eastAsia="Courier New" w:hAnsi="Courier New"/>
          <w:sz w:val="18"/>
          <w:szCs w:val="18"/>
          <w:color w:val="auto"/>
        </w:rPr>
        <w:t>Keene Road Landfill, Inc.</w:t>
      </w:r>
    </w:p>
    <w:p>
      <w:pPr>
        <w:spacing w:after="0" w:line="237" w:lineRule="auto"/>
        <w:rPr>
          <w:sz w:val="20"/>
          <w:szCs w:val="20"/>
          <w:color w:val="auto"/>
        </w:rPr>
      </w:pPr>
      <w:r>
        <w:rPr>
          <w:rFonts w:ascii="Courier New" w:cs="Courier New" w:eastAsia="Courier New" w:hAnsi="Courier New"/>
          <w:sz w:val="18"/>
          <w:szCs w:val="18"/>
          <w:color w:val="auto"/>
        </w:rPr>
        <w:t>Kelly Run Sanitation, Inc.</w:t>
      </w:r>
    </w:p>
    <w:p>
      <w:pPr>
        <w:spacing w:after="0"/>
        <w:rPr>
          <w:sz w:val="20"/>
          <w:szCs w:val="20"/>
          <w:color w:val="auto"/>
        </w:rPr>
      </w:pPr>
      <w:r>
        <w:rPr>
          <w:rFonts w:ascii="Courier New" w:cs="Courier New" w:eastAsia="Courier New" w:hAnsi="Courier New"/>
          <w:sz w:val="18"/>
          <w:szCs w:val="18"/>
          <w:color w:val="auto"/>
        </w:rPr>
        <w:t>Key Disposal Ltd.</w:t>
      </w:r>
    </w:p>
    <w:p>
      <w:pPr>
        <w:spacing w:after="0" w:line="237" w:lineRule="auto"/>
        <w:rPr>
          <w:sz w:val="20"/>
          <w:szCs w:val="20"/>
          <w:color w:val="auto"/>
        </w:rPr>
      </w:pPr>
      <w:r>
        <w:rPr>
          <w:rFonts w:ascii="Courier New" w:cs="Courier New" w:eastAsia="Courier New" w:hAnsi="Courier New"/>
          <w:sz w:val="18"/>
          <w:szCs w:val="18"/>
          <w:color w:val="auto"/>
        </w:rPr>
        <w:t>King George Landfill, Inc.</w:t>
      </w:r>
    </w:p>
    <w:p>
      <w:pPr>
        <w:spacing w:after="0" w:line="238" w:lineRule="auto"/>
        <w:rPr>
          <w:sz w:val="20"/>
          <w:szCs w:val="20"/>
          <w:color w:val="auto"/>
        </w:rPr>
      </w:pPr>
      <w:r>
        <w:rPr>
          <w:rFonts w:ascii="Courier New" w:cs="Courier New" w:eastAsia="Courier New" w:hAnsi="Courier New"/>
          <w:sz w:val="18"/>
          <w:szCs w:val="18"/>
          <w:color w:val="auto"/>
        </w:rPr>
        <w:t>KN Industrial Services, Inc.</w:t>
      </w:r>
    </w:p>
    <w:p>
      <w:pPr>
        <w:spacing w:after="0"/>
        <w:rPr>
          <w:sz w:val="20"/>
          <w:szCs w:val="20"/>
          <w:color w:val="auto"/>
        </w:rPr>
      </w:pPr>
      <w:r>
        <w:rPr>
          <w:rFonts w:ascii="Courier New" w:cs="Courier New" w:eastAsia="Courier New" w:hAnsi="Courier New"/>
          <w:sz w:val="18"/>
          <w:szCs w:val="18"/>
          <w:color w:val="auto"/>
        </w:rPr>
        <w:t>L&amp;M Landfill, Inc.</w:t>
      </w:r>
    </w:p>
    <w:p>
      <w:pPr>
        <w:spacing w:after="0" w:line="237" w:lineRule="auto"/>
        <w:rPr>
          <w:sz w:val="20"/>
          <w:szCs w:val="20"/>
          <w:color w:val="auto"/>
        </w:rPr>
      </w:pPr>
      <w:r>
        <w:rPr>
          <w:rFonts w:ascii="Courier New" w:cs="Courier New" w:eastAsia="Courier New" w:hAnsi="Courier New"/>
          <w:sz w:val="18"/>
          <w:szCs w:val="18"/>
          <w:color w:val="auto"/>
        </w:rPr>
        <w:t>Land Reclamation Company, Inc.</w:t>
      </w:r>
    </w:p>
    <w:p>
      <w:pPr>
        <w:spacing w:after="0"/>
        <w:rPr>
          <w:sz w:val="20"/>
          <w:szCs w:val="20"/>
          <w:color w:val="auto"/>
        </w:rPr>
      </w:pPr>
      <w:r>
        <w:rPr>
          <w:rFonts w:ascii="Courier New" w:cs="Courier New" w:eastAsia="Courier New" w:hAnsi="Courier New"/>
          <w:sz w:val="18"/>
          <w:szCs w:val="18"/>
          <w:color w:val="auto"/>
        </w:rPr>
        <w:t>Landfill of Pine Ridge, Inc.</w:t>
      </w:r>
    </w:p>
    <w:p>
      <w:pPr>
        <w:spacing w:after="0" w:line="237" w:lineRule="auto"/>
        <w:rPr>
          <w:sz w:val="20"/>
          <w:szCs w:val="20"/>
          <w:color w:val="auto"/>
        </w:rPr>
      </w:pPr>
      <w:r>
        <w:rPr>
          <w:rFonts w:ascii="Courier New" w:cs="Courier New" w:eastAsia="Courier New" w:hAnsi="Courier New"/>
          <w:sz w:val="18"/>
          <w:szCs w:val="18"/>
          <w:color w:val="auto"/>
        </w:rPr>
        <w:t>Landfill Services of Charleston, Inc.</w:t>
      </w:r>
    </w:p>
    <w:p>
      <w:pPr>
        <w:spacing w:after="0"/>
        <w:rPr>
          <w:sz w:val="20"/>
          <w:szCs w:val="20"/>
          <w:color w:val="auto"/>
        </w:rPr>
      </w:pPr>
      <w:r>
        <w:rPr>
          <w:rFonts w:ascii="Courier New" w:cs="Courier New" w:eastAsia="Courier New" w:hAnsi="Courier New"/>
          <w:sz w:val="18"/>
          <w:szCs w:val="18"/>
          <w:color w:val="auto"/>
        </w:rPr>
        <w:t>Laurel Highlands Landfill, Inc.</w:t>
      </w:r>
    </w:p>
    <w:p>
      <w:pPr>
        <w:spacing w:after="0" w:line="237" w:lineRule="auto"/>
        <w:rPr>
          <w:sz w:val="20"/>
          <w:szCs w:val="20"/>
          <w:color w:val="auto"/>
        </w:rPr>
      </w:pPr>
      <w:r>
        <w:rPr>
          <w:rFonts w:ascii="Courier New" w:cs="Courier New" w:eastAsia="Courier New" w:hAnsi="Courier New"/>
          <w:sz w:val="18"/>
          <w:szCs w:val="18"/>
          <w:color w:val="auto"/>
        </w:rPr>
        <w:t>Laurel Ridge Landfill, L.L.C.</w:t>
      </w:r>
    </w:p>
    <w:p>
      <w:pPr>
        <w:spacing w:after="0"/>
        <w:rPr>
          <w:sz w:val="20"/>
          <w:szCs w:val="20"/>
          <w:color w:val="auto"/>
        </w:rPr>
      </w:pPr>
      <w:r>
        <w:rPr>
          <w:rFonts w:ascii="Courier New" w:cs="Courier New" w:eastAsia="Courier New" w:hAnsi="Courier New"/>
          <w:sz w:val="18"/>
          <w:szCs w:val="18"/>
          <w:color w:val="auto"/>
        </w:rPr>
        <w:t>LCS Services, Inc.</w:t>
      </w:r>
    </w:p>
    <w:p>
      <w:pPr>
        <w:spacing w:after="0" w:line="237" w:lineRule="auto"/>
        <w:rPr>
          <w:sz w:val="20"/>
          <w:szCs w:val="20"/>
          <w:color w:val="auto"/>
        </w:rPr>
      </w:pPr>
      <w:r>
        <w:rPr>
          <w:rFonts w:ascii="Courier New" w:cs="Courier New" w:eastAsia="Courier New" w:hAnsi="Courier New"/>
          <w:sz w:val="18"/>
          <w:szCs w:val="18"/>
          <w:color w:val="auto"/>
        </w:rPr>
        <w:t>LFG Production, L.P.</w:t>
      </w:r>
    </w:p>
    <w:p>
      <w:pPr>
        <w:spacing w:after="0" w:line="238" w:lineRule="auto"/>
        <w:rPr>
          <w:sz w:val="20"/>
          <w:szCs w:val="20"/>
          <w:color w:val="auto"/>
        </w:rPr>
      </w:pPr>
      <w:r>
        <w:rPr>
          <w:rFonts w:ascii="Courier New" w:cs="Courier New" w:eastAsia="Courier New" w:hAnsi="Courier New"/>
          <w:sz w:val="18"/>
          <w:szCs w:val="18"/>
          <w:color w:val="auto"/>
        </w:rPr>
        <w:t>Liberty Landfill, L.L.C.</w:t>
      </w:r>
    </w:p>
    <w:p>
      <w:pPr>
        <w:spacing w:after="0"/>
        <w:rPr>
          <w:sz w:val="20"/>
          <w:szCs w:val="20"/>
          <w:color w:val="auto"/>
        </w:rPr>
      </w:pPr>
      <w:r>
        <w:rPr>
          <w:rFonts w:ascii="Courier New" w:cs="Courier New" w:eastAsia="Courier New" w:hAnsi="Courier New"/>
          <w:sz w:val="18"/>
          <w:szCs w:val="18"/>
          <w:color w:val="auto"/>
        </w:rPr>
        <w:t>Liberty Lane West Owners' Association</w:t>
      </w:r>
    </w:p>
    <w:p>
      <w:pPr>
        <w:spacing w:after="0" w:line="237" w:lineRule="auto"/>
        <w:rPr>
          <w:sz w:val="20"/>
          <w:szCs w:val="20"/>
          <w:color w:val="auto"/>
        </w:rPr>
      </w:pPr>
      <w:r>
        <w:rPr>
          <w:rFonts w:ascii="Courier New" w:cs="Courier New" w:eastAsia="Courier New" w:hAnsi="Courier New"/>
          <w:sz w:val="18"/>
          <w:szCs w:val="18"/>
          <w:color w:val="auto"/>
        </w:rPr>
        <w:t>Liquid Waste Management, Inc.</w:t>
      </w:r>
    </w:p>
    <w:p>
      <w:pPr>
        <w:spacing w:after="0"/>
        <w:rPr>
          <w:sz w:val="20"/>
          <w:szCs w:val="20"/>
          <w:color w:val="auto"/>
        </w:rPr>
      </w:pPr>
      <w:r>
        <w:rPr>
          <w:rFonts w:ascii="Courier New" w:cs="Courier New" w:eastAsia="Courier New" w:hAnsi="Courier New"/>
          <w:sz w:val="18"/>
          <w:szCs w:val="18"/>
          <w:color w:val="auto"/>
        </w:rPr>
        <w:t>Longmont Landfill, L.L.C.</w:t>
      </w:r>
    </w:p>
    <w:p>
      <w:pPr>
        <w:spacing w:after="0" w:line="237" w:lineRule="auto"/>
        <w:rPr>
          <w:sz w:val="20"/>
          <w:szCs w:val="20"/>
          <w:color w:val="auto"/>
        </w:rPr>
      </w:pPr>
      <w:r>
        <w:rPr>
          <w:rFonts w:ascii="Courier New" w:cs="Courier New" w:eastAsia="Courier New" w:hAnsi="Courier New"/>
          <w:sz w:val="18"/>
          <w:szCs w:val="18"/>
          <w:color w:val="auto"/>
        </w:rPr>
        <w:t>M.S.T.S. Limited Partnership</w:t>
      </w:r>
    </w:p>
    <w:p>
      <w:pPr>
        <w:spacing w:after="0"/>
        <w:rPr>
          <w:sz w:val="20"/>
          <w:szCs w:val="20"/>
          <w:color w:val="auto"/>
        </w:rPr>
      </w:pPr>
      <w:r>
        <w:rPr>
          <w:rFonts w:ascii="Courier New" w:cs="Courier New" w:eastAsia="Courier New" w:hAnsi="Courier New"/>
          <w:sz w:val="18"/>
          <w:szCs w:val="18"/>
          <w:color w:val="auto"/>
        </w:rPr>
        <w:t>M.S.T.S., Inc.</w:t>
      </w:r>
    </w:p>
    <w:p>
      <w:pPr>
        <w:spacing w:after="0" w:line="237" w:lineRule="auto"/>
        <w:rPr>
          <w:sz w:val="20"/>
          <w:szCs w:val="20"/>
          <w:color w:val="auto"/>
        </w:rPr>
      </w:pPr>
      <w:r>
        <w:rPr>
          <w:rFonts w:ascii="Courier New" w:cs="Courier New" w:eastAsia="Courier New" w:hAnsi="Courier New"/>
          <w:sz w:val="18"/>
          <w:szCs w:val="18"/>
          <w:color w:val="auto"/>
        </w:rPr>
        <w:t>Mahoning Landfill, Inc.</w:t>
      </w:r>
    </w:p>
    <w:p>
      <w:pPr>
        <w:spacing w:after="0" w:line="238" w:lineRule="auto"/>
        <w:rPr>
          <w:sz w:val="20"/>
          <w:szCs w:val="20"/>
          <w:color w:val="auto"/>
        </w:rPr>
      </w:pPr>
      <w:r>
        <w:rPr>
          <w:rFonts w:ascii="Courier New" w:cs="Courier New" w:eastAsia="Courier New" w:hAnsi="Courier New"/>
          <w:sz w:val="18"/>
          <w:szCs w:val="18"/>
          <w:color w:val="auto"/>
        </w:rPr>
        <w:t>Marangi Bros., Inc.</w:t>
      </w:r>
    </w:p>
    <w:p>
      <w:pPr>
        <w:spacing w:after="0"/>
        <w:rPr>
          <w:sz w:val="20"/>
          <w:szCs w:val="20"/>
          <w:color w:val="auto"/>
        </w:rPr>
      </w:pPr>
      <w:r>
        <w:rPr>
          <w:rFonts w:ascii="Courier New" w:cs="Courier New" w:eastAsia="Courier New" w:hAnsi="Courier New"/>
          <w:sz w:val="18"/>
          <w:szCs w:val="18"/>
          <w:color w:val="auto"/>
        </w:rPr>
        <w:t>Mass Gravel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 Ginnes Industrial Maintenance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McDaniel Landfill, Inc.</w:t>
      </w:r>
    </w:p>
    <w:p>
      <w:pPr>
        <w:spacing w:after="0" w:line="238" w:lineRule="auto"/>
        <w:rPr>
          <w:sz w:val="20"/>
          <w:szCs w:val="20"/>
          <w:color w:val="auto"/>
        </w:rPr>
      </w:pPr>
      <w:r>
        <w:rPr>
          <w:rFonts w:ascii="Courier New" w:cs="Courier New" w:eastAsia="Courier New" w:hAnsi="Courier New"/>
          <w:sz w:val="18"/>
          <w:szCs w:val="18"/>
          <w:color w:val="auto"/>
        </w:rPr>
        <w:t>McGill Landfill, Inc.</w:t>
      </w:r>
    </w:p>
    <w:p>
      <w:pPr>
        <w:spacing w:after="0"/>
        <w:rPr>
          <w:sz w:val="20"/>
          <w:szCs w:val="20"/>
          <w:color w:val="auto"/>
        </w:rPr>
      </w:pPr>
      <w:r>
        <w:rPr>
          <w:rFonts w:ascii="Courier New" w:cs="Courier New" w:eastAsia="Courier New" w:hAnsi="Courier New"/>
          <w:sz w:val="18"/>
          <w:szCs w:val="18"/>
          <w:color w:val="auto"/>
        </w:rPr>
        <w:t>Meadowfill Landfill, Inc.</w:t>
      </w:r>
    </w:p>
    <w:p>
      <w:pPr>
        <w:spacing w:after="0" w:line="237" w:lineRule="auto"/>
        <w:rPr>
          <w:sz w:val="20"/>
          <w:szCs w:val="20"/>
          <w:color w:val="auto"/>
        </w:rPr>
      </w:pPr>
      <w:r>
        <w:rPr>
          <w:rFonts w:ascii="Courier New" w:cs="Courier New" w:eastAsia="Courier New" w:hAnsi="Courier New"/>
          <w:sz w:val="18"/>
          <w:szCs w:val="18"/>
          <w:color w:val="auto"/>
        </w:rPr>
        <w:t>Michigan Environs, Inc.</w:t>
      </w:r>
    </w:p>
    <w:p>
      <w:pPr>
        <w:spacing w:after="0" w:line="238" w:lineRule="auto"/>
        <w:rPr>
          <w:sz w:val="20"/>
          <w:szCs w:val="20"/>
          <w:color w:val="auto"/>
        </w:rPr>
      </w:pPr>
      <w:r>
        <w:rPr>
          <w:rFonts w:ascii="Courier New" w:cs="Courier New" w:eastAsia="Courier New" w:hAnsi="Courier New"/>
          <w:sz w:val="18"/>
          <w:szCs w:val="18"/>
          <w:color w:val="auto"/>
        </w:rPr>
        <w:t>Midwest One Land Corporation</w:t>
      </w:r>
    </w:p>
    <w:p>
      <w:pPr>
        <w:spacing w:after="0"/>
        <w:rPr>
          <w:sz w:val="20"/>
          <w:szCs w:val="20"/>
          <w:color w:val="auto"/>
        </w:rPr>
      </w:pPr>
      <w:r>
        <w:rPr>
          <w:rFonts w:ascii="Courier New" w:cs="Courier New" w:eastAsia="Courier New" w:hAnsi="Courier New"/>
          <w:sz w:val="18"/>
          <w:szCs w:val="18"/>
          <w:color w:val="auto"/>
        </w:rPr>
        <w:t>Modesto Garbage Co., Inc.</w:t>
      </w:r>
    </w:p>
    <w:p>
      <w:pPr>
        <w:spacing w:after="0" w:line="237" w:lineRule="auto"/>
        <w:rPr>
          <w:sz w:val="20"/>
          <w:szCs w:val="20"/>
          <w:color w:val="auto"/>
        </w:rPr>
      </w:pPr>
      <w:r>
        <w:rPr>
          <w:rFonts w:ascii="Courier New" w:cs="Courier New" w:eastAsia="Courier New" w:hAnsi="Courier New"/>
          <w:sz w:val="18"/>
          <w:szCs w:val="18"/>
          <w:color w:val="auto"/>
        </w:rPr>
        <w:t>Moor Refuse, Inc.</w:t>
      </w:r>
    </w:p>
    <w:p>
      <w:pPr>
        <w:spacing w:after="0"/>
        <w:rPr>
          <w:sz w:val="20"/>
          <w:szCs w:val="20"/>
          <w:color w:val="auto"/>
        </w:rPr>
      </w:pPr>
      <w:r>
        <w:rPr>
          <w:rFonts w:ascii="Courier New" w:cs="Courier New" w:eastAsia="Courier New" w:hAnsi="Courier New"/>
          <w:sz w:val="18"/>
          <w:szCs w:val="18"/>
          <w:color w:val="auto"/>
        </w:rPr>
        <w:t>Mountain Indemnity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England</w:t>
      </w:r>
    </w:p>
    <w:p>
      <w:pPr>
        <w:spacing w:after="0"/>
        <w:rPr>
          <w:sz w:val="20"/>
          <w:szCs w:val="20"/>
          <w:color w:val="auto"/>
        </w:rPr>
      </w:pPr>
      <w:r>
        <w:rPr>
          <w:rFonts w:ascii="Courier New" w:cs="Courier New" w:eastAsia="Courier New" w:hAnsi="Courier New"/>
          <w:sz w:val="18"/>
          <w:szCs w:val="18"/>
          <w:color w:val="auto"/>
        </w:rPr>
        <w:t>Oregon</w:t>
      </w:r>
    </w:p>
    <w:p>
      <w:pPr>
        <w:spacing w:after="0" w:line="237" w:lineRule="auto"/>
        <w:rPr>
          <w:sz w:val="20"/>
          <w:szCs w:val="20"/>
          <w:color w:val="auto"/>
        </w:rPr>
      </w:pPr>
      <w:r>
        <w:rPr>
          <w:rFonts w:ascii="Courier New" w:cs="Courier New" w:eastAsia="Courier New" w:hAnsi="Courier New"/>
          <w:sz w:val="18"/>
          <w:szCs w:val="18"/>
          <w:color w:val="auto"/>
        </w:rPr>
        <w:t>Massachusetts</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Canada</w:t>
      </w:r>
    </w:p>
    <w:p>
      <w:pPr>
        <w:spacing w:after="0"/>
        <w:rPr>
          <w:sz w:val="20"/>
          <w:szCs w:val="20"/>
          <w:color w:val="auto"/>
        </w:rPr>
      </w:pPr>
      <w:r>
        <w:rPr>
          <w:rFonts w:ascii="Courier New" w:cs="Courier New" w:eastAsia="Courier New" w:hAnsi="Courier New"/>
          <w:sz w:val="18"/>
          <w:szCs w:val="18"/>
          <w:color w:val="auto"/>
        </w:rPr>
        <w:t>North Dakota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Missouri</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British Columbia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Virginia</w:t>
      </w:r>
    </w:p>
    <w:p>
      <w:pPr>
        <w:spacing w:after="0" w:line="238" w:lineRule="auto"/>
        <w:rPr>
          <w:sz w:val="20"/>
          <w:szCs w:val="20"/>
          <w:color w:val="auto"/>
        </w:rPr>
      </w:pPr>
      <w:r>
        <w:rPr>
          <w:rFonts w:ascii="Courier New" w:cs="Courier New" w:eastAsia="Courier New" w:hAnsi="Courier New"/>
          <w:sz w:val="18"/>
          <w:szCs w:val="18"/>
          <w:color w:val="auto"/>
        </w:rPr>
        <w:t>Colorado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West Virginia</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West Virginia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New Hampshire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Illinois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line="238"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North Dakota</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Vermont</w:t>
      </w:r>
    </w:p>
    <w:p>
      <w:pPr>
        <w:sectPr>
          <w:pgSz w:w="11900" w:h="16838" w:orient="portrait"/>
          <w:cols w:equalWidth="0" w:num="2">
            <w:col w:w="7180" w:space="720"/>
            <w:col w:w="2540"/>
          </w:cols>
          <w:pgMar w:left="240" w:top="1122" w:right="1219" w:bottom="1440" w:gutter="0" w:footer="0" w:header="0"/>
          <w:type w:val="continuous"/>
        </w:sectPr>
      </w:pPr>
    </w:p>
    <w:bookmarkStart w:id="202" w:name="page203"/>
    <w:bookmarkEnd w:id="202"/>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Mountain Indemnity International Limited</w:t>
      </w:r>
    </w:p>
    <w:p>
      <w:pPr>
        <w:spacing w:after="0" w:line="238" w:lineRule="auto"/>
        <w:rPr>
          <w:sz w:val="20"/>
          <w:szCs w:val="20"/>
          <w:color w:val="auto"/>
        </w:rPr>
      </w:pPr>
      <w:r>
        <w:rPr>
          <w:rFonts w:ascii="Courier New" w:cs="Courier New" w:eastAsia="Courier New" w:hAnsi="Courier New"/>
          <w:sz w:val="18"/>
          <w:szCs w:val="18"/>
          <w:color w:val="auto"/>
        </w:rPr>
        <w:t>Mountainview Landfill, Inc. (MD)</w:t>
      </w:r>
    </w:p>
    <w:p>
      <w:pPr>
        <w:spacing w:after="0"/>
        <w:rPr>
          <w:sz w:val="20"/>
          <w:szCs w:val="20"/>
          <w:color w:val="auto"/>
        </w:rPr>
      </w:pPr>
      <w:r>
        <w:rPr>
          <w:rFonts w:ascii="Courier New" w:cs="Courier New" w:eastAsia="Courier New" w:hAnsi="Courier New"/>
          <w:sz w:val="18"/>
          <w:szCs w:val="18"/>
          <w:color w:val="auto"/>
        </w:rPr>
        <w:t>Mountainview Landfill, Inc. (UT)</w:t>
      </w:r>
    </w:p>
    <w:p>
      <w:pPr>
        <w:spacing w:after="0" w:line="237" w:lineRule="auto"/>
        <w:rPr>
          <w:sz w:val="20"/>
          <w:szCs w:val="20"/>
          <w:color w:val="auto"/>
        </w:rPr>
      </w:pPr>
      <w:r>
        <w:rPr>
          <w:rFonts w:ascii="Courier New" w:cs="Courier New" w:eastAsia="Courier New" w:hAnsi="Courier New"/>
          <w:sz w:val="18"/>
          <w:szCs w:val="18"/>
          <w:color w:val="auto"/>
        </w:rPr>
        <w:t>Nassau Landfill,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Guaranty Insurance Company of Vermont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England CR L.L.C.</w:t>
      </w:r>
    </w:p>
    <w:p>
      <w:pPr>
        <w:spacing w:after="0" w:line="238" w:lineRule="auto"/>
        <w:rPr>
          <w:sz w:val="20"/>
          <w:szCs w:val="20"/>
          <w:color w:val="auto"/>
        </w:rPr>
      </w:pPr>
      <w:r>
        <w:rPr>
          <w:rFonts w:ascii="Courier New" w:cs="Courier New" w:eastAsia="Courier New" w:hAnsi="Courier New"/>
          <w:sz w:val="18"/>
          <w:szCs w:val="18"/>
          <w:color w:val="auto"/>
        </w:rPr>
        <w:t>New Milford Landfill, L.L.C.</w:t>
      </w:r>
    </w:p>
    <w:p>
      <w:pPr>
        <w:spacing w:after="0"/>
        <w:rPr>
          <w:sz w:val="20"/>
          <w:szCs w:val="20"/>
          <w:color w:val="auto"/>
        </w:rPr>
      </w:pPr>
      <w:r>
        <w:rPr>
          <w:rFonts w:ascii="Courier New" w:cs="Courier New" w:eastAsia="Courier New" w:hAnsi="Courier New"/>
          <w:sz w:val="18"/>
          <w:szCs w:val="18"/>
          <w:color w:val="auto"/>
        </w:rPr>
        <w:t>New Orleans Landfill, L.L.C.</w:t>
      </w:r>
    </w:p>
    <w:p>
      <w:pPr>
        <w:spacing w:after="0" w:line="237" w:lineRule="auto"/>
        <w:rPr>
          <w:sz w:val="20"/>
          <w:szCs w:val="20"/>
          <w:color w:val="auto"/>
        </w:rPr>
      </w:pPr>
      <w:r>
        <w:rPr>
          <w:rFonts w:ascii="Courier New" w:cs="Courier New" w:eastAsia="Courier New" w:hAnsi="Courier New"/>
          <w:sz w:val="18"/>
          <w:szCs w:val="18"/>
          <w:color w:val="auto"/>
        </w:rPr>
        <w:t>NH/VT Energy Recovery Corporation</w:t>
      </w:r>
    </w:p>
    <w:p>
      <w:pPr>
        <w:spacing w:after="0" w:line="238" w:lineRule="auto"/>
        <w:rPr>
          <w:sz w:val="20"/>
          <w:szCs w:val="20"/>
          <w:color w:val="auto"/>
        </w:rPr>
      </w:pPr>
      <w:r>
        <w:rPr>
          <w:rFonts w:ascii="Courier New" w:cs="Courier New" w:eastAsia="Courier New" w:hAnsi="Courier New"/>
          <w:sz w:val="18"/>
          <w:szCs w:val="18"/>
          <w:color w:val="auto"/>
        </w:rPr>
        <w:t>Nichols Sanitation, Inc.</w:t>
      </w:r>
    </w:p>
    <w:p>
      <w:pPr>
        <w:spacing w:after="0"/>
        <w:rPr>
          <w:sz w:val="20"/>
          <w:szCs w:val="20"/>
          <w:color w:val="auto"/>
        </w:rPr>
      </w:pPr>
      <w:r>
        <w:rPr>
          <w:rFonts w:ascii="Courier New" w:cs="Courier New" w:eastAsia="Courier New" w:hAnsi="Courier New"/>
          <w:sz w:val="18"/>
          <w:szCs w:val="18"/>
          <w:color w:val="auto"/>
        </w:rPr>
        <w:t>North America One Land Company, L.L.C.</w:t>
      </w:r>
    </w:p>
    <w:p>
      <w:pPr>
        <w:spacing w:after="0" w:line="237" w:lineRule="auto"/>
        <w:rPr>
          <w:sz w:val="20"/>
          <w:szCs w:val="20"/>
          <w:color w:val="auto"/>
        </w:rPr>
      </w:pPr>
      <w:r>
        <w:rPr>
          <w:rFonts w:ascii="Courier New" w:cs="Courier New" w:eastAsia="Courier New" w:hAnsi="Courier New"/>
          <w:sz w:val="18"/>
          <w:szCs w:val="18"/>
          <w:color w:val="auto"/>
        </w:rPr>
        <w:t>Northwestern Landfill, Inc.</w:t>
      </w:r>
    </w:p>
    <w:p>
      <w:pPr>
        <w:spacing w:after="0"/>
        <w:rPr>
          <w:sz w:val="20"/>
          <w:szCs w:val="20"/>
          <w:color w:val="auto"/>
        </w:rPr>
      </w:pPr>
      <w:r>
        <w:rPr>
          <w:rFonts w:ascii="Courier New" w:cs="Courier New" w:eastAsia="Courier New" w:hAnsi="Courier New"/>
          <w:sz w:val="18"/>
          <w:szCs w:val="18"/>
          <w:color w:val="auto"/>
        </w:rPr>
        <w:t>Nu-Way Live Oak Reclamation, Inc.</w:t>
      </w:r>
    </w:p>
    <w:p>
      <w:pPr>
        <w:spacing w:after="0" w:line="237" w:lineRule="auto"/>
        <w:rPr>
          <w:sz w:val="20"/>
          <w:szCs w:val="20"/>
          <w:color w:val="auto"/>
        </w:rPr>
      </w:pPr>
      <w:r>
        <w:rPr>
          <w:rFonts w:ascii="Courier New" w:cs="Courier New" w:eastAsia="Courier New" w:hAnsi="Courier New"/>
          <w:sz w:val="18"/>
          <w:szCs w:val="18"/>
          <w:color w:val="auto"/>
        </w:rPr>
        <w:t>Oakridge Landfill, Inc.</w:t>
      </w:r>
    </w:p>
    <w:p>
      <w:pPr>
        <w:spacing w:after="0"/>
        <w:rPr>
          <w:sz w:val="20"/>
          <w:szCs w:val="20"/>
          <w:color w:val="auto"/>
        </w:rPr>
      </w:pPr>
      <w:r>
        <w:rPr>
          <w:rFonts w:ascii="Courier New" w:cs="Courier New" w:eastAsia="Courier New" w:hAnsi="Courier New"/>
          <w:sz w:val="18"/>
          <w:szCs w:val="18"/>
          <w:color w:val="auto"/>
        </w:rPr>
        <w:t>Oakwood Landfill, Inc.</w:t>
      </w:r>
    </w:p>
    <w:p>
      <w:pPr>
        <w:spacing w:after="0" w:line="237" w:lineRule="auto"/>
        <w:rPr>
          <w:sz w:val="20"/>
          <w:szCs w:val="20"/>
          <w:color w:val="auto"/>
        </w:rPr>
      </w:pPr>
      <w:r>
        <w:rPr>
          <w:rFonts w:ascii="Courier New" w:cs="Courier New" w:eastAsia="Courier New" w:hAnsi="Courier New"/>
          <w:sz w:val="18"/>
          <w:szCs w:val="18"/>
          <w:color w:val="auto"/>
        </w:rPr>
        <w:t>Okeechobee Landfill, Inc.</w:t>
      </w:r>
    </w:p>
    <w:p>
      <w:pPr>
        <w:spacing w:after="0" w:line="238" w:lineRule="auto"/>
        <w:rPr>
          <w:sz w:val="20"/>
          <w:szCs w:val="20"/>
          <w:color w:val="auto"/>
        </w:rPr>
      </w:pPr>
      <w:r>
        <w:rPr>
          <w:rFonts w:ascii="Courier New" w:cs="Courier New" w:eastAsia="Courier New" w:hAnsi="Courier New"/>
          <w:sz w:val="18"/>
          <w:szCs w:val="18"/>
          <w:color w:val="auto"/>
        </w:rPr>
        <w:t>Orange County Landfill, Inc.</w:t>
      </w:r>
    </w:p>
    <w:p>
      <w:pPr>
        <w:spacing w:after="0"/>
        <w:rPr>
          <w:sz w:val="20"/>
          <w:szCs w:val="20"/>
          <w:color w:val="auto"/>
        </w:rPr>
      </w:pPr>
      <w:r>
        <w:rPr>
          <w:rFonts w:ascii="Courier New" w:cs="Courier New" w:eastAsia="Courier New" w:hAnsi="Courier New"/>
          <w:sz w:val="18"/>
          <w:szCs w:val="18"/>
          <w:color w:val="auto"/>
        </w:rPr>
        <w:t>Ozark Ridge Landfill, Inc.</w:t>
      </w:r>
    </w:p>
    <w:p>
      <w:pPr>
        <w:spacing w:after="0" w:line="237" w:lineRule="auto"/>
        <w:rPr>
          <w:sz w:val="20"/>
          <w:szCs w:val="20"/>
          <w:color w:val="auto"/>
        </w:rPr>
      </w:pPr>
      <w:r>
        <w:rPr>
          <w:rFonts w:ascii="Courier New" w:cs="Courier New" w:eastAsia="Courier New" w:hAnsi="Courier New"/>
          <w:sz w:val="18"/>
          <w:szCs w:val="18"/>
          <w:color w:val="auto"/>
        </w:rPr>
        <w:t>P &amp; R Environmental Industries, L.L.C.</w:t>
      </w:r>
    </w:p>
    <w:p>
      <w:pPr>
        <w:spacing w:after="0"/>
        <w:rPr>
          <w:sz w:val="20"/>
          <w:szCs w:val="20"/>
          <w:color w:val="auto"/>
        </w:rPr>
      </w:pPr>
      <w:r>
        <w:rPr>
          <w:rFonts w:ascii="Courier New" w:cs="Courier New" w:eastAsia="Courier New" w:hAnsi="Courier New"/>
          <w:sz w:val="18"/>
          <w:szCs w:val="18"/>
          <w:color w:val="auto"/>
        </w:rPr>
        <w:t>Pacific Waste Management L.L.C.</w:t>
      </w:r>
    </w:p>
    <w:p>
      <w:pPr>
        <w:spacing w:after="0" w:line="237" w:lineRule="auto"/>
        <w:rPr>
          <w:sz w:val="20"/>
          <w:szCs w:val="20"/>
          <w:color w:val="auto"/>
        </w:rPr>
      </w:pPr>
      <w:r>
        <w:rPr>
          <w:rFonts w:ascii="Courier New" w:cs="Courier New" w:eastAsia="Courier New" w:hAnsi="Courier New"/>
          <w:sz w:val="18"/>
          <w:szCs w:val="18"/>
          <w:color w:val="auto"/>
        </w:rPr>
        <w:t>Palo Alto Sanitation Company</w:t>
      </w:r>
    </w:p>
    <w:p>
      <w:pPr>
        <w:spacing w:after="0"/>
        <w:rPr>
          <w:sz w:val="20"/>
          <w:szCs w:val="20"/>
          <w:color w:val="auto"/>
        </w:rPr>
      </w:pPr>
      <w:r>
        <w:rPr>
          <w:rFonts w:ascii="Courier New" w:cs="Courier New" w:eastAsia="Courier New" w:hAnsi="Courier New"/>
          <w:sz w:val="18"/>
          <w:szCs w:val="18"/>
          <w:color w:val="auto"/>
        </w:rPr>
        <w:t>Paper Recycling International, L.P.</w:t>
      </w:r>
    </w:p>
    <w:p>
      <w:pPr>
        <w:spacing w:after="0" w:line="237" w:lineRule="auto"/>
        <w:rPr>
          <w:sz w:val="20"/>
          <w:szCs w:val="20"/>
          <w:color w:val="auto"/>
        </w:rPr>
      </w:pPr>
      <w:r>
        <w:rPr>
          <w:rFonts w:ascii="Courier New" w:cs="Courier New" w:eastAsia="Courier New" w:hAnsi="Courier New"/>
          <w:sz w:val="18"/>
          <w:szCs w:val="18"/>
          <w:color w:val="auto"/>
        </w:rPr>
        <w:t>Pappy, Inc.</w:t>
      </w:r>
    </w:p>
    <w:p>
      <w:pPr>
        <w:spacing w:after="0" w:line="238" w:lineRule="auto"/>
        <w:rPr>
          <w:sz w:val="20"/>
          <w:szCs w:val="20"/>
          <w:color w:val="auto"/>
        </w:rPr>
      </w:pPr>
      <w:r>
        <w:rPr>
          <w:rFonts w:ascii="Courier New" w:cs="Courier New" w:eastAsia="Courier New" w:hAnsi="Courier New"/>
          <w:sz w:val="18"/>
          <w:szCs w:val="18"/>
          <w:color w:val="auto"/>
        </w:rPr>
        <w:t>Peltz H.C., LLC</w:t>
      </w:r>
    </w:p>
    <w:p>
      <w:pPr>
        <w:spacing w:after="0"/>
        <w:rPr>
          <w:sz w:val="20"/>
          <w:szCs w:val="20"/>
          <w:color w:val="auto"/>
        </w:rPr>
      </w:pPr>
      <w:r>
        <w:rPr>
          <w:rFonts w:ascii="Courier New" w:cs="Courier New" w:eastAsia="Courier New" w:hAnsi="Courier New"/>
          <w:sz w:val="18"/>
          <w:szCs w:val="18"/>
          <w:color w:val="auto"/>
        </w:rPr>
        <w:t>Pen-Rob, Inc.</w:t>
      </w:r>
    </w:p>
    <w:p>
      <w:pPr>
        <w:spacing w:after="0" w:line="237" w:lineRule="auto"/>
        <w:rPr>
          <w:sz w:val="20"/>
          <w:szCs w:val="20"/>
          <w:color w:val="auto"/>
        </w:rPr>
      </w:pPr>
      <w:r>
        <w:rPr>
          <w:rFonts w:ascii="Courier New" w:cs="Courier New" w:eastAsia="Courier New" w:hAnsi="Courier New"/>
          <w:sz w:val="18"/>
          <w:szCs w:val="18"/>
          <w:color w:val="auto"/>
        </w:rPr>
        <w:t>Penuelas Valley Landfill, Inc.</w:t>
      </w:r>
    </w:p>
    <w:p>
      <w:pPr>
        <w:spacing w:after="0"/>
        <w:rPr>
          <w:sz w:val="20"/>
          <w:szCs w:val="20"/>
          <w:color w:val="auto"/>
        </w:rPr>
      </w:pPr>
      <w:r>
        <w:rPr>
          <w:rFonts w:ascii="Courier New" w:cs="Courier New" w:eastAsia="Courier New" w:hAnsi="Courier New"/>
          <w:sz w:val="18"/>
          <w:szCs w:val="18"/>
          <w:color w:val="auto"/>
        </w:rPr>
        <w:t>People's Landfill, Inc.</w:t>
      </w:r>
    </w:p>
    <w:p>
      <w:pPr>
        <w:spacing w:after="0" w:line="237" w:lineRule="auto"/>
        <w:rPr>
          <w:sz w:val="20"/>
          <w:szCs w:val="20"/>
          <w:color w:val="auto"/>
        </w:rPr>
      </w:pPr>
      <w:r>
        <w:rPr>
          <w:rFonts w:ascii="Courier New" w:cs="Courier New" w:eastAsia="Courier New" w:hAnsi="Courier New"/>
          <w:sz w:val="18"/>
          <w:szCs w:val="18"/>
          <w:color w:val="auto"/>
        </w:rPr>
        <w:t>Peterson Demolition, Inc.</w:t>
      </w:r>
    </w:p>
    <w:p>
      <w:pPr>
        <w:spacing w:after="0"/>
        <w:rPr>
          <w:sz w:val="20"/>
          <w:szCs w:val="20"/>
          <w:color w:val="auto"/>
        </w:rPr>
      </w:pPr>
      <w:r>
        <w:rPr>
          <w:rFonts w:ascii="Courier New" w:cs="Courier New" w:eastAsia="Courier New" w:hAnsi="Courier New"/>
          <w:sz w:val="18"/>
          <w:szCs w:val="18"/>
          <w:color w:val="auto"/>
        </w:rPr>
        <w:t>Phoenix Resources, Inc.</w:t>
      </w:r>
    </w:p>
    <w:p>
      <w:pPr>
        <w:spacing w:after="0" w:line="237" w:lineRule="auto"/>
        <w:rPr>
          <w:sz w:val="20"/>
          <w:szCs w:val="20"/>
          <w:color w:val="auto"/>
        </w:rPr>
      </w:pPr>
      <w:r>
        <w:rPr>
          <w:rFonts w:ascii="Courier New" w:cs="Courier New" w:eastAsia="Courier New" w:hAnsi="Courier New"/>
          <w:sz w:val="18"/>
          <w:szCs w:val="18"/>
          <w:color w:val="auto"/>
        </w:rPr>
        <w:t>Pine Grove Landfill, Inc. (DE)</w:t>
      </w:r>
    </w:p>
    <w:p>
      <w:pPr>
        <w:spacing w:after="0"/>
        <w:rPr>
          <w:sz w:val="20"/>
          <w:szCs w:val="20"/>
          <w:color w:val="auto"/>
        </w:rPr>
      </w:pPr>
      <w:r>
        <w:rPr>
          <w:rFonts w:ascii="Courier New" w:cs="Courier New" w:eastAsia="Courier New" w:hAnsi="Courier New"/>
          <w:sz w:val="18"/>
          <w:szCs w:val="18"/>
          <w:color w:val="auto"/>
        </w:rPr>
        <w:t>Pine Grove Landfill, Inc. (PA)</w:t>
      </w:r>
    </w:p>
    <w:p>
      <w:pPr>
        <w:spacing w:after="0" w:line="237" w:lineRule="auto"/>
        <w:rPr>
          <w:sz w:val="20"/>
          <w:szCs w:val="20"/>
          <w:color w:val="auto"/>
        </w:rPr>
      </w:pPr>
      <w:r>
        <w:rPr>
          <w:rFonts w:ascii="Courier New" w:cs="Courier New" w:eastAsia="Courier New" w:hAnsi="Courier New"/>
          <w:sz w:val="18"/>
          <w:szCs w:val="18"/>
          <w:color w:val="auto"/>
        </w:rPr>
        <w:t>Pine Ridge Landfill, Inc.</w:t>
      </w:r>
    </w:p>
    <w:p>
      <w:pPr>
        <w:spacing w:after="0" w:line="238" w:lineRule="auto"/>
        <w:rPr>
          <w:sz w:val="20"/>
          <w:szCs w:val="20"/>
          <w:color w:val="auto"/>
        </w:rPr>
      </w:pPr>
      <w:r>
        <w:rPr>
          <w:rFonts w:ascii="Courier New" w:cs="Courier New" w:eastAsia="Courier New" w:hAnsi="Courier New"/>
          <w:sz w:val="18"/>
          <w:szCs w:val="18"/>
          <w:color w:val="auto"/>
        </w:rPr>
        <w:t>Pine Tree Acres, Inc.</w:t>
      </w:r>
    </w:p>
    <w:p>
      <w:pPr>
        <w:spacing w:after="0"/>
        <w:rPr>
          <w:sz w:val="20"/>
          <w:szCs w:val="20"/>
          <w:color w:val="auto"/>
        </w:rPr>
      </w:pPr>
      <w:r>
        <w:rPr>
          <w:rFonts w:ascii="Courier New" w:cs="Courier New" w:eastAsia="Courier New" w:hAnsi="Courier New"/>
          <w:sz w:val="18"/>
          <w:szCs w:val="18"/>
          <w:color w:val="auto"/>
        </w:rPr>
        <w:t>Plantation Oaks Landfill, Inc.</w:t>
      </w:r>
    </w:p>
    <w:p>
      <w:pPr>
        <w:spacing w:after="0" w:line="237" w:lineRule="auto"/>
        <w:rPr>
          <w:sz w:val="20"/>
          <w:szCs w:val="20"/>
          <w:color w:val="auto"/>
        </w:rPr>
      </w:pPr>
      <w:r>
        <w:rPr>
          <w:rFonts w:ascii="Courier New" w:cs="Courier New" w:eastAsia="Courier New" w:hAnsi="Courier New"/>
          <w:sz w:val="18"/>
          <w:szCs w:val="18"/>
          <w:color w:val="auto"/>
        </w:rPr>
        <w:t>PPP Corporation</w:t>
      </w:r>
    </w:p>
    <w:p>
      <w:pPr>
        <w:spacing w:after="0"/>
        <w:rPr>
          <w:sz w:val="20"/>
          <w:szCs w:val="20"/>
          <w:color w:val="auto"/>
        </w:rPr>
      </w:pPr>
      <w:r>
        <w:rPr>
          <w:rFonts w:ascii="Courier New" w:cs="Courier New" w:eastAsia="Courier New" w:hAnsi="Courier New"/>
          <w:sz w:val="18"/>
          <w:szCs w:val="18"/>
          <w:color w:val="auto"/>
        </w:rPr>
        <w:t>Prairie Bluff Landfill, Inc.</w:t>
      </w:r>
    </w:p>
    <w:p>
      <w:pPr>
        <w:spacing w:after="0" w:line="237" w:lineRule="auto"/>
        <w:rPr>
          <w:sz w:val="20"/>
          <w:szCs w:val="20"/>
          <w:color w:val="auto"/>
        </w:rPr>
      </w:pPr>
      <w:r>
        <w:rPr>
          <w:rFonts w:ascii="Courier New" w:cs="Courier New" w:eastAsia="Courier New" w:hAnsi="Courier New"/>
          <w:sz w:val="18"/>
          <w:szCs w:val="18"/>
          <w:color w:val="auto"/>
        </w:rPr>
        <w:t>Pulaski Grading, L.L.C.</w:t>
      </w:r>
    </w:p>
    <w:p>
      <w:pPr>
        <w:spacing w:after="0"/>
        <w:rPr>
          <w:sz w:val="20"/>
          <w:szCs w:val="20"/>
          <w:color w:val="auto"/>
        </w:rPr>
      </w:pPr>
      <w:r>
        <w:rPr>
          <w:rFonts w:ascii="Courier New" w:cs="Courier New" w:eastAsia="Courier New" w:hAnsi="Courier New"/>
          <w:sz w:val="18"/>
          <w:szCs w:val="18"/>
          <w:color w:val="auto"/>
        </w:rPr>
        <w:t>Pullman-Hoffman, Inc.</w:t>
      </w:r>
    </w:p>
    <w:p>
      <w:pPr>
        <w:spacing w:after="0" w:line="237" w:lineRule="auto"/>
        <w:rPr>
          <w:sz w:val="20"/>
          <w:szCs w:val="20"/>
          <w:color w:val="auto"/>
        </w:rPr>
      </w:pPr>
      <w:r>
        <w:rPr>
          <w:rFonts w:ascii="Courier New" w:cs="Courier New" w:eastAsia="Courier New" w:hAnsi="Courier New"/>
          <w:sz w:val="18"/>
          <w:szCs w:val="18"/>
          <w:color w:val="auto"/>
        </w:rPr>
        <w:t>Quail Hollow Landfill, Inc.</w:t>
      </w:r>
    </w:p>
    <w:p>
      <w:pPr>
        <w:spacing w:after="0" w:line="238" w:lineRule="auto"/>
        <w:rPr>
          <w:sz w:val="20"/>
          <w:szCs w:val="20"/>
          <w:color w:val="auto"/>
        </w:rPr>
      </w:pPr>
      <w:r>
        <w:rPr>
          <w:rFonts w:ascii="Courier New" w:cs="Courier New" w:eastAsia="Courier New" w:hAnsi="Courier New"/>
          <w:sz w:val="18"/>
          <w:szCs w:val="18"/>
          <w:color w:val="auto"/>
        </w:rPr>
        <w:t>Questquill Limited</w:t>
      </w:r>
    </w:p>
    <w:p>
      <w:pPr>
        <w:spacing w:after="0"/>
        <w:rPr>
          <w:sz w:val="20"/>
          <w:szCs w:val="20"/>
          <w:color w:val="auto"/>
        </w:rPr>
      </w:pPr>
      <w:r>
        <w:rPr>
          <w:rFonts w:ascii="Courier New" w:cs="Courier New" w:eastAsia="Courier New" w:hAnsi="Courier New"/>
          <w:sz w:val="18"/>
          <w:szCs w:val="18"/>
          <w:color w:val="auto"/>
        </w:rPr>
        <w:t>R &amp; B Landfill, Inc.</w:t>
      </w:r>
    </w:p>
    <w:p>
      <w:pPr>
        <w:spacing w:after="0" w:line="237" w:lineRule="auto"/>
        <w:rPr>
          <w:sz w:val="20"/>
          <w:szCs w:val="20"/>
          <w:color w:val="auto"/>
        </w:rPr>
      </w:pPr>
      <w:r>
        <w:rPr>
          <w:rFonts w:ascii="Courier New" w:cs="Courier New" w:eastAsia="Courier New" w:hAnsi="Courier New"/>
          <w:sz w:val="18"/>
          <w:szCs w:val="18"/>
          <w:color w:val="auto"/>
        </w:rPr>
        <w:t>RAA Trucking, LLC</w:t>
      </w:r>
    </w:p>
    <w:p>
      <w:pPr>
        <w:spacing w:after="0"/>
        <w:rPr>
          <w:sz w:val="20"/>
          <w:szCs w:val="20"/>
          <w:color w:val="auto"/>
        </w:rPr>
      </w:pPr>
      <w:r>
        <w:rPr>
          <w:rFonts w:ascii="Courier New" w:cs="Courier New" w:eastAsia="Courier New" w:hAnsi="Courier New"/>
          <w:sz w:val="18"/>
          <w:szCs w:val="18"/>
          <w:color w:val="auto"/>
        </w:rPr>
        <w:t>Rail Cycle North Ltd.</w:t>
      </w:r>
    </w:p>
    <w:p>
      <w:pPr>
        <w:spacing w:after="0" w:line="237" w:lineRule="auto"/>
        <w:rPr>
          <w:sz w:val="20"/>
          <w:szCs w:val="20"/>
          <w:color w:val="auto"/>
        </w:rPr>
      </w:pPr>
      <w:r>
        <w:rPr>
          <w:rFonts w:ascii="Courier New" w:cs="Courier New" w:eastAsia="Courier New" w:hAnsi="Courier New"/>
          <w:sz w:val="18"/>
          <w:szCs w:val="18"/>
          <w:color w:val="auto"/>
        </w:rPr>
        <w:t>RCI Hudson, Inc.</w:t>
      </w:r>
    </w:p>
    <w:p>
      <w:pPr>
        <w:spacing w:after="0"/>
        <w:rPr>
          <w:sz w:val="20"/>
          <w:szCs w:val="20"/>
          <w:color w:val="auto"/>
        </w:rPr>
      </w:pPr>
      <w:r>
        <w:rPr>
          <w:rFonts w:ascii="Courier New" w:cs="Courier New" w:eastAsia="Courier New" w:hAnsi="Courier New"/>
          <w:sz w:val="18"/>
          <w:szCs w:val="18"/>
          <w:color w:val="auto"/>
        </w:rPr>
        <w:t>RE-CY-CO,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Ireland</w:t>
      </w:r>
    </w:p>
    <w:p>
      <w:pPr>
        <w:spacing w:after="0" w:line="238"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Utah</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Vermont</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New Hampshire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Arkansas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Wisconsin</w:t>
      </w:r>
    </w:p>
    <w:p>
      <w:pPr>
        <w:spacing w:after="0"/>
        <w:rPr>
          <w:sz w:val="20"/>
          <w:szCs w:val="20"/>
          <w:color w:val="auto"/>
        </w:rPr>
      </w:pPr>
      <w:r>
        <w:rPr>
          <w:rFonts w:ascii="Courier New" w:cs="Courier New" w:eastAsia="Courier New" w:hAnsi="Courier New"/>
          <w:sz w:val="18"/>
          <w:szCs w:val="18"/>
          <w:color w:val="auto"/>
        </w:rPr>
        <w:t>Arizona</w:t>
      </w:r>
    </w:p>
    <w:p>
      <w:pPr>
        <w:spacing w:after="0" w:line="237" w:lineRule="auto"/>
        <w:rPr>
          <w:sz w:val="20"/>
          <w:szCs w:val="20"/>
          <w:color w:val="auto"/>
        </w:rPr>
      </w:pPr>
      <w:r>
        <w:rPr>
          <w:rFonts w:ascii="Courier New" w:cs="Courier New" w:eastAsia="Courier New" w:hAnsi="Courier New"/>
          <w:sz w:val="18"/>
          <w:szCs w:val="18"/>
          <w:color w:val="auto"/>
        </w:rPr>
        <w:t>Puerto Rico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Georgia</w:t>
      </w:r>
    </w:p>
    <w:p>
      <w:pPr>
        <w:spacing w:after="0" w:line="238" w:lineRule="auto"/>
        <w:rPr>
          <w:sz w:val="20"/>
          <w:szCs w:val="20"/>
          <w:color w:val="auto"/>
        </w:rPr>
      </w:pPr>
      <w:r>
        <w:rPr>
          <w:rFonts w:ascii="Courier New" w:cs="Courier New" w:eastAsia="Courier New" w:hAnsi="Courier New"/>
          <w:sz w:val="18"/>
          <w:szCs w:val="18"/>
          <w:color w:val="auto"/>
        </w:rPr>
        <w:t>Wisconsin</w:t>
      </w:r>
    </w:p>
    <w:p>
      <w:pPr>
        <w:spacing w:after="0"/>
        <w:rPr>
          <w:sz w:val="20"/>
          <w:szCs w:val="20"/>
          <w:color w:val="auto"/>
        </w:rPr>
      </w:pPr>
      <w:r>
        <w:rPr>
          <w:rFonts w:ascii="Courier New" w:cs="Courier New" w:eastAsia="Courier New" w:hAnsi="Courier New"/>
          <w:sz w:val="18"/>
          <w:szCs w:val="18"/>
          <w:color w:val="auto"/>
        </w:rPr>
        <w:t>Ontario</w:t>
      </w:r>
    </w:p>
    <w:p>
      <w:pPr>
        <w:spacing w:after="0" w:line="237" w:lineRule="auto"/>
        <w:rPr>
          <w:sz w:val="20"/>
          <w:szCs w:val="20"/>
          <w:color w:val="auto"/>
        </w:rPr>
      </w:pPr>
      <w:r>
        <w:rPr>
          <w:rFonts w:ascii="Courier New" w:cs="Courier New" w:eastAsia="Courier New" w:hAnsi="Courier New"/>
          <w:sz w:val="18"/>
          <w:szCs w:val="18"/>
          <w:color w:val="auto"/>
        </w:rPr>
        <w:t>Massachusetts</w:t>
      </w:r>
    </w:p>
    <w:p>
      <w:pPr>
        <w:spacing w:after="0" w:line="238" w:lineRule="auto"/>
        <w:rPr>
          <w:sz w:val="20"/>
          <w:szCs w:val="20"/>
          <w:color w:val="auto"/>
        </w:rPr>
      </w:pPr>
      <w:r>
        <w:rPr>
          <w:rFonts w:ascii="Courier New" w:cs="Courier New" w:eastAsia="Courier New" w:hAnsi="Courier New"/>
          <w:sz w:val="18"/>
          <w:szCs w:val="18"/>
          <w:color w:val="auto"/>
        </w:rPr>
        <w:t>Minnesota</w:t>
      </w:r>
    </w:p>
    <w:p>
      <w:pPr>
        <w:sectPr>
          <w:pgSz w:w="11900" w:h="16838" w:orient="portrait"/>
          <w:cols w:equalWidth="0" w:num="2">
            <w:col w:w="7180" w:space="720"/>
            <w:col w:w="2540"/>
          </w:cols>
          <w:pgMar w:left="240" w:top="1122" w:right="1219" w:bottom="1440" w:gutter="0" w:footer="0" w:header="0"/>
          <w:type w:val="continuous"/>
        </w:sectPr>
      </w:pPr>
    </w:p>
    <w:bookmarkStart w:id="203" w:name="page204"/>
    <w:bookmarkEnd w:id="203"/>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Recycle America Alliance, L.L.C.</w:t>
      </w:r>
    </w:p>
    <w:p>
      <w:pPr>
        <w:spacing w:after="0" w:line="238" w:lineRule="auto"/>
        <w:rPr>
          <w:sz w:val="20"/>
          <w:szCs w:val="20"/>
          <w:color w:val="auto"/>
        </w:rPr>
      </w:pPr>
      <w:r>
        <w:rPr>
          <w:rFonts w:ascii="Courier New" w:cs="Courier New" w:eastAsia="Courier New" w:hAnsi="Courier New"/>
          <w:sz w:val="18"/>
          <w:szCs w:val="18"/>
          <w:color w:val="auto"/>
        </w:rPr>
        <w:t>Recycle America Co., L.L.C.</w:t>
      </w:r>
    </w:p>
    <w:p>
      <w:pPr>
        <w:spacing w:after="0"/>
        <w:rPr>
          <w:sz w:val="20"/>
          <w:szCs w:val="20"/>
          <w:color w:val="auto"/>
        </w:rPr>
      </w:pPr>
      <w:r>
        <w:rPr>
          <w:rFonts w:ascii="Courier New" w:cs="Courier New" w:eastAsia="Courier New" w:hAnsi="Courier New"/>
          <w:sz w:val="18"/>
          <w:szCs w:val="18"/>
          <w:color w:val="auto"/>
        </w:rPr>
        <w:t>Recycle America Holdings, Inc.</w:t>
      </w:r>
    </w:p>
    <w:p>
      <w:pPr>
        <w:spacing w:after="0" w:line="237" w:lineRule="auto"/>
        <w:rPr>
          <w:sz w:val="20"/>
          <w:szCs w:val="20"/>
          <w:color w:val="auto"/>
        </w:rPr>
      </w:pPr>
      <w:r>
        <w:rPr>
          <w:rFonts w:ascii="Courier New" w:cs="Courier New" w:eastAsia="Courier New" w:hAnsi="Courier New"/>
          <w:sz w:val="18"/>
          <w:szCs w:val="18"/>
          <w:color w:val="auto"/>
        </w:rPr>
        <w:t>Redwood Landfill, Inc.</w:t>
      </w:r>
    </w:p>
    <w:p>
      <w:pPr>
        <w:spacing w:after="0" w:line="238" w:lineRule="auto"/>
        <w:rPr>
          <w:sz w:val="20"/>
          <w:szCs w:val="20"/>
          <w:color w:val="auto"/>
        </w:rPr>
      </w:pPr>
      <w:r>
        <w:rPr>
          <w:rFonts w:ascii="Courier New" w:cs="Courier New" w:eastAsia="Courier New" w:hAnsi="Courier New"/>
          <w:sz w:val="18"/>
          <w:szCs w:val="18"/>
          <w:color w:val="auto"/>
        </w:rPr>
        <w:t>Refuse Services, Inc.</w:t>
      </w:r>
    </w:p>
    <w:p>
      <w:pPr>
        <w:spacing w:after="0"/>
        <w:rPr>
          <w:sz w:val="20"/>
          <w:szCs w:val="20"/>
          <w:color w:val="auto"/>
        </w:rPr>
      </w:pPr>
      <w:r>
        <w:rPr>
          <w:rFonts w:ascii="Courier New" w:cs="Courier New" w:eastAsia="Courier New" w:hAnsi="Courier New"/>
          <w:sz w:val="18"/>
          <w:szCs w:val="18"/>
          <w:color w:val="auto"/>
        </w:rPr>
        <w:t>Refuse, Inc.</w:t>
      </w:r>
    </w:p>
    <w:p>
      <w:pPr>
        <w:spacing w:after="0" w:line="237" w:lineRule="auto"/>
        <w:rPr>
          <w:sz w:val="20"/>
          <w:szCs w:val="20"/>
          <w:color w:val="auto"/>
        </w:rPr>
      </w:pPr>
      <w:r>
        <w:rPr>
          <w:rFonts w:ascii="Courier New" w:cs="Courier New" w:eastAsia="Courier New" w:hAnsi="Courier New"/>
          <w:sz w:val="18"/>
          <w:szCs w:val="18"/>
          <w:color w:val="auto"/>
        </w:rPr>
        <w:t>REI Holdings Inc.</w:t>
      </w:r>
    </w:p>
    <w:p>
      <w:pPr>
        <w:spacing w:after="0"/>
        <w:rPr>
          <w:sz w:val="20"/>
          <w:szCs w:val="20"/>
          <w:color w:val="auto"/>
        </w:rPr>
      </w:pPr>
      <w:r>
        <w:rPr>
          <w:rFonts w:ascii="Courier New" w:cs="Courier New" w:eastAsia="Courier New" w:hAnsi="Courier New"/>
          <w:sz w:val="18"/>
          <w:szCs w:val="18"/>
          <w:color w:val="auto"/>
        </w:rPr>
        <w:t>Reliable Landfill, L.L.C.</w:t>
      </w:r>
    </w:p>
    <w:p>
      <w:pPr>
        <w:spacing w:after="0" w:line="237" w:lineRule="auto"/>
        <w:rPr>
          <w:sz w:val="20"/>
          <w:szCs w:val="20"/>
          <w:color w:val="auto"/>
        </w:rPr>
      </w:pPr>
      <w:r>
        <w:rPr>
          <w:rFonts w:ascii="Courier New" w:cs="Courier New" w:eastAsia="Courier New" w:hAnsi="Courier New"/>
          <w:sz w:val="18"/>
          <w:szCs w:val="18"/>
          <w:color w:val="auto"/>
        </w:rPr>
        <w:t>Remote Landfill Services, Inc.</w:t>
      </w:r>
    </w:p>
    <w:p>
      <w:pPr>
        <w:spacing w:after="0"/>
        <w:rPr>
          <w:sz w:val="20"/>
          <w:szCs w:val="20"/>
          <w:color w:val="auto"/>
        </w:rPr>
      </w:pPr>
      <w:r>
        <w:rPr>
          <w:rFonts w:ascii="Courier New" w:cs="Courier New" w:eastAsia="Courier New" w:hAnsi="Courier New"/>
          <w:sz w:val="18"/>
          <w:szCs w:val="18"/>
          <w:color w:val="auto"/>
        </w:rPr>
        <w:t>Reno Disposal Co.</w:t>
      </w:r>
    </w:p>
    <w:p>
      <w:pPr>
        <w:spacing w:after="0" w:line="237" w:lineRule="auto"/>
        <w:rPr>
          <w:sz w:val="20"/>
          <w:szCs w:val="20"/>
          <w:color w:val="auto"/>
        </w:rPr>
      </w:pPr>
      <w:r>
        <w:rPr>
          <w:rFonts w:ascii="Courier New" w:cs="Courier New" w:eastAsia="Courier New" w:hAnsi="Courier New"/>
          <w:sz w:val="18"/>
          <w:szCs w:val="18"/>
          <w:color w:val="auto"/>
        </w:rPr>
        <w:t>Resco Holdings L.L.C.</w:t>
      </w:r>
    </w:p>
    <w:p>
      <w:pPr>
        <w:spacing w:after="0" w:line="238" w:lineRule="auto"/>
        <w:rPr>
          <w:sz w:val="20"/>
          <w:szCs w:val="20"/>
          <w:color w:val="auto"/>
        </w:rPr>
      </w:pPr>
      <w:r>
        <w:rPr>
          <w:rFonts w:ascii="Courier New" w:cs="Courier New" w:eastAsia="Courier New" w:hAnsi="Courier New"/>
          <w:sz w:val="18"/>
          <w:szCs w:val="18"/>
          <w:color w:val="auto"/>
        </w:rPr>
        <w:t>Resource Control Composting, Inc.</w:t>
      </w:r>
    </w:p>
    <w:p>
      <w:pPr>
        <w:spacing w:after="0"/>
        <w:rPr>
          <w:sz w:val="20"/>
          <w:szCs w:val="20"/>
          <w:color w:val="auto"/>
        </w:rPr>
      </w:pPr>
      <w:r>
        <w:rPr>
          <w:rFonts w:ascii="Courier New" w:cs="Courier New" w:eastAsia="Courier New" w:hAnsi="Courier New"/>
          <w:sz w:val="18"/>
          <w:szCs w:val="18"/>
          <w:color w:val="auto"/>
        </w:rPr>
        <w:t>Resource Control, Inc.</w:t>
      </w:r>
    </w:p>
    <w:p>
      <w:pPr>
        <w:spacing w:after="0" w:line="237" w:lineRule="auto"/>
        <w:rPr>
          <w:sz w:val="20"/>
          <w:szCs w:val="20"/>
          <w:color w:val="auto"/>
        </w:rPr>
      </w:pPr>
      <w:r>
        <w:rPr>
          <w:rFonts w:ascii="Courier New" w:cs="Courier New" w:eastAsia="Courier New" w:hAnsi="Courier New"/>
          <w:sz w:val="18"/>
          <w:szCs w:val="18"/>
          <w:color w:val="auto"/>
        </w:rPr>
        <w:t>Reuter Recycling of Florida, Inc.</w:t>
      </w:r>
    </w:p>
    <w:p>
      <w:pPr>
        <w:spacing w:after="0"/>
        <w:rPr>
          <w:sz w:val="20"/>
          <w:szCs w:val="20"/>
          <w:color w:val="auto"/>
        </w:rPr>
      </w:pPr>
      <w:r>
        <w:rPr>
          <w:rFonts w:ascii="Courier New" w:cs="Courier New" w:eastAsia="Courier New" w:hAnsi="Courier New"/>
          <w:sz w:val="18"/>
          <w:szCs w:val="18"/>
          <w:color w:val="auto"/>
        </w:rPr>
        <w:t>Richland County Landfill,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Ridge Generating Station Limited Partnership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Riegel Ridge, LLC</w:t>
      </w:r>
    </w:p>
    <w:p>
      <w:pPr>
        <w:spacing w:after="0" w:line="238" w:lineRule="auto"/>
        <w:rPr>
          <w:sz w:val="20"/>
          <w:szCs w:val="20"/>
          <w:color w:val="auto"/>
        </w:rPr>
      </w:pPr>
      <w:r>
        <w:rPr>
          <w:rFonts w:ascii="Courier New" w:cs="Courier New" w:eastAsia="Courier New" w:hAnsi="Courier New"/>
          <w:sz w:val="18"/>
          <w:szCs w:val="18"/>
          <w:color w:val="auto"/>
        </w:rPr>
        <w:t>Riverbend Landfill Co.</w:t>
      </w:r>
    </w:p>
    <w:p>
      <w:pPr>
        <w:spacing w:after="0"/>
        <w:rPr>
          <w:sz w:val="20"/>
          <w:szCs w:val="20"/>
          <w:color w:val="auto"/>
        </w:rPr>
      </w:pPr>
      <w:r>
        <w:rPr>
          <w:rFonts w:ascii="Courier New" w:cs="Courier New" w:eastAsia="Courier New" w:hAnsi="Courier New"/>
          <w:sz w:val="18"/>
          <w:szCs w:val="18"/>
          <w:color w:val="auto"/>
        </w:rPr>
        <w:t>Rolling Meadows Landfill, Inc.</w:t>
      </w:r>
    </w:p>
    <w:p>
      <w:pPr>
        <w:spacing w:after="0" w:line="237" w:lineRule="auto"/>
        <w:rPr>
          <w:sz w:val="20"/>
          <w:szCs w:val="20"/>
          <w:color w:val="auto"/>
        </w:rPr>
      </w:pPr>
      <w:r>
        <w:rPr>
          <w:rFonts w:ascii="Courier New" w:cs="Courier New" w:eastAsia="Courier New" w:hAnsi="Courier New"/>
          <w:sz w:val="18"/>
          <w:szCs w:val="18"/>
          <w:color w:val="auto"/>
        </w:rPr>
        <w:t>RRT Design &amp; Construction Corp.</w:t>
      </w:r>
    </w:p>
    <w:p>
      <w:pPr>
        <w:spacing w:after="0" w:line="238" w:lineRule="auto"/>
        <w:rPr>
          <w:sz w:val="20"/>
          <w:szCs w:val="20"/>
          <w:color w:val="auto"/>
        </w:rPr>
      </w:pPr>
      <w:r>
        <w:rPr>
          <w:rFonts w:ascii="Courier New" w:cs="Courier New" w:eastAsia="Courier New" w:hAnsi="Courier New"/>
          <w:sz w:val="18"/>
          <w:szCs w:val="18"/>
          <w:color w:val="auto"/>
        </w:rPr>
        <w:t>RRT Empire of Monroe County, Inc.</w:t>
      </w:r>
    </w:p>
    <w:p>
      <w:pPr>
        <w:spacing w:after="0"/>
        <w:rPr>
          <w:sz w:val="20"/>
          <w:szCs w:val="20"/>
          <w:color w:val="auto"/>
        </w:rPr>
      </w:pPr>
      <w:r>
        <w:rPr>
          <w:rFonts w:ascii="Courier New" w:cs="Courier New" w:eastAsia="Courier New" w:hAnsi="Courier New"/>
          <w:sz w:val="18"/>
          <w:szCs w:val="18"/>
          <w:color w:val="auto"/>
        </w:rPr>
        <w:t>RTS Landfill, Inc.</w:t>
      </w:r>
    </w:p>
    <w:p>
      <w:pPr>
        <w:spacing w:after="0" w:line="237" w:lineRule="auto"/>
        <w:rPr>
          <w:sz w:val="20"/>
          <w:szCs w:val="20"/>
          <w:color w:val="auto"/>
        </w:rPr>
      </w:pPr>
      <w:r>
        <w:rPr>
          <w:rFonts w:ascii="Courier New" w:cs="Courier New" w:eastAsia="Courier New" w:hAnsi="Courier New"/>
          <w:sz w:val="18"/>
          <w:szCs w:val="18"/>
          <w:color w:val="auto"/>
        </w:rPr>
        <w:t>Rust Engineering &amp; Construction Inc.</w:t>
      </w:r>
    </w:p>
    <w:p>
      <w:pPr>
        <w:spacing w:after="0"/>
        <w:rPr>
          <w:sz w:val="20"/>
          <w:szCs w:val="20"/>
          <w:color w:val="auto"/>
        </w:rPr>
      </w:pPr>
      <w:r>
        <w:rPr>
          <w:rFonts w:ascii="Courier New" w:cs="Courier New" w:eastAsia="Courier New" w:hAnsi="Courier New"/>
          <w:sz w:val="18"/>
          <w:szCs w:val="18"/>
          <w:color w:val="auto"/>
        </w:rPr>
        <w:t>Rust Engineering (Thailand) Ltd</w:t>
      </w:r>
    </w:p>
    <w:p>
      <w:pPr>
        <w:spacing w:after="0" w:line="237" w:lineRule="auto"/>
        <w:rPr>
          <w:sz w:val="20"/>
          <w:szCs w:val="20"/>
          <w:color w:val="auto"/>
        </w:rPr>
      </w:pPr>
      <w:r>
        <w:rPr>
          <w:rFonts w:ascii="Courier New" w:cs="Courier New" w:eastAsia="Courier New" w:hAnsi="Courier New"/>
          <w:sz w:val="18"/>
          <w:szCs w:val="18"/>
          <w:color w:val="auto"/>
        </w:rPr>
        <w:t>Rust International Inc.</w:t>
      </w:r>
    </w:p>
    <w:p>
      <w:pPr>
        <w:spacing w:after="0"/>
        <w:rPr>
          <w:sz w:val="20"/>
          <w:szCs w:val="20"/>
          <w:color w:val="auto"/>
        </w:rPr>
      </w:pPr>
      <w:r>
        <w:rPr>
          <w:rFonts w:ascii="Courier New" w:cs="Courier New" w:eastAsia="Courier New" w:hAnsi="Courier New"/>
          <w:sz w:val="18"/>
          <w:szCs w:val="18"/>
          <w:color w:val="auto"/>
        </w:rPr>
        <w:t>S &amp; S Grading, Inc.</w:t>
      </w:r>
    </w:p>
    <w:p>
      <w:pPr>
        <w:spacing w:after="0" w:line="237" w:lineRule="auto"/>
        <w:rPr>
          <w:sz w:val="20"/>
          <w:szCs w:val="20"/>
          <w:color w:val="auto"/>
        </w:rPr>
      </w:pPr>
      <w:r>
        <w:rPr>
          <w:rFonts w:ascii="Courier New" w:cs="Courier New" w:eastAsia="Courier New" w:hAnsi="Courier New"/>
          <w:sz w:val="18"/>
          <w:szCs w:val="18"/>
          <w:color w:val="auto"/>
        </w:rPr>
        <w:t>S. V. Farming Corp.</w:t>
      </w:r>
    </w:p>
    <w:p>
      <w:pPr>
        <w:spacing w:after="0" w:line="238" w:lineRule="auto"/>
        <w:rPr>
          <w:sz w:val="20"/>
          <w:szCs w:val="20"/>
          <w:color w:val="auto"/>
        </w:rPr>
      </w:pPr>
      <w:r>
        <w:rPr>
          <w:rFonts w:ascii="Courier New" w:cs="Courier New" w:eastAsia="Courier New" w:hAnsi="Courier New"/>
          <w:sz w:val="18"/>
          <w:szCs w:val="18"/>
          <w:color w:val="auto"/>
        </w:rPr>
        <w:t>Salutec SA</w:t>
      </w:r>
    </w:p>
    <w:p>
      <w:pPr>
        <w:spacing w:after="0"/>
        <w:rPr>
          <w:sz w:val="20"/>
          <w:szCs w:val="20"/>
          <w:color w:val="auto"/>
        </w:rPr>
      </w:pPr>
      <w:r>
        <w:rPr>
          <w:rFonts w:ascii="Courier New" w:cs="Courier New" w:eastAsia="Courier New" w:hAnsi="Courier New"/>
          <w:sz w:val="18"/>
          <w:szCs w:val="18"/>
          <w:color w:val="auto"/>
        </w:rPr>
        <w:t>Sanifill de Mexico (US), Inc.</w:t>
      </w:r>
    </w:p>
    <w:p>
      <w:pPr>
        <w:spacing w:after="0" w:line="237" w:lineRule="auto"/>
        <w:rPr>
          <w:sz w:val="20"/>
          <w:szCs w:val="20"/>
          <w:color w:val="auto"/>
        </w:rPr>
      </w:pPr>
      <w:r>
        <w:rPr>
          <w:rFonts w:ascii="Courier New" w:cs="Courier New" w:eastAsia="Courier New" w:hAnsi="Courier New"/>
          <w:sz w:val="18"/>
          <w:szCs w:val="18"/>
          <w:color w:val="auto"/>
        </w:rPr>
        <w:t>Sanifill de Mexico, S.A. de C.V.</w:t>
      </w:r>
    </w:p>
    <w:p>
      <w:pPr>
        <w:spacing w:after="0"/>
        <w:rPr>
          <w:sz w:val="20"/>
          <w:szCs w:val="20"/>
          <w:color w:val="auto"/>
        </w:rPr>
      </w:pPr>
      <w:r>
        <w:rPr>
          <w:rFonts w:ascii="Courier New" w:cs="Courier New" w:eastAsia="Courier New" w:hAnsi="Courier New"/>
          <w:sz w:val="18"/>
          <w:szCs w:val="18"/>
          <w:color w:val="auto"/>
        </w:rPr>
        <w:t>Sanifill of San Juan, Inc.</w:t>
      </w:r>
    </w:p>
    <w:p>
      <w:pPr>
        <w:spacing w:after="0" w:line="237" w:lineRule="auto"/>
        <w:rPr>
          <w:sz w:val="20"/>
          <w:szCs w:val="20"/>
          <w:color w:val="auto"/>
        </w:rPr>
      </w:pPr>
      <w:r>
        <w:rPr>
          <w:rFonts w:ascii="Courier New" w:cs="Courier New" w:eastAsia="Courier New" w:hAnsi="Courier New"/>
          <w:sz w:val="18"/>
          <w:szCs w:val="18"/>
          <w:color w:val="auto"/>
        </w:rPr>
        <w:t>Sanifill Power Corporation</w:t>
      </w:r>
    </w:p>
    <w:p>
      <w:pPr>
        <w:spacing w:after="0"/>
        <w:rPr>
          <w:sz w:val="20"/>
          <w:szCs w:val="20"/>
          <w:color w:val="auto"/>
        </w:rPr>
      </w:pPr>
      <w:r>
        <w:rPr>
          <w:rFonts w:ascii="Courier New" w:cs="Courier New" w:eastAsia="Courier New" w:hAnsi="Courier New"/>
          <w:sz w:val="18"/>
          <w:szCs w:val="18"/>
          <w:color w:val="auto"/>
        </w:rPr>
        <w:t>SC Holdings, Inc.</w:t>
      </w:r>
    </w:p>
    <w:p>
      <w:pPr>
        <w:spacing w:after="0" w:line="237" w:lineRule="auto"/>
        <w:rPr>
          <w:sz w:val="20"/>
          <w:szCs w:val="20"/>
          <w:color w:val="auto"/>
        </w:rPr>
      </w:pPr>
      <w:r>
        <w:rPr>
          <w:rFonts w:ascii="Courier New" w:cs="Courier New" w:eastAsia="Courier New" w:hAnsi="Courier New"/>
          <w:sz w:val="18"/>
          <w:szCs w:val="18"/>
          <w:color w:val="auto"/>
        </w:rPr>
        <w:t>Serubam Servicos Urbanos E Ambientais Ltda</w:t>
      </w:r>
    </w:p>
    <w:p>
      <w:pPr>
        <w:spacing w:after="0" w:line="238" w:lineRule="auto"/>
        <w:rPr>
          <w:sz w:val="20"/>
          <w:szCs w:val="20"/>
          <w:color w:val="auto"/>
        </w:rPr>
      </w:pPr>
      <w:r>
        <w:rPr>
          <w:rFonts w:ascii="Courier New" w:cs="Courier New" w:eastAsia="Courier New" w:hAnsi="Courier New"/>
          <w:sz w:val="18"/>
          <w:szCs w:val="18"/>
          <w:color w:val="auto"/>
        </w:rPr>
        <w:t>SES Bridgeport L.L.C.</w:t>
      </w:r>
    </w:p>
    <w:p>
      <w:pPr>
        <w:spacing w:after="0"/>
        <w:rPr>
          <w:sz w:val="20"/>
          <w:szCs w:val="20"/>
          <w:color w:val="auto"/>
        </w:rPr>
      </w:pPr>
      <w:r>
        <w:rPr>
          <w:rFonts w:ascii="Courier New" w:cs="Courier New" w:eastAsia="Courier New" w:hAnsi="Courier New"/>
          <w:sz w:val="18"/>
          <w:szCs w:val="18"/>
          <w:color w:val="auto"/>
        </w:rPr>
        <w:t>SES Connecticut Inc.</w:t>
      </w:r>
    </w:p>
    <w:p>
      <w:pPr>
        <w:spacing w:after="0" w:line="237" w:lineRule="auto"/>
        <w:rPr>
          <w:sz w:val="20"/>
          <w:szCs w:val="20"/>
          <w:color w:val="auto"/>
        </w:rPr>
      </w:pPr>
      <w:r>
        <w:rPr>
          <w:rFonts w:ascii="Courier New" w:cs="Courier New" w:eastAsia="Courier New" w:hAnsi="Courier New"/>
          <w:sz w:val="18"/>
          <w:szCs w:val="18"/>
          <w:color w:val="auto"/>
        </w:rPr>
        <w:t>SF, Inc.</w:t>
      </w:r>
    </w:p>
    <w:p>
      <w:pPr>
        <w:spacing w:after="0"/>
        <w:rPr>
          <w:sz w:val="20"/>
          <w:szCs w:val="20"/>
          <w:color w:val="auto"/>
        </w:rPr>
      </w:pPr>
      <w:r>
        <w:rPr>
          <w:rFonts w:ascii="Courier New" w:cs="Courier New" w:eastAsia="Courier New" w:hAnsi="Courier New"/>
          <w:sz w:val="18"/>
          <w:szCs w:val="18"/>
          <w:color w:val="auto"/>
        </w:rPr>
        <w:t>Shade Landfill, Inc.</w:t>
      </w:r>
    </w:p>
    <w:p>
      <w:pPr>
        <w:spacing w:after="0" w:line="237" w:lineRule="auto"/>
        <w:rPr>
          <w:sz w:val="20"/>
          <w:szCs w:val="20"/>
          <w:color w:val="auto"/>
        </w:rPr>
      </w:pPr>
      <w:r>
        <w:rPr>
          <w:rFonts w:ascii="Courier New" w:cs="Courier New" w:eastAsia="Courier New" w:hAnsi="Courier New"/>
          <w:sz w:val="18"/>
          <w:szCs w:val="18"/>
          <w:color w:val="auto"/>
        </w:rPr>
        <w:t>Sierra Estrella Landfill, Inc.</w:t>
      </w:r>
    </w:p>
    <w:p>
      <w:pPr>
        <w:spacing w:after="0"/>
        <w:rPr>
          <w:sz w:val="20"/>
          <w:szCs w:val="20"/>
          <w:color w:val="auto"/>
        </w:rPr>
      </w:pPr>
      <w:r>
        <w:rPr>
          <w:rFonts w:ascii="Courier New" w:cs="Courier New" w:eastAsia="Courier New" w:hAnsi="Courier New"/>
          <w:sz w:val="18"/>
          <w:szCs w:val="18"/>
          <w:color w:val="auto"/>
        </w:rPr>
        <w:t>Smyrna Landfill, Inc.</w:t>
      </w:r>
    </w:p>
    <w:p>
      <w:pPr>
        <w:spacing w:after="0" w:line="237" w:lineRule="auto"/>
        <w:rPr>
          <w:sz w:val="20"/>
          <w:szCs w:val="20"/>
          <w:color w:val="auto"/>
        </w:rPr>
      </w:pPr>
      <w:r>
        <w:rPr>
          <w:rFonts w:ascii="Courier New" w:cs="Courier New" w:eastAsia="Courier New" w:hAnsi="Courier New"/>
          <w:sz w:val="18"/>
          <w:szCs w:val="18"/>
          <w:color w:val="auto"/>
        </w:rPr>
        <w:t>Southern Alleghenies Landfill, Inc.</w:t>
      </w:r>
    </w:p>
    <w:p>
      <w:pPr>
        <w:spacing w:after="0"/>
        <w:rPr>
          <w:sz w:val="20"/>
          <w:szCs w:val="20"/>
          <w:color w:val="auto"/>
        </w:rPr>
      </w:pPr>
      <w:r>
        <w:rPr>
          <w:rFonts w:ascii="Courier New" w:cs="Courier New" w:eastAsia="Courier New" w:hAnsi="Courier New"/>
          <w:sz w:val="18"/>
          <w:szCs w:val="18"/>
          <w:color w:val="auto"/>
        </w:rPr>
        <w:t>Southern One Land Corporation</w:t>
      </w:r>
    </w:p>
    <w:p>
      <w:pPr>
        <w:spacing w:after="0" w:line="237" w:lineRule="auto"/>
        <w:rPr>
          <w:sz w:val="20"/>
          <w:szCs w:val="20"/>
          <w:color w:val="auto"/>
        </w:rPr>
      </w:pPr>
      <w:r>
        <w:rPr>
          <w:rFonts w:ascii="Courier New" w:cs="Courier New" w:eastAsia="Courier New" w:hAnsi="Courier New"/>
          <w:sz w:val="18"/>
          <w:szCs w:val="18"/>
          <w:color w:val="auto"/>
        </w:rPr>
        <w:t>Southern Plains Landfill, Inc.</w:t>
      </w:r>
    </w:p>
    <w:p>
      <w:pPr>
        <w:spacing w:after="0" w:line="238" w:lineRule="auto"/>
        <w:rPr>
          <w:sz w:val="20"/>
          <w:szCs w:val="20"/>
          <w:color w:val="auto"/>
        </w:rPr>
      </w:pPr>
      <w:r>
        <w:rPr>
          <w:rFonts w:ascii="Courier New" w:cs="Courier New" w:eastAsia="Courier New" w:hAnsi="Courier New"/>
          <w:sz w:val="18"/>
          <w:szCs w:val="18"/>
          <w:color w:val="auto"/>
        </w:rPr>
        <w:t>Southern Services of TN, LLC</w:t>
      </w:r>
    </w:p>
    <w:p>
      <w:pPr>
        <w:spacing w:after="0"/>
        <w:rPr>
          <w:sz w:val="20"/>
          <w:szCs w:val="20"/>
          <w:color w:val="auto"/>
        </w:rPr>
      </w:pPr>
      <w:r>
        <w:rPr>
          <w:rFonts w:ascii="Courier New" w:cs="Courier New" w:eastAsia="Courier New" w:hAnsi="Courier New"/>
          <w:sz w:val="18"/>
          <w:szCs w:val="18"/>
          <w:color w:val="auto"/>
        </w:rPr>
        <w:t>Southern Waste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Tennessee</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Oregon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Thailand</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West Virginia</w:t>
      </w:r>
    </w:p>
    <w:p>
      <w:pPr>
        <w:spacing w:after="0"/>
        <w:rPr>
          <w:sz w:val="20"/>
          <w:szCs w:val="20"/>
          <w:color w:val="auto"/>
        </w:rPr>
      </w:pPr>
      <w:r>
        <w:rPr>
          <w:rFonts w:ascii="Courier New" w:cs="Courier New" w:eastAsia="Courier New" w:hAnsi="Courier New"/>
          <w:sz w:val="18"/>
          <w:szCs w:val="18"/>
          <w:color w:val="auto"/>
        </w:rPr>
        <w:t>New Jersey</w:t>
      </w:r>
    </w:p>
    <w:p>
      <w:pPr>
        <w:spacing w:after="0" w:line="237" w:lineRule="auto"/>
        <w:rPr>
          <w:sz w:val="20"/>
          <w:szCs w:val="20"/>
          <w:color w:val="auto"/>
        </w:rPr>
      </w:pPr>
      <w:r>
        <w:rPr>
          <w:rFonts w:ascii="Courier New" w:cs="Courier New" w:eastAsia="Courier New" w:hAnsi="Courier New"/>
          <w:sz w:val="18"/>
          <w:szCs w:val="18"/>
          <w:color w:val="auto"/>
        </w:rPr>
        <w:t>Argentina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Mexico</w:t>
      </w:r>
    </w:p>
    <w:p>
      <w:pPr>
        <w:spacing w:after="0" w:line="237" w:lineRule="auto"/>
        <w:rPr>
          <w:sz w:val="20"/>
          <w:szCs w:val="20"/>
          <w:color w:val="auto"/>
        </w:rPr>
      </w:pPr>
      <w:r>
        <w:rPr>
          <w:rFonts w:ascii="Courier New" w:cs="Courier New" w:eastAsia="Courier New" w:hAnsi="Courier New"/>
          <w:sz w:val="18"/>
          <w:szCs w:val="18"/>
          <w:color w:val="auto"/>
        </w:rPr>
        <w:t>Puerto Rico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Brazil</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Arizona</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Oklahoma</w:t>
      </w:r>
    </w:p>
    <w:p>
      <w:pPr>
        <w:spacing w:after="0" w:line="237" w:lineRule="auto"/>
        <w:rPr>
          <w:sz w:val="20"/>
          <w:szCs w:val="20"/>
          <w:color w:val="auto"/>
        </w:rPr>
      </w:pPr>
      <w:r>
        <w:rPr>
          <w:rFonts w:ascii="Courier New" w:cs="Courier New" w:eastAsia="Courier New" w:hAnsi="Courier New"/>
          <w:sz w:val="18"/>
          <w:szCs w:val="18"/>
          <w:color w:val="auto"/>
        </w:rPr>
        <w:t>Tennessee</w:t>
      </w:r>
    </w:p>
    <w:p>
      <w:pPr>
        <w:spacing w:after="0" w:line="238"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7180" w:space="720"/>
            <w:col w:w="2540"/>
          </w:cols>
          <w:pgMar w:left="240" w:top="1122" w:right="1219" w:bottom="1440" w:gutter="0" w:footer="0" w:header="0"/>
          <w:type w:val="continuous"/>
        </w:sectPr>
      </w:pPr>
    </w:p>
    <w:bookmarkStart w:id="204" w:name="page205"/>
    <w:bookmarkEnd w:id="204"/>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Spruce Ridge, Inc.</w:t>
      </w:r>
    </w:p>
    <w:p>
      <w:pPr>
        <w:spacing w:after="0" w:line="238" w:lineRule="auto"/>
        <w:rPr>
          <w:sz w:val="20"/>
          <w:szCs w:val="20"/>
          <w:color w:val="auto"/>
        </w:rPr>
      </w:pPr>
      <w:r>
        <w:rPr>
          <w:rFonts w:ascii="Courier New" w:cs="Courier New" w:eastAsia="Courier New" w:hAnsi="Courier New"/>
          <w:sz w:val="18"/>
          <w:szCs w:val="18"/>
          <w:color w:val="auto"/>
        </w:rPr>
        <w:t>Star Services Group, Inc.</w:t>
      </w:r>
    </w:p>
    <w:p>
      <w:pPr>
        <w:spacing w:after="0"/>
        <w:rPr>
          <w:sz w:val="20"/>
          <w:szCs w:val="20"/>
          <w:color w:val="auto"/>
        </w:rPr>
      </w:pPr>
      <w:r>
        <w:rPr>
          <w:rFonts w:ascii="Courier New" w:cs="Courier New" w:eastAsia="Courier New" w:hAnsi="Courier New"/>
          <w:sz w:val="18"/>
          <w:szCs w:val="18"/>
          <w:color w:val="auto"/>
        </w:rPr>
        <w:t>Stony Hollow Landfill, Inc.</w:t>
      </w:r>
    </w:p>
    <w:p>
      <w:pPr>
        <w:spacing w:after="0" w:line="237" w:lineRule="auto"/>
        <w:rPr>
          <w:sz w:val="20"/>
          <w:szCs w:val="20"/>
          <w:color w:val="auto"/>
        </w:rPr>
      </w:pPr>
      <w:r>
        <w:rPr>
          <w:rFonts w:ascii="Courier New" w:cs="Courier New" w:eastAsia="Courier New" w:hAnsi="Courier New"/>
          <w:sz w:val="18"/>
          <w:szCs w:val="18"/>
          <w:color w:val="auto"/>
        </w:rPr>
        <w:t>Storey County Sanitation, Inc.</w:t>
      </w:r>
    </w:p>
    <w:p>
      <w:pPr>
        <w:spacing w:after="0" w:line="238" w:lineRule="auto"/>
        <w:rPr>
          <w:sz w:val="20"/>
          <w:szCs w:val="20"/>
          <w:color w:val="auto"/>
        </w:rPr>
      </w:pPr>
      <w:r>
        <w:rPr>
          <w:rFonts w:ascii="Courier New" w:cs="Courier New" w:eastAsia="Courier New" w:hAnsi="Courier New"/>
          <w:sz w:val="18"/>
          <w:szCs w:val="18"/>
          <w:color w:val="auto"/>
        </w:rPr>
        <w:t>Suburban Landfill, Inc.</w:t>
      </w:r>
    </w:p>
    <w:p>
      <w:pPr>
        <w:spacing w:after="0"/>
        <w:rPr>
          <w:sz w:val="20"/>
          <w:szCs w:val="20"/>
          <w:color w:val="auto"/>
        </w:rPr>
      </w:pPr>
      <w:r>
        <w:rPr>
          <w:rFonts w:ascii="Courier New" w:cs="Courier New" w:eastAsia="Courier New" w:hAnsi="Courier New"/>
          <w:sz w:val="18"/>
          <w:szCs w:val="18"/>
          <w:color w:val="auto"/>
        </w:rPr>
        <w:t>Texarkana Landfill, L.L.C.</w:t>
      </w:r>
    </w:p>
    <w:p>
      <w:pPr>
        <w:spacing w:after="0" w:line="237" w:lineRule="auto"/>
        <w:rPr>
          <w:sz w:val="20"/>
          <w:szCs w:val="20"/>
          <w:color w:val="auto"/>
        </w:rPr>
      </w:pPr>
      <w:r>
        <w:rPr>
          <w:rFonts w:ascii="Courier New" w:cs="Courier New" w:eastAsia="Courier New" w:hAnsi="Courier New"/>
          <w:sz w:val="18"/>
          <w:szCs w:val="18"/>
          <w:color w:val="auto"/>
        </w:rPr>
        <w:t>The Peltz Group of Ohio LLC</w:t>
      </w:r>
    </w:p>
    <w:p>
      <w:pPr>
        <w:spacing w:after="0"/>
        <w:rPr>
          <w:sz w:val="20"/>
          <w:szCs w:val="20"/>
          <w:color w:val="auto"/>
        </w:rPr>
      </w:pPr>
      <w:r>
        <w:rPr>
          <w:rFonts w:ascii="Courier New" w:cs="Courier New" w:eastAsia="Courier New" w:hAnsi="Courier New"/>
          <w:sz w:val="18"/>
          <w:szCs w:val="18"/>
          <w:color w:val="auto"/>
        </w:rPr>
        <w:t>The Peltz Group, LLC</w:t>
      </w:r>
    </w:p>
    <w:p>
      <w:pPr>
        <w:spacing w:after="0" w:line="237" w:lineRule="auto"/>
        <w:rPr>
          <w:sz w:val="20"/>
          <w:szCs w:val="20"/>
          <w:color w:val="auto"/>
        </w:rPr>
      </w:pPr>
      <w:r>
        <w:rPr>
          <w:rFonts w:ascii="Courier New" w:cs="Courier New" w:eastAsia="Courier New" w:hAnsi="Courier New"/>
          <w:sz w:val="18"/>
          <w:szCs w:val="18"/>
          <w:color w:val="auto"/>
        </w:rPr>
        <w:t>The Waste Management Charitable Foundation</w:t>
      </w:r>
    </w:p>
    <w:p>
      <w:pPr>
        <w:spacing w:after="0"/>
        <w:rPr>
          <w:sz w:val="20"/>
          <w:szCs w:val="20"/>
          <w:color w:val="auto"/>
        </w:rPr>
      </w:pPr>
      <w:r>
        <w:rPr>
          <w:rFonts w:ascii="Courier New" w:cs="Courier New" w:eastAsia="Courier New" w:hAnsi="Courier New"/>
          <w:sz w:val="18"/>
          <w:szCs w:val="18"/>
          <w:color w:val="auto"/>
        </w:rPr>
        <w:t>The Woodlands of Van Buren, Inc.</w:t>
      </w:r>
    </w:p>
    <w:p>
      <w:pPr>
        <w:spacing w:after="0" w:line="237" w:lineRule="auto"/>
        <w:rPr>
          <w:sz w:val="20"/>
          <w:szCs w:val="20"/>
          <w:color w:val="auto"/>
        </w:rPr>
      </w:pPr>
      <w:r>
        <w:rPr>
          <w:rFonts w:ascii="Courier New" w:cs="Courier New" w:eastAsia="Courier New" w:hAnsi="Courier New"/>
          <w:sz w:val="18"/>
          <w:szCs w:val="18"/>
          <w:color w:val="auto"/>
        </w:rPr>
        <w:t>TNT Sands, Inc.</w:t>
      </w:r>
    </w:p>
    <w:p>
      <w:pPr>
        <w:spacing w:after="0" w:line="238" w:lineRule="auto"/>
        <w:rPr>
          <w:sz w:val="20"/>
          <w:szCs w:val="20"/>
          <w:color w:val="auto"/>
        </w:rPr>
      </w:pPr>
      <w:r>
        <w:rPr>
          <w:rFonts w:ascii="Courier New" w:cs="Courier New" w:eastAsia="Courier New" w:hAnsi="Courier New"/>
          <w:sz w:val="18"/>
          <w:szCs w:val="18"/>
          <w:color w:val="auto"/>
        </w:rPr>
        <w:t>Trail Ridge Landfill, Inc.</w:t>
      </w:r>
    </w:p>
    <w:p>
      <w:pPr>
        <w:spacing w:after="0"/>
        <w:rPr>
          <w:sz w:val="20"/>
          <w:szCs w:val="20"/>
          <w:color w:val="auto"/>
        </w:rPr>
      </w:pPr>
      <w:r>
        <w:rPr>
          <w:rFonts w:ascii="Courier New" w:cs="Courier New" w:eastAsia="Courier New" w:hAnsi="Courier New"/>
          <w:sz w:val="18"/>
          <w:szCs w:val="18"/>
          <w:color w:val="auto"/>
        </w:rPr>
        <w:t>Trans-Canadian Fibers Inc.</w:t>
      </w:r>
    </w:p>
    <w:p>
      <w:pPr>
        <w:spacing w:after="0" w:line="237" w:lineRule="auto"/>
        <w:rPr>
          <w:sz w:val="20"/>
          <w:szCs w:val="20"/>
          <w:color w:val="auto"/>
        </w:rPr>
      </w:pPr>
      <w:r>
        <w:rPr>
          <w:rFonts w:ascii="Courier New" w:cs="Courier New" w:eastAsia="Courier New" w:hAnsi="Courier New"/>
          <w:sz w:val="18"/>
          <w:szCs w:val="18"/>
          <w:color w:val="auto"/>
        </w:rPr>
        <w:t>Transamerican Waste Central Landfill, Inc.</w:t>
      </w:r>
    </w:p>
    <w:p>
      <w:pPr>
        <w:spacing w:after="0"/>
        <w:rPr>
          <w:sz w:val="20"/>
          <w:szCs w:val="20"/>
          <w:color w:val="auto"/>
        </w:rPr>
      </w:pPr>
      <w:r>
        <w:rPr>
          <w:rFonts w:ascii="Courier New" w:cs="Courier New" w:eastAsia="Courier New" w:hAnsi="Courier New"/>
          <w:sz w:val="18"/>
          <w:szCs w:val="18"/>
          <w:color w:val="auto"/>
        </w:rPr>
        <w:t>Transamerican Waste Industries Southeast, Inc.</w:t>
      </w:r>
    </w:p>
    <w:p>
      <w:pPr>
        <w:spacing w:after="0" w:line="237" w:lineRule="auto"/>
        <w:rPr>
          <w:sz w:val="20"/>
          <w:szCs w:val="20"/>
          <w:color w:val="auto"/>
        </w:rPr>
      </w:pPr>
      <w:r>
        <w:rPr>
          <w:rFonts w:ascii="Courier New" w:cs="Courier New" w:eastAsia="Courier New" w:hAnsi="Courier New"/>
          <w:sz w:val="18"/>
          <w:szCs w:val="18"/>
          <w:color w:val="auto"/>
        </w:rPr>
        <w:t>Trash Hunters, Inc.</w:t>
      </w:r>
    </w:p>
    <w:p>
      <w:pPr>
        <w:spacing w:after="0"/>
        <w:rPr>
          <w:sz w:val="20"/>
          <w:szCs w:val="20"/>
          <w:color w:val="auto"/>
        </w:rPr>
      </w:pPr>
      <w:r>
        <w:rPr>
          <w:rFonts w:ascii="Courier New" w:cs="Courier New" w:eastAsia="Courier New" w:hAnsi="Courier New"/>
          <w:sz w:val="18"/>
          <w:szCs w:val="18"/>
          <w:color w:val="auto"/>
        </w:rPr>
        <w:t>Tri-County Sanitary Landfill, L.L.C.</w:t>
      </w:r>
    </w:p>
    <w:p>
      <w:pPr>
        <w:spacing w:after="0" w:line="237" w:lineRule="auto"/>
        <w:rPr>
          <w:sz w:val="20"/>
          <w:szCs w:val="20"/>
          <w:color w:val="auto"/>
        </w:rPr>
      </w:pPr>
      <w:r>
        <w:rPr>
          <w:rFonts w:ascii="Courier New" w:cs="Courier New" w:eastAsia="Courier New" w:hAnsi="Courier New"/>
          <w:sz w:val="18"/>
          <w:szCs w:val="18"/>
          <w:color w:val="auto"/>
        </w:rPr>
        <w:t>TX Newco, L.L.C.</w:t>
      </w:r>
    </w:p>
    <w:p>
      <w:pPr>
        <w:spacing w:after="0" w:line="238" w:lineRule="auto"/>
        <w:rPr>
          <w:sz w:val="20"/>
          <w:szCs w:val="20"/>
          <w:color w:val="auto"/>
        </w:rPr>
      </w:pPr>
      <w:r>
        <w:rPr>
          <w:rFonts w:ascii="Courier New" w:cs="Courier New" w:eastAsia="Courier New" w:hAnsi="Courier New"/>
          <w:sz w:val="18"/>
          <w:szCs w:val="18"/>
          <w:color w:val="auto"/>
        </w:rPr>
        <w:t>United Waste Systems Leasing, Inc.</w:t>
      </w:r>
    </w:p>
    <w:p>
      <w:pPr>
        <w:spacing w:after="0"/>
        <w:rPr>
          <w:sz w:val="20"/>
          <w:szCs w:val="20"/>
          <w:color w:val="auto"/>
        </w:rPr>
      </w:pPr>
      <w:r>
        <w:rPr>
          <w:rFonts w:ascii="Courier New" w:cs="Courier New" w:eastAsia="Courier New" w:hAnsi="Courier New"/>
          <w:sz w:val="18"/>
          <w:szCs w:val="18"/>
          <w:color w:val="auto"/>
        </w:rPr>
        <w:t>United Waste Systems of Gardner, Inc.</w:t>
      </w:r>
    </w:p>
    <w:p>
      <w:pPr>
        <w:spacing w:after="0" w:line="237" w:lineRule="auto"/>
        <w:rPr>
          <w:sz w:val="20"/>
          <w:szCs w:val="20"/>
          <w:color w:val="auto"/>
        </w:rPr>
      </w:pPr>
      <w:r>
        <w:rPr>
          <w:rFonts w:ascii="Courier New" w:cs="Courier New" w:eastAsia="Courier New" w:hAnsi="Courier New"/>
          <w:sz w:val="18"/>
          <w:szCs w:val="18"/>
          <w:color w:val="auto"/>
        </w:rPr>
        <w:t>USA South Hills Landfill, Inc.</w:t>
      </w:r>
    </w:p>
    <w:p>
      <w:pPr>
        <w:spacing w:after="0"/>
        <w:rPr>
          <w:sz w:val="20"/>
          <w:szCs w:val="20"/>
          <w:color w:val="auto"/>
        </w:rPr>
      </w:pPr>
      <w:r>
        <w:rPr>
          <w:rFonts w:ascii="Courier New" w:cs="Courier New" w:eastAsia="Courier New" w:hAnsi="Courier New"/>
          <w:sz w:val="18"/>
          <w:szCs w:val="18"/>
          <w:color w:val="auto"/>
        </w:rPr>
        <w:t>USA Valley Facility, Inc.</w:t>
      </w:r>
    </w:p>
    <w:p>
      <w:pPr>
        <w:spacing w:after="0" w:line="237" w:lineRule="auto"/>
        <w:rPr>
          <w:sz w:val="20"/>
          <w:szCs w:val="20"/>
          <w:color w:val="auto"/>
        </w:rPr>
      </w:pPr>
      <w:r>
        <w:rPr>
          <w:rFonts w:ascii="Courier New" w:cs="Courier New" w:eastAsia="Courier New" w:hAnsi="Courier New"/>
          <w:sz w:val="18"/>
          <w:szCs w:val="18"/>
          <w:color w:val="auto"/>
        </w:rPr>
        <w:t>USA Waste Geneva Landfill, Inc.</w:t>
      </w:r>
    </w:p>
    <w:p>
      <w:pPr>
        <w:spacing w:after="0"/>
        <w:rPr>
          <w:sz w:val="20"/>
          <w:szCs w:val="20"/>
          <w:color w:val="auto"/>
        </w:rPr>
      </w:pPr>
      <w:r>
        <w:rPr>
          <w:rFonts w:ascii="Courier New" w:cs="Courier New" w:eastAsia="Courier New" w:hAnsi="Courier New"/>
          <w:sz w:val="18"/>
          <w:szCs w:val="18"/>
          <w:color w:val="auto"/>
        </w:rPr>
        <w:t>USA Waste Industrial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Landfill Operations and Transfer,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of California, Inc.</w:t>
      </w:r>
    </w:p>
    <w:p>
      <w:pPr>
        <w:spacing w:after="0" w:line="238" w:lineRule="auto"/>
        <w:rPr>
          <w:sz w:val="20"/>
          <w:szCs w:val="20"/>
          <w:color w:val="auto"/>
        </w:rPr>
      </w:pPr>
      <w:r>
        <w:rPr>
          <w:rFonts w:ascii="Courier New" w:cs="Courier New" w:eastAsia="Courier New" w:hAnsi="Courier New"/>
          <w:sz w:val="18"/>
          <w:szCs w:val="18"/>
          <w:color w:val="auto"/>
        </w:rPr>
        <w:t>USA Waste of New York City, Inc</w:t>
      </w:r>
    </w:p>
    <w:p>
      <w:pPr>
        <w:spacing w:after="0"/>
        <w:rPr>
          <w:sz w:val="20"/>
          <w:szCs w:val="20"/>
          <w:color w:val="auto"/>
        </w:rPr>
      </w:pPr>
      <w:r>
        <w:rPr>
          <w:rFonts w:ascii="Courier New" w:cs="Courier New" w:eastAsia="Courier New" w:hAnsi="Courier New"/>
          <w:sz w:val="18"/>
          <w:szCs w:val="18"/>
          <w:color w:val="auto"/>
        </w:rPr>
        <w:t>USA Waste of Pennsylvania, LLC</w:t>
      </w:r>
    </w:p>
    <w:p>
      <w:pPr>
        <w:spacing w:after="0" w:line="237" w:lineRule="auto"/>
        <w:rPr>
          <w:sz w:val="20"/>
          <w:szCs w:val="20"/>
          <w:color w:val="auto"/>
        </w:rPr>
      </w:pPr>
      <w:r>
        <w:rPr>
          <w:rFonts w:ascii="Courier New" w:cs="Courier New" w:eastAsia="Courier New" w:hAnsi="Courier New"/>
          <w:sz w:val="18"/>
          <w:szCs w:val="18"/>
          <w:color w:val="auto"/>
        </w:rPr>
        <w:t>USA Waste of Texas Landfills, Inc.</w:t>
      </w:r>
    </w:p>
    <w:p>
      <w:pPr>
        <w:spacing w:after="0" w:line="238" w:lineRule="auto"/>
        <w:rPr>
          <w:sz w:val="20"/>
          <w:szCs w:val="20"/>
          <w:color w:val="auto"/>
        </w:rPr>
      </w:pPr>
      <w:r>
        <w:rPr>
          <w:rFonts w:ascii="Courier New" w:cs="Courier New" w:eastAsia="Courier New" w:hAnsi="Courier New"/>
          <w:sz w:val="18"/>
          <w:szCs w:val="18"/>
          <w:color w:val="auto"/>
        </w:rPr>
        <w:t>USA Waste of Virginia Landfills, Inc.</w:t>
      </w:r>
    </w:p>
    <w:p>
      <w:pPr>
        <w:spacing w:after="0"/>
        <w:rPr>
          <w:sz w:val="20"/>
          <w:szCs w:val="20"/>
          <w:color w:val="auto"/>
        </w:rPr>
      </w:pPr>
      <w:r>
        <w:rPr>
          <w:rFonts w:ascii="Courier New" w:cs="Courier New" w:eastAsia="Courier New" w:hAnsi="Courier New"/>
          <w:sz w:val="18"/>
          <w:szCs w:val="18"/>
          <w:color w:val="auto"/>
        </w:rPr>
        <w:t>USA Waste San Antonio Landfill,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North Carolina Landfills,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of Nevada, Inc.</w:t>
      </w:r>
    </w:p>
    <w:p>
      <w:pPr>
        <w:spacing w:after="0" w:line="238" w:lineRule="auto"/>
        <w:rPr>
          <w:sz w:val="20"/>
          <w:szCs w:val="20"/>
          <w:color w:val="auto"/>
        </w:rPr>
      </w:pPr>
      <w:r>
        <w:rPr>
          <w:rFonts w:ascii="Courier New" w:cs="Courier New" w:eastAsia="Courier New" w:hAnsi="Courier New"/>
          <w:sz w:val="18"/>
          <w:szCs w:val="18"/>
          <w:color w:val="auto"/>
        </w:rPr>
        <w:t>USA Waste Services of NYC, Inc.</w:t>
      </w:r>
    </w:p>
    <w:p>
      <w:pPr>
        <w:spacing w:after="0"/>
        <w:rPr>
          <w:sz w:val="20"/>
          <w:szCs w:val="20"/>
          <w:color w:val="auto"/>
        </w:rPr>
      </w:pPr>
      <w:r>
        <w:rPr>
          <w:rFonts w:ascii="Courier New" w:cs="Courier New" w:eastAsia="Courier New" w:hAnsi="Courier New"/>
          <w:sz w:val="18"/>
          <w:szCs w:val="18"/>
          <w:color w:val="auto"/>
        </w:rPr>
        <w:t>USA Waste-Management Resources, LLC</w:t>
      </w:r>
    </w:p>
    <w:p>
      <w:pPr>
        <w:spacing w:after="0" w:line="237" w:lineRule="auto"/>
        <w:rPr>
          <w:sz w:val="20"/>
          <w:szCs w:val="20"/>
          <w:color w:val="auto"/>
        </w:rPr>
      </w:pPr>
      <w:r>
        <w:rPr>
          <w:rFonts w:ascii="Courier New" w:cs="Courier New" w:eastAsia="Courier New" w:hAnsi="Courier New"/>
          <w:sz w:val="18"/>
          <w:szCs w:val="18"/>
          <w:color w:val="auto"/>
        </w:rPr>
        <w:t>USA-Crinc, L.L.C.</w:t>
      </w:r>
    </w:p>
    <w:p>
      <w:pPr>
        <w:spacing w:after="0" w:line="238" w:lineRule="auto"/>
        <w:rPr>
          <w:sz w:val="20"/>
          <w:szCs w:val="20"/>
          <w:color w:val="auto"/>
        </w:rPr>
      </w:pPr>
      <w:r>
        <w:rPr>
          <w:rFonts w:ascii="Courier New" w:cs="Courier New" w:eastAsia="Courier New" w:hAnsi="Courier New"/>
          <w:sz w:val="18"/>
          <w:szCs w:val="18"/>
          <w:color w:val="auto"/>
        </w:rPr>
        <w:t>UWS Barre, Inc.</w:t>
      </w:r>
    </w:p>
    <w:p>
      <w:pPr>
        <w:spacing w:after="0"/>
        <w:rPr>
          <w:sz w:val="20"/>
          <w:szCs w:val="20"/>
          <w:color w:val="auto"/>
        </w:rPr>
      </w:pPr>
      <w:r>
        <w:rPr>
          <w:rFonts w:ascii="Courier New" w:cs="Courier New" w:eastAsia="Courier New" w:hAnsi="Courier New"/>
          <w:sz w:val="18"/>
          <w:szCs w:val="18"/>
          <w:color w:val="auto"/>
        </w:rPr>
        <w:t>Valley Garbage and Rubbish Company, Inc.</w:t>
      </w:r>
    </w:p>
    <w:p>
      <w:pPr>
        <w:spacing w:after="0" w:line="237" w:lineRule="auto"/>
        <w:rPr>
          <w:sz w:val="20"/>
          <w:szCs w:val="20"/>
          <w:color w:val="auto"/>
        </w:rPr>
      </w:pPr>
      <w:r>
        <w:rPr>
          <w:rFonts w:ascii="Courier New" w:cs="Courier New" w:eastAsia="Courier New" w:hAnsi="Courier New"/>
          <w:sz w:val="18"/>
          <w:szCs w:val="18"/>
          <w:color w:val="auto"/>
        </w:rPr>
        <w:t>Vern's Refuse Service, Inc.</w:t>
      </w:r>
    </w:p>
    <w:p>
      <w:pPr>
        <w:spacing w:after="0"/>
        <w:rPr>
          <w:sz w:val="20"/>
          <w:szCs w:val="20"/>
          <w:color w:val="auto"/>
        </w:rPr>
      </w:pPr>
      <w:r>
        <w:rPr>
          <w:rFonts w:ascii="Courier New" w:cs="Courier New" w:eastAsia="Courier New" w:hAnsi="Courier New"/>
          <w:sz w:val="18"/>
          <w:szCs w:val="18"/>
          <w:color w:val="auto"/>
        </w:rPr>
        <w:t>Vickery Environmental, Inc.</w:t>
      </w:r>
    </w:p>
    <w:p>
      <w:pPr>
        <w:spacing w:after="0" w:line="237" w:lineRule="auto"/>
        <w:rPr>
          <w:sz w:val="20"/>
          <w:szCs w:val="20"/>
          <w:color w:val="auto"/>
        </w:rPr>
      </w:pPr>
      <w:r>
        <w:rPr>
          <w:rFonts w:ascii="Courier New" w:cs="Courier New" w:eastAsia="Courier New" w:hAnsi="Courier New"/>
          <w:sz w:val="18"/>
          <w:szCs w:val="18"/>
          <w:color w:val="auto"/>
        </w:rPr>
        <w:t>Voyageur Disposal Processing, Inc.</w:t>
      </w:r>
    </w:p>
    <w:p>
      <w:pPr>
        <w:spacing w:after="0"/>
        <w:rPr>
          <w:sz w:val="20"/>
          <w:szCs w:val="20"/>
          <w:color w:val="auto"/>
        </w:rPr>
      </w:pPr>
      <w:r>
        <w:rPr>
          <w:rFonts w:ascii="Courier New" w:cs="Courier New" w:eastAsia="Courier New" w:hAnsi="Courier New"/>
          <w:sz w:val="18"/>
          <w:szCs w:val="18"/>
          <w:color w:val="auto"/>
        </w:rPr>
        <w:t>Voyageur Disposal Processing, Inc.</w:t>
      </w:r>
    </w:p>
    <w:p>
      <w:pPr>
        <w:spacing w:after="0" w:line="237" w:lineRule="auto"/>
        <w:rPr>
          <w:sz w:val="20"/>
          <w:szCs w:val="20"/>
          <w:color w:val="auto"/>
        </w:rPr>
      </w:pPr>
      <w:r>
        <w:rPr>
          <w:rFonts w:ascii="Courier New" w:cs="Courier New" w:eastAsia="Courier New" w:hAnsi="Courier New"/>
          <w:sz w:val="18"/>
          <w:szCs w:val="18"/>
          <w:color w:val="auto"/>
        </w:rPr>
        <w:t>Waste Away Group, Inc.</w:t>
      </w:r>
    </w:p>
    <w:p>
      <w:pPr>
        <w:spacing w:after="0" w:line="238" w:lineRule="auto"/>
        <w:rPr>
          <w:sz w:val="20"/>
          <w:szCs w:val="20"/>
          <w:color w:val="auto"/>
        </w:rPr>
      </w:pPr>
      <w:r>
        <w:rPr>
          <w:rFonts w:ascii="Courier New" w:cs="Courier New" w:eastAsia="Courier New" w:hAnsi="Courier New"/>
          <w:sz w:val="18"/>
          <w:szCs w:val="18"/>
          <w:color w:val="auto"/>
        </w:rPr>
        <w:t>Waste Management Arizona Landfills, Inc.</w:t>
      </w:r>
    </w:p>
    <w:p>
      <w:pPr>
        <w:spacing w:after="0"/>
        <w:rPr>
          <w:sz w:val="20"/>
          <w:szCs w:val="20"/>
          <w:color w:val="auto"/>
        </w:rPr>
      </w:pPr>
      <w:r>
        <w:rPr>
          <w:rFonts w:ascii="Courier New" w:cs="Courier New" w:eastAsia="Courier New" w:hAnsi="Courier New"/>
          <w:sz w:val="18"/>
          <w:szCs w:val="18"/>
          <w:color w:val="auto"/>
        </w:rPr>
        <w:t>Waste Management Buckeye,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Nevada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Wisconsin</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Ontario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Mississippi</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North Dakota</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Alabama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7180" w:space="720"/>
            <w:col w:w="2540"/>
          </w:cols>
          <w:pgMar w:left="240" w:top="1122" w:right="1219" w:bottom="1440" w:gutter="0" w:footer="0" w:header="0"/>
          <w:type w:val="continuous"/>
        </w:sectPr>
      </w:pPr>
    </w:p>
    <w:bookmarkStart w:id="205" w:name="page206"/>
    <w:bookmarkEnd w:id="205"/>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280" w:space="6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Canadian Finance LP</w:t>
      </w:r>
    </w:p>
    <w:p>
      <w:pPr>
        <w:spacing w:after="0" w:line="238" w:lineRule="auto"/>
        <w:rPr>
          <w:sz w:val="20"/>
          <w:szCs w:val="20"/>
          <w:color w:val="auto"/>
        </w:rPr>
      </w:pPr>
      <w:r>
        <w:rPr>
          <w:rFonts w:ascii="Courier New" w:cs="Courier New" w:eastAsia="Courier New" w:hAnsi="Courier New"/>
          <w:sz w:val="18"/>
          <w:szCs w:val="18"/>
          <w:color w:val="auto"/>
        </w:rPr>
        <w:t>Waste Management Collection and Recycling, Inc.</w:t>
      </w:r>
    </w:p>
    <w:p>
      <w:pPr>
        <w:spacing w:after="0"/>
        <w:rPr>
          <w:sz w:val="20"/>
          <w:szCs w:val="20"/>
          <w:color w:val="auto"/>
        </w:rPr>
      </w:pPr>
      <w:r>
        <w:rPr>
          <w:rFonts w:ascii="Courier New" w:cs="Courier New" w:eastAsia="Courier New" w:hAnsi="Courier New"/>
          <w:sz w:val="18"/>
          <w:szCs w:val="18"/>
          <w:color w:val="auto"/>
        </w:rPr>
        <w:t>Waste Management Disposal Services of Colorado, Inc.</w:t>
      </w:r>
    </w:p>
    <w:p>
      <w:pPr>
        <w:spacing w:after="0" w:line="237" w:lineRule="auto"/>
        <w:rPr>
          <w:sz w:val="20"/>
          <w:szCs w:val="20"/>
          <w:color w:val="auto"/>
        </w:rPr>
      </w:pPr>
      <w:r>
        <w:rPr>
          <w:rFonts w:ascii="Courier New" w:cs="Courier New" w:eastAsia="Courier New" w:hAnsi="Courier New"/>
          <w:sz w:val="18"/>
          <w:szCs w:val="18"/>
          <w:color w:val="auto"/>
        </w:rPr>
        <w:t>Waste Management Disposal Services of Maine, Inc.</w:t>
      </w:r>
    </w:p>
    <w:p>
      <w:pPr>
        <w:spacing w:after="0" w:line="238" w:lineRule="auto"/>
        <w:rPr>
          <w:sz w:val="20"/>
          <w:szCs w:val="20"/>
          <w:color w:val="auto"/>
        </w:rPr>
      </w:pPr>
      <w:r>
        <w:rPr>
          <w:rFonts w:ascii="Courier New" w:cs="Courier New" w:eastAsia="Courier New" w:hAnsi="Courier New"/>
          <w:sz w:val="18"/>
          <w:szCs w:val="18"/>
          <w:color w:val="auto"/>
        </w:rPr>
        <w:t>Waste Management Disposal Services of Maryland, Inc.</w:t>
      </w:r>
    </w:p>
    <w:p>
      <w:pPr>
        <w:spacing w:after="0"/>
        <w:rPr>
          <w:sz w:val="20"/>
          <w:szCs w:val="20"/>
          <w:color w:val="auto"/>
        </w:rPr>
      </w:pPr>
      <w:r>
        <w:rPr>
          <w:rFonts w:ascii="Courier New" w:cs="Courier New" w:eastAsia="Courier New" w:hAnsi="Courier New"/>
          <w:sz w:val="18"/>
          <w:szCs w:val="18"/>
          <w:color w:val="auto"/>
        </w:rPr>
        <w:t>Waste Management Disposal Services of Massachusetts, Inc.</w:t>
      </w:r>
    </w:p>
    <w:p>
      <w:pPr>
        <w:spacing w:after="0" w:line="237" w:lineRule="auto"/>
        <w:rPr>
          <w:sz w:val="20"/>
          <w:szCs w:val="20"/>
          <w:color w:val="auto"/>
        </w:rPr>
      </w:pPr>
      <w:r>
        <w:rPr>
          <w:rFonts w:ascii="Courier New" w:cs="Courier New" w:eastAsia="Courier New" w:hAnsi="Courier New"/>
          <w:sz w:val="18"/>
          <w:szCs w:val="18"/>
          <w:color w:val="auto"/>
        </w:rPr>
        <w:t>Waste Management Disposal Services of Oregon, Inc.</w:t>
      </w:r>
    </w:p>
    <w:p>
      <w:pPr>
        <w:spacing w:after="0"/>
        <w:rPr>
          <w:sz w:val="20"/>
          <w:szCs w:val="20"/>
          <w:color w:val="auto"/>
        </w:rPr>
      </w:pPr>
      <w:r>
        <w:rPr>
          <w:rFonts w:ascii="Courier New" w:cs="Courier New" w:eastAsia="Courier New" w:hAnsi="Courier New"/>
          <w:sz w:val="18"/>
          <w:szCs w:val="18"/>
          <w:color w:val="auto"/>
        </w:rPr>
        <w:t>Waste Management Disposal Services of Pennsylvania, Inc.</w:t>
      </w:r>
    </w:p>
    <w:p>
      <w:pPr>
        <w:spacing w:after="0" w:line="237" w:lineRule="auto"/>
        <w:rPr>
          <w:sz w:val="20"/>
          <w:szCs w:val="20"/>
          <w:color w:val="auto"/>
        </w:rPr>
      </w:pPr>
      <w:r>
        <w:rPr>
          <w:rFonts w:ascii="Courier New" w:cs="Courier New" w:eastAsia="Courier New" w:hAnsi="Courier New"/>
          <w:sz w:val="18"/>
          <w:szCs w:val="18"/>
          <w:color w:val="auto"/>
        </w:rPr>
        <w:t>Waste Management Disposal Services of Virginia, Inc.</w:t>
      </w:r>
    </w:p>
    <w:p>
      <w:pPr>
        <w:spacing w:after="0"/>
        <w:rPr>
          <w:sz w:val="20"/>
          <w:szCs w:val="20"/>
          <w:color w:val="auto"/>
        </w:rPr>
      </w:pPr>
      <w:r>
        <w:rPr>
          <w:rFonts w:ascii="Courier New" w:cs="Courier New" w:eastAsia="Courier New" w:hAnsi="Courier New"/>
          <w:sz w:val="18"/>
          <w:szCs w:val="18"/>
          <w:color w:val="auto"/>
        </w:rPr>
        <w:t>Waste Management Environmental Services B.V.</w:t>
      </w:r>
    </w:p>
    <w:p>
      <w:pPr>
        <w:spacing w:after="0" w:line="237" w:lineRule="auto"/>
        <w:rPr>
          <w:sz w:val="20"/>
          <w:szCs w:val="20"/>
          <w:color w:val="auto"/>
        </w:rPr>
      </w:pPr>
      <w:r>
        <w:rPr>
          <w:rFonts w:ascii="Courier New" w:cs="Courier New" w:eastAsia="Courier New" w:hAnsi="Courier New"/>
          <w:sz w:val="18"/>
          <w:szCs w:val="18"/>
          <w:color w:val="auto"/>
        </w:rPr>
        <w:t>Waste Management Financing Corporation</w:t>
      </w:r>
    </w:p>
    <w:p>
      <w:pPr>
        <w:spacing w:after="0" w:line="238" w:lineRule="auto"/>
        <w:rPr>
          <w:sz w:val="20"/>
          <w:szCs w:val="20"/>
          <w:color w:val="auto"/>
        </w:rPr>
      </w:pPr>
      <w:r>
        <w:rPr>
          <w:rFonts w:ascii="Courier New" w:cs="Courier New" w:eastAsia="Courier New" w:hAnsi="Courier New"/>
          <w:sz w:val="18"/>
          <w:szCs w:val="18"/>
          <w:color w:val="auto"/>
        </w:rPr>
        <w:t>Waste Management Holdings, Inc.</w:t>
      </w:r>
    </w:p>
    <w:p>
      <w:pPr>
        <w:spacing w:after="0"/>
        <w:rPr>
          <w:sz w:val="20"/>
          <w:szCs w:val="20"/>
          <w:color w:val="auto"/>
        </w:rPr>
      </w:pPr>
      <w:r>
        <w:rPr>
          <w:rFonts w:ascii="Courier New" w:cs="Courier New" w:eastAsia="Courier New" w:hAnsi="Courier New"/>
          <w:sz w:val="18"/>
          <w:szCs w:val="18"/>
          <w:color w:val="auto"/>
        </w:rPr>
        <w:t>Waste Management Inc. of Florida</w:t>
      </w:r>
    </w:p>
    <w:p>
      <w:pPr>
        <w:spacing w:after="0" w:line="237" w:lineRule="auto"/>
        <w:rPr>
          <w:sz w:val="20"/>
          <w:szCs w:val="20"/>
          <w:color w:val="auto"/>
        </w:rPr>
      </w:pPr>
      <w:r>
        <w:rPr>
          <w:rFonts w:ascii="Courier New" w:cs="Courier New" w:eastAsia="Courier New" w:hAnsi="Courier New"/>
          <w:sz w:val="18"/>
          <w:szCs w:val="18"/>
          <w:color w:val="auto"/>
        </w:rPr>
        <w:t>Waste Management Indycoke, L.L.C.</w:t>
      </w:r>
    </w:p>
    <w:p>
      <w:pPr>
        <w:spacing w:after="0"/>
        <w:rPr>
          <w:sz w:val="20"/>
          <w:szCs w:val="20"/>
          <w:color w:val="auto"/>
        </w:rPr>
      </w:pPr>
      <w:r>
        <w:rPr>
          <w:rFonts w:ascii="Courier New" w:cs="Courier New" w:eastAsia="Courier New" w:hAnsi="Courier New"/>
          <w:sz w:val="18"/>
          <w:szCs w:val="18"/>
          <w:color w:val="auto"/>
        </w:rPr>
        <w:t>Waste Management International B.V.</w:t>
      </w:r>
    </w:p>
    <w:p>
      <w:pPr>
        <w:spacing w:after="0" w:line="237" w:lineRule="auto"/>
        <w:rPr>
          <w:sz w:val="20"/>
          <w:szCs w:val="20"/>
          <w:color w:val="auto"/>
        </w:rPr>
      </w:pPr>
      <w:r>
        <w:rPr>
          <w:rFonts w:ascii="Courier New" w:cs="Courier New" w:eastAsia="Courier New" w:hAnsi="Courier New"/>
          <w:sz w:val="18"/>
          <w:szCs w:val="18"/>
          <w:color w:val="auto"/>
        </w:rPr>
        <w:t>Waste Management International plc</w:t>
      </w:r>
    </w:p>
    <w:p>
      <w:pPr>
        <w:spacing w:after="0"/>
        <w:rPr>
          <w:sz w:val="20"/>
          <w:szCs w:val="20"/>
          <w:color w:val="auto"/>
        </w:rPr>
      </w:pPr>
      <w:r>
        <w:rPr>
          <w:rFonts w:ascii="Courier New" w:cs="Courier New" w:eastAsia="Courier New" w:hAnsi="Courier New"/>
          <w:sz w:val="18"/>
          <w:szCs w:val="18"/>
          <w:color w:val="auto"/>
        </w:rPr>
        <w:t>Waste Management International Services Limited</w:t>
      </w:r>
    </w:p>
    <w:p>
      <w:pPr>
        <w:spacing w:after="0" w:line="237" w:lineRule="auto"/>
        <w:rPr>
          <w:sz w:val="20"/>
          <w:szCs w:val="20"/>
          <w:color w:val="auto"/>
        </w:rPr>
      </w:pPr>
      <w:r>
        <w:rPr>
          <w:rFonts w:ascii="Courier New" w:cs="Courier New" w:eastAsia="Courier New" w:hAnsi="Courier New"/>
          <w:sz w:val="18"/>
          <w:szCs w:val="18"/>
          <w:color w:val="auto"/>
        </w:rPr>
        <w:t>Waste Management International, Inc.</w:t>
      </w:r>
    </w:p>
    <w:p>
      <w:pPr>
        <w:spacing w:after="0" w:line="238" w:lineRule="auto"/>
        <w:rPr>
          <w:sz w:val="20"/>
          <w:szCs w:val="20"/>
          <w:color w:val="auto"/>
        </w:rPr>
      </w:pPr>
      <w:r>
        <w:rPr>
          <w:rFonts w:ascii="Courier New" w:cs="Courier New" w:eastAsia="Courier New" w:hAnsi="Courier New"/>
          <w:sz w:val="18"/>
          <w:szCs w:val="18"/>
          <w:color w:val="auto"/>
        </w:rPr>
        <w:t>Waste Management International, Ltd.</w:t>
      </w:r>
    </w:p>
    <w:p>
      <w:pPr>
        <w:spacing w:after="0"/>
        <w:rPr>
          <w:sz w:val="20"/>
          <w:szCs w:val="20"/>
          <w:color w:val="auto"/>
        </w:rPr>
      </w:pPr>
      <w:r>
        <w:rPr>
          <w:rFonts w:ascii="Courier New" w:cs="Courier New" w:eastAsia="Courier New" w:hAnsi="Courier New"/>
          <w:sz w:val="18"/>
          <w:szCs w:val="18"/>
          <w:color w:val="auto"/>
        </w:rPr>
        <w:t>Waste Management Municipal Services of California, Inc.</w:t>
      </w:r>
    </w:p>
    <w:p>
      <w:pPr>
        <w:spacing w:after="0" w:line="237" w:lineRule="auto"/>
        <w:rPr>
          <w:sz w:val="20"/>
          <w:szCs w:val="20"/>
          <w:color w:val="auto"/>
        </w:rPr>
      </w:pPr>
      <w:r>
        <w:rPr>
          <w:rFonts w:ascii="Courier New" w:cs="Courier New" w:eastAsia="Courier New" w:hAnsi="Courier New"/>
          <w:sz w:val="18"/>
          <w:szCs w:val="18"/>
          <w:color w:val="auto"/>
        </w:rPr>
        <w:t>Waste Management National Services, Inc.</w:t>
      </w:r>
    </w:p>
    <w:p>
      <w:pPr>
        <w:spacing w:after="0"/>
        <w:rPr>
          <w:sz w:val="20"/>
          <w:szCs w:val="20"/>
          <w:color w:val="auto"/>
        </w:rPr>
      </w:pPr>
      <w:r>
        <w:rPr>
          <w:rFonts w:ascii="Courier New" w:cs="Courier New" w:eastAsia="Courier New" w:hAnsi="Courier New"/>
          <w:sz w:val="18"/>
          <w:szCs w:val="18"/>
          <w:color w:val="auto"/>
        </w:rPr>
        <w:t>Waste Management New England Environmental Transport, Inc.</w:t>
      </w:r>
    </w:p>
    <w:p>
      <w:pPr>
        <w:spacing w:after="0" w:line="237" w:lineRule="auto"/>
        <w:rPr>
          <w:sz w:val="20"/>
          <w:szCs w:val="20"/>
          <w:color w:val="auto"/>
        </w:rPr>
      </w:pPr>
      <w:r>
        <w:rPr>
          <w:rFonts w:ascii="Courier New" w:cs="Courier New" w:eastAsia="Courier New" w:hAnsi="Courier New"/>
          <w:sz w:val="18"/>
          <w:szCs w:val="18"/>
          <w:color w:val="auto"/>
        </w:rPr>
        <w:t>Waste Management of Alameda County, Inc.</w:t>
      </w:r>
    </w:p>
    <w:p>
      <w:pPr>
        <w:spacing w:after="0"/>
        <w:rPr>
          <w:sz w:val="20"/>
          <w:szCs w:val="20"/>
          <w:color w:val="auto"/>
        </w:rPr>
      </w:pPr>
      <w:r>
        <w:rPr>
          <w:rFonts w:ascii="Courier New" w:cs="Courier New" w:eastAsia="Courier New" w:hAnsi="Courier New"/>
          <w:sz w:val="18"/>
          <w:szCs w:val="18"/>
          <w:color w:val="auto"/>
        </w:rPr>
        <w:t>Waste Management of Alaska, Inc.</w:t>
      </w:r>
    </w:p>
    <w:p>
      <w:pPr>
        <w:spacing w:after="0" w:line="237" w:lineRule="auto"/>
        <w:rPr>
          <w:sz w:val="20"/>
          <w:szCs w:val="20"/>
          <w:color w:val="auto"/>
        </w:rPr>
      </w:pPr>
      <w:r>
        <w:rPr>
          <w:rFonts w:ascii="Courier New" w:cs="Courier New" w:eastAsia="Courier New" w:hAnsi="Courier New"/>
          <w:sz w:val="18"/>
          <w:szCs w:val="18"/>
          <w:color w:val="auto"/>
        </w:rPr>
        <w:t>Waste Management of Arizona, Inc.</w:t>
      </w:r>
    </w:p>
    <w:p>
      <w:pPr>
        <w:spacing w:after="0"/>
        <w:rPr>
          <w:sz w:val="20"/>
          <w:szCs w:val="20"/>
          <w:color w:val="auto"/>
        </w:rPr>
      </w:pPr>
      <w:r>
        <w:rPr>
          <w:rFonts w:ascii="Courier New" w:cs="Courier New" w:eastAsia="Courier New" w:hAnsi="Courier New"/>
          <w:sz w:val="18"/>
          <w:szCs w:val="18"/>
          <w:color w:val="auto"/>
        </w:rPr>
        <w:t>Waste Management of Arkansas, Inc.</w:t>
      </w:r>
    </w:p>
    <w:p>
      <w:pPr>
        <w:spacing w:after="0" w:line="237" w:lineRule="auto"/>
        <w:rPr>
          <w:sz w:val="20"/>
          <w:szCs w:val="20"/>
          <w:color w:val="auto"/>
        </w:rPr>
      </w:pPr>
      <w:r>
        <w:rPr>
          <w:rFonts w:ascii="Courier New" w:cs="Courier New" w:eastAsia="Courier New" w:hAnsi="Courier New"/>
          <w:sz w:val="18"/>
          <w:szCs w:val="18"/>
          <w:color w:val="auto"/>
        </w:rPr>
        <w:t>Waste Management of California, Inc.</w:t>
      </w:r>
    </w:p>
    <w:p>
      <w:pPr>
        <w:spacing w:after="0" w:line="238" w:lineRule="auto"/>
        <w:rPr>
          <w:sz w:val="20"/>
          <w:szCs w:val="20"/>
          <w:color w:val="auto"/>
        </w:rPr>
      </w:pPr>
      <w:r>
        <w:rPr>
          <w:rFonts w:ascii="Courier New" w:cs="Courier New" w:eastAsia="Courier New" w:hAnsi="Courier New"/>
          <w:sz w:val="18"/>
          <w:szCs w:val="18"/>
          <w:color w:val="auto"/>
        </w:rPr>
        <w:t>Waste Management of Canada Corporation</w:t>
      </w:r>
    </w:p>
    <w:p>
      <w:pPr>
        <w:spacing w:after="0"/>
        <w:rPr>
          <w:sz w:val="20"/>
          <w:szCs w:val="20"/>
          <w:color w:val="auto"/>
        </w:rPr>
      </w:pPr>
      <w:r>
        <w:rPr>
          <w:rFonts w:ascii="Courier New" w:cs="Courier New" w:eastAsia="Courier New" w:hAnsi="Courier New"/>
          <w:sz w:val="18"/>
          <w:szCs w:val="18"/>
          <w:color w:val="auto"/>
        </w:rPr>
        <w:t>Waste Management of Carolinas, Inc.</w:t>
      </w:r>
    </w:p>
    <w:p>
      <w:pPr>
        <w:spacing w:after="0" w:line="237" w:lineRule="auto"/>
        <w:rPr>
          <w:sz w:val="20"/>
          <w:szCs w:val="20"/>
          <w:color w:val="auto"/>
        </w:rPr>
      </w:pPr>
      <w:r>
        <w:rPr>
          <w:rFonts w:ascii="Courier New" w:cs="Courier New" w:eastAsia="Courier New" w:hAnsi="Courier New"/>
          <w:sz w:val="18"/>
          <w:szCs w:val="18"/>
          <w:color w:val="auto"/>
        </w:rPr>
        <w:t>Waste Management of Colorado, Inc.</w:t>
      </w:r>
    </w:p>
    <w:p>
      <w:pPr>
        <w:spacing w:after="0"/>
        <w:rPr>
          <w:sz w:val="20"/>
          <w:szCs w:val="20"/>
          <w:color w:val="auto"/>
        </w:rPr>
      </w:pPr>
      <w:r>
        <w:rPr>
          <w:rFonts w:ascii="Courier New" w:cs="Courier New" w:eastAsia="Courier New" w:hAnsi="Courier New"/>
          <w:sz w:val="18"/>
          <w:szCs w:val="18"/>
          <w:color w:val="auto"/>
        </w:rPr>
        <w:t>Waste Management of Connecticut, Inc.</w:t>
      </w:r>
    </w:p>
    <w:p>
      <w:pPr>
        <w:spacing w:after="0" w:line="237" w:lineRule="auto"/>
        <w:rPr>
          <w:sz w:val="20"/>
          <w:szCs w:val="20"/>
          <w:color w:val="auto"/>
        </w:rPr>
      </w:pPr>
      <w:r>
        <w:rPr>
          <w:rFonts w:ascii="Courier New" w:cs="Courier New" w:eastAsia="Courier New" w:hAnsi="Courier New"/>
          <w:sz w:val="18"/>
          <w:szCs w:val="18"/>
          <w:color w:val="auto"/>
        </w:rPr>
        <w:t>Waste Management of Delaware,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of Five Oaks Recycling and Disposal Facility,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of Georgia, Inc.</w:t>
      </w:r>
    </w:p>
    <w:p>
      <w:pPr>
        <w:spacing w:after="0" w:line="238" w:lineRule="auto"/>
        <w:rPr>
          <w:sz w:val="20"/>
          <w:szCs w:val="20"/>
          <w:color w:val="auto"/>
        </w:rPr>
      </w:pPr>
      <w:r>
        <w:rPr>
          <w:rFonts w:ascii="Courier New" w:cs="Courier New" w:eastAsia="Courier New" w:hAnsi="Courier New"/>
          <w:sz w:val="18"/>
          <w:szCs w:val="18"/>
          <w:color w:val="auto"/>
        </w:rPr>
        <w:t>Waste Management of Hawaii, Inc.</w:t>
      </w:r>
    </w:p>
    <w:p>
      <w:pPr>
        <w:spacing w:after="0"/>
        <w:rPr>
          <w:sz w:val="20"/>
          <w:szCs w:val="20"/>
          <w:color w:val="auto"/>
        </w:rPr>
      </w:pPr>
      <w:r>
        <w:rPr>
          <w:rFonts w:ascii="Courier New" w:cs="Courier New" w:eastAsia="Courier New" w:hAnsi="Courier New"/>
          <w:sz w:val="18"/>
          <w:szCs w:val="18"/>
          <w:color w:val="auto"/>
        </w:rPr>
        <w:t>Waste Management of Idaho, Inc.</w:t>
      </w:r>
    </w:p>
    <w:p>
      <w:pPr>
        <w:spacing w:after="0" w:line="237" w:lineRule="auto"/>
        <w:rPr>
          <w:sz w:val="20"/>
          <w:szCs w:val="20"/>
          <w:color w:val="auto"/>
        </w:rPr>
      </w:pPr>
      <w:r>
        <w:rPr>
          <w:rFonts w:ascii="Courier New" w:cs="Courier New" w:eastAsia="Courier New" w:hAnsi="Courier New"/>
          <w:sz w:val="18"/>
          <w:szCs w:val="18"/>
          <w:color w:val="auto"/>
        </w:rPr>
        <w:t>Waste Management of Illinois Holdings, L.L.C.</w:t>
      </w:r>
    </w:p>
    <w:p>
      <w:pPr>
        <w:spacing w:after="0" w:line="238" w:lineRule="auto"/>
        <w:rPr>
          <w:sz w:val="20"/>
          <w:szCs w:val="20"/>
          <w:color w:val="auto"/>
        </w:rPr>
      </w:pPr>
      <w:r>
        <w:rPr>
          <w:rFonts w:ascii="Courier New" w:cs="Courier New" w:eastAsia="Courier New" w:hAnsi="Courier New"/>
          <w:sz w:val="18"/>
          <w:szCs w:val="18"/>
          <w:color w:val="auto"/>
        </w:rPr>
        <w:t>Waste Management of Illinois, Inc.</w:t>
      </w:r>
    </w:p>
    <w:p>
      <w:pPr>
        <w:spacing w:after="0"/>
        <w:rPr>
          <w:sz w:val="20"/>
          <w:szCs w:val="20"/>
          <w:color w:val="auto"/>
        </w:rPr>
      </w:pPr>
      <w:r>
        <w:rPr>
          <w:rFonts w:ascii="Courier New" w:cs="Courier New" w:eastAsia="Courier New" w:hAnsi="Courier New"/>
          <w:sz w:val="18"/>
          <w:szCs w:val="18"/>
          <w:color w:val="auto"/>
        </w:rPr>
        <w:t>Waste Management of Indiana Holdings One, Inc.</w:t>
      </w:r>
    </w:p>
    <w:p>
      <w:pPr>
        <w:spacing w:after="0" w:line="237" w:lineRule="auto"/>
        <w:rPr>
          <w:sz w:val="20"/>
          <w:szCs w:val="20"/>
          <w:color w:val="auto"/>
        </w:rPr>
      </w:pPr>
      <w:r>
        <w:rPr>
          <w:rFonts w:ascii="Courier New" w:cs="Courier New" w:eastAsia="Courier New" w:hAnsi="Courier New"/>
          <w:sz w:val="18"/>
          <w:szCs w:val="18"/>
          <w:color w:val="auto"/>
        </w:rPr>
        <w:t>Waste Management of Indiana Holdings Two, Inc.</w:t>
      </w:r>
    </w:p>
    <w:p>
      <w:pPr>
        <w:spacing w:after="0"/>
        <w:rPr>
          <w:sz w:val="20"/>
          <w:szCs w:val="20"/>
          <w:color w:val="auto"/>
        </w:rPr>
      </w:pPr>
      <w:r>
        <w:rPr>
          <w:rFonts w:ascii="Courier New" w:cs="Courier New" w:eastAsia="Courier New" w:hAnsi="Courier New"/>
          <w:sz w:val="18"/>
          <w:szCs w:val="18"/>
          <w:color w:val="auto"/>
        </w:rPr>
        <w:t>Waste Management of Indiana, L.L.C.</w:t>
      </w:r>
    </w:p>
    <w:p>
      <w:pPr>
        <w:spacing w:after="0" w:line="237" w:lineRule="auto"/>
        <w:rPr>
          <w:sz w:val="20"/>
          <w:szCs w:val="20"/>
          <w:color w:val="auto"/>
        </w:rPr>
      </w:pPr>
      <w:r>
        <w:rPr>
          <w:rFonts w:ascii="Courier New" w:cs="Courier New" w:eastAsia="Courier New" w:hAnsi="Courier New"/>
          <w:sz w:val="18"/>
          <w:szCs w:val="18"/>
          <w:color w:val="auto"/>
        </w:rPr>
        <w:t>Waste Management of Iowa, Inc.</w:t>
      </w:r>
    </w:p>
    <w:p>
      <w:pPr>
        <w:spacing w:after="0"/>
        <w:rPr>
          <w:sz w:val="20"/>
          <w:szCs w:val="20"/>
          <w:color w:val="auto"/>
        </w:rPr>
      </w:pPr>
      <w:r>
        <w:rPr>
          <w:rFonts w:ascii="Courier New" w:cs="Courier New" w:eastAsia="Courier New" w:hAnsi="Courier New"/>
          <w:sz w:val="18"/>
          <w:szCs w:val="18"/>
          <w:color w:val="auto"/>
        </w:rPr>
        <w:t>Waste Management of Kansas, Inc.</w:t>
      </w:r>
    </w:p>
    <w:p>
      <w:pPr>
        <w:spacing w:after="0" w:line="237" w:lineRule="auto"/>
        <w:rPr>
          <w:sz w:val="20"/>
          <w:szCs w:val="20"/>
          <w:color w:val="auto"/>
        </w:rPr>
      </w:pPr>
      <w:r>
        <w:rPr>
          <w:rFonts w:ascii="Courier New" w:cs="Courier New" w:eastAsia="Courier New" w:hAnsi="Courier New"/>
          <w:sz w:val="18"/>
          <w:szCs w:val="18"/>
          <w:color w:val="auto"/>
        </w:rPr>
        <w:t>Waste Management of Kentucky Holdings, Inc.</w:t>
      </w:r>
    </w:p>
    <w:p>
      <w:pPr>
        <w:spacing w:after="0" w:line="238" w:lineRule="auto"/>
        <w:rPr>
          <w:sz w:val="20"/>
          <w:szCs w:val="20"/>
          <w:color w:val="auto"/>
        </w:rPr>
      </w:pPr>
      <w:r>
        <w:rPr>
          <w:rFonts w:ascii="Courier New" w:cs="Courier New" w:eastAsia="Courier New" w:hAnsi="Courier New"/>
          <w:sz w:val="18"/>
          <w:szCs w:val="18"/>
          <w:color w:val="auto"/>
        </w:rPr>
        <w:t>Waste Management of Kentucky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Quebec</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Colorado</w:t>
      </w:r>
    </w:p>
    <w:p>
      <w:pPr>
        <w:spacing w:after="0" w:line="237" w:lineRule="auto"/>
        <w:rPr>
          <w:sz w:val="20"/>
          <w:szCs w:val="20"/>
          <w:color w:val="auto"/>
        </w:rPr>
      </w:pPr>
      <w:r>
        <w:rPr>
          <w:rFonts w:ascii="Courier New" w:cs="Courier New" w:eastAsia="Courier New" w:hAnsi="Courier New"/>
          <w:sz w:val="18"/>
          <w:szCs w:val="18"/>
          <w:color w:val="auto"/>
        </w:rPr>
        <w:t>Maine</w:t>
      </w:r>
    </w:p>
    <w:p>
      <w:pPr>
        <w:spacing w:after="0" w:line="238"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Netherlands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Bermuda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Nova Scotia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Colorado</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Idaho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Iowa</w:t>
      </w:r>
    </w:p>
    <w:p>
      <w:pPr>
        <w:spacing w:after="0" w:line="237" w:lineRule="auto"/>
        <w:rPr>
          <w:sz w:val="20"/>
          <w:szCs w:val="20"/>
          <w:color w:val="auto"/>
        </w:rPr>
      </w:pPr>
      <w:r>
        <w:rPr>
          <w:rFonts w:ascii="Courier New" w:cs="Courier New" w:eastAsia="Courier New" w:hAnsi="Courier New"/>
          <w:sz w:val="18"/>
          <w:szCs w:val="18"/>
          <w:color w:val="auto"/>
        </w:rPr>
        <w:t>Kansas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7180" w:space="720"/>
            <w:col w:w="2540"/>
          </w:cols>
          <w:pgMar w:left="240" w:top="1122" w:right="1219" w:bottom="1440" w:gutter="0" w:footer="0" w:header="0"/>
          <w:type w:val="continuous"/>
        </w:sectPr>
      </w:pPr>
    </w:p>
    <w:bookmarkStart w:id="206" w:name="page207"/>
    <w:bookmarkEnd w:id="206"/>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380" w:space="5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of Leon County, Inc.</w:t>
      </w:r>
    </w:p>
    <w:p>
      <w:pPr>
        <w:spacing w:after="0" w:line="238" w:lineRule="auto"/>
        <w:rPr>
          <w:sz w:val="20"/>
          <w:szCs w:val="20"/>
          <w:color w:val="auto"/>
        </w:rPr>
      </w:pPr>
      <w:r>
        <w:rPr>
          <w:rFonts w:ascii="Courier New" w:cs="Courier New" w:eastAsia="Courier New" w:hAnsi="Courier New"/>
          <w:sz w:val="18"/>
          <w:szCs w:val="18"/>
          <w:color w:val="auto"/>
        </w:rPr>
        <w:t>Waste Management of Louisiana Holdings One, Inc.</w:t>
      </w:r>
    </w:p>
    <w:p>
      <w:pPr>
        <w:spacing w:after="0"/>
        <w:rPr>
          <w:sz w:val="20"/>
          <w:szCs w:val="20"/>
          <w:color w:val="auto"/>
        </w:rPr>
      </w:pPr>
      <w:r>
        <w:rPr>
          <w:rFonts w:ascii="Courier New" w:cs="Courier New" w:eastAsia="Courier New" w:hAnsi="Courier New"/>
          <w:sz w:val="18"/>
          <w:szCs w:val="18"/>
          <w:color w:val="auto"/>
        </w:rPr>
        <w:t>Waste Management of Louisiana, L.L.C.</w:t>
      </w:r>
    </w:p>
    <w:p>
      <w:pPr>
        <w:spacing w:after="0" w:line="237" w:lineRule="auto"/>
        <w:rPr>
          <w:sz w:val="20"/>
          <w:szCs w:val="20"/>
          <w:color w:val="auto"/>
        </w:rPr>
      </w:pPr>
      <w:r>
        <w:rPr>
          <w:rFonts w:ascii="Courier New" w:cs="Courier New" w:eastAsia="Courier New" w:hAnsi="Courier New"/>
          <w:sz w:val="18"/>
          <w:szCs w:val="18"/>
          <w:color w:val="auto"/>
        </w:rPr>
        <w:t>Waste Management of Maine, Inc.</w:t>
      </w:r>
    </w:p>
    <w:p>
      <w:pPr>
        <w:spacing w:after="0" w:line="238" w:lineRule="auto"/>
        <w:rPr>
          <w:sz w:val="20"/>
          <w:szCs w:val="20"/>
          <w:color w:val="auto"/>
        </w:rPr>
      </w:pPr>
      <w:r>
        <w:rPr>
          <w:rFonts w:ascii="Courier New" w:cs="Courier New" w:eastAsia="Courier New" w:hAnsi="Courier New"/>
          <w:sz w:val="18"/>
          <w:szCs w:val="18"/>
          <w:color w:val="auto"/>
        </w:rPr>
        <w:t>Waste Management of Maryland, Inc.</w:t>
      </w:r>
    </w:p>
    <w:p>
      <w:pPr>
        <w:spacing w:after="0"/>
        <w:rPr>
          <w:sz w:val="20"/>
          <w:szCs w:val="20"/>
          <w:color w:val="auto"/>
        </w:rPr>
      </w:pPr>
      <w:r>
        <w:rPr>
          <w:rFonts w:ascii="Courier New" w:cs="Courier New" w:eastAsia="Courier New" w:hAnsi="Courier New"/>
          <w:sz w:val="18"/>
          <w:szCs w:val="18"/>
          <w:color w:val="auto"/>
        </w:rPr>
        <w:t>Waste Management of Massachusetts, Inc.</w:t>
      </w:r>
    </w:p>
    <w:p>
      <w:pPr>
        <w:spacing w:after="0" w:line="237" w:lineRule="auto"/>
        <w:rPr>
          <w:sz w:val="20"/>
          <w:szCs w:val="20"/>
          <w:color w:val="auto"/>
        </w:rPr>
      </w:pPr>
      <w:r>
        <w:rPr>
          <w:rFonts w:ascii="Courier New" w:cs="Courier New" w:eastAsia="Courier New" w:hAnsi="Courier New"/>
          <w:sz w:val="18"/>
          <w:szCs w:val="18"/>
          <w:color w:val="auto"/>
        </w:rPr>
        <w:t>Waste Management of Metro Atlanta, Inc.</w:t>
      </w:r>
    </w:p>
    <w:p>
      <w:pPr>
        <w:spacing w:after="0"/>
        <w:rPr>
          <w:sz w:val="20"/>
          <w:szCs w:val="20"/>
          <w:color w:val="auto"/>
        </w:rPr>
      </w:pPr>
      <w:r>
        <w:rPr>
          <w:rFonts w:ascii="Courier New" w:cs="Courier New" w:eastAsia="Courier New" w:hAnsi="Courier New"/>
          <w:sz w:val="18"/>
          <w:szCs w:val="18"/>
          <w:color w:val="auto"/>
        </w:rPr>
        <w:t>Waste Management of Michigan, Inc.</w:t>
      </w:r>
    </w:p>
    <w:p>
      <w:pPr>
        <w:spacing w:after="0" w:line="237" w:lineRule="auto"/>
        <w:rPr>
          <w:sz w:val="20"/>
          <w:szCs w:val="20"/>
          <w:color w:val="auto"/>
        </w:rPr>
      </w:pPr>
      <w:r>
        <w:rPr>
          <w:rFonts w:ascii="Courier New" w:cs="Courier New" w:eastAsia="Courier New" w:hAnsi="Courier New"/>
          <w:sz w:val="18"/>
          <w:szCs w:val="18"/>
          <w:color w:val="auto"/>
        </w:rPr>
        <w:t>Waste Management of Minnesota, Inc.</w:t>
      </w:r>
    </w:p>
    <w:p>
      <w:pPr>
        <w:spacing w:after="0"/>
        <w:rPr>
          <w:sz w:val="20"/>
          <w:szCs w:val="20"/>
          <w:color w:val="auto"/>
        </w:rPr>
      </w:pPr>
      <w:r>
        <w:rPr>
          <w:rFonts w:ascii="Courier New" w:cs="Courier New" w:eastAsia="Courier New" w:hAnsi="Courier New"/>
          <w:sz w:val="18"/>
          <w:szCs w:val="18"/>
          <w:color w:val="auto"/>
        </w:rPr>
        <w:t>Waste Management of Mississippi, Inc.</w:t>
      </w:r>
    </w:p>
    <w:p>
      <w:pPr>
        <w:spacing w:after="0" w:line="237" w:lineRule="auto"/>
        <w:rPr>
          <w:sz w:val="20"/>
          <w:szCs w:val="20"/>
          <w:color w:val="auto"/>
        </w:rPr>
      </w:pPr>
      <w:r>
        <w:rPr>
          <w:rFonts w:ascii="Courier New" w:cs="Courier New" w:eastAsia="Courier New" w:hAnsi="Courier New"/>
          <w:sz w:val="18"/>
          <w:szCs w:val="18"/>
          <w:color w:val="auto"/>
        </w:rPr>
        <w:t>Waste Management of Missouri, Inc.</w:t>
      </w:r>
    </w:p>
    <w:p>
      <w:pPr>
        <w:spacing w:after="0" w:line="238" w:lineRule="auto"/>
        <w:rPr>
          <w:sz w:val="20"/>
          <w:szCs w:val="20"/>
          <w:color w:val="auto"/>
        </w:rPr>
      </w:pPr>
      <w:r>
        <w:rPr>
          <w:rFonts w:ascii="Courier New" w:cs="Courier New" w:eastAsia="Courier New" w:hAnsi="Courier New"/>
          <w:sz w:val="18"/>
          <w:szCs w:val="18"/>
          <w:color w:val="auto"/>
        </w:rPr>
        <w:t>Waste Management of Montana, Inc</w:t>
      </w:r>
    </w:p>
    <w:p>
      <w:pPr>
        <w:spacing w:after="0"/>
        <w:rPr>
          <w:sz w:val="20"/>
          <w:szCs w:val="20"/>
          <w:color w:val="auto"/>
        </w:rPr>
      </w:pPr>
      <w:r>
        <w:rPr>
          <w:rFonts w:ascii="Courier New" w:cs="Courier New" w:eastAsia="Courier New" w:hAnsi="Courier New"/>
          <w:sz w:val="18"/>
          <w:szCs w:val="18"/>
          <w:color w:val="auto"/>
        </w:rPr>
        <w:t>Waste Management of Nebraska, Inc.</w:t>
      </w:r>
    </w:p>
    <w:p>
      <w:pPr>
        <w:spacing w:after="0" w:line="237" w:lineRule="auto"/>
        <w:rPr>
          <w:sz w:val="20"/>
          <w:szCs w:val="20"/>
          <w:color w:val="auto"/>
        </w:rPr>
      </w:pPr>
      <w:r>
        <w:rPr>
          <w:rFonts w:ascii="Courier New" w:cs="Courier New" w:eastAsia="Courier New" w:hAnsi="Courier New"/>
          <w:sz w:val="18"/>
          <w:szCs w:val="18"/>
          <w:color w:val="auto"/>
        </w:rPr>
        <w:t>Waste Management of Nevada, Inc.</w:t>
      </w:r>
    </w:p>
    <w:p>
      <w:pPr>
        <w:spacing w:after="0"/>
        <w:rPr>
          <w:sz w:val="20"/>
          <w:szCs w:val="20"/>
          <w:color w:val="auto"/>
        </w:rPr>
      </w:pPr>
      <w:r>
        <w:rPr>
          <w:rFonts w:ascii="Courier New" w:cs="Courier New" w:eastAsia="Courier New" w:hAnsi="Courier New"/>
          <w:sz w:val="18"/>
          <w:szCs w:val="18"/>
          <w:color w:val="auto"/>
        </w:rPr>
        <w:t>Waste Management of New Hampshire, Inc.</w:t>
      </w:r>
    </w:p>
    <w:p>
      <w:pPr>
        <w:spacing w:after="0" w:line="237" w:lineRule="auto"/>
        <w:rPr>
          <w:sz w:val="20"/>
          <w:szCs w:val="20"/>
          <w:color w:val="auto"/>
        </w:rPr>
      </w:pPr>
      <w:r>
        <w:rPr>
          <w:rFonts w:ascii="Courier New" w:cs="Courier New" w:eastAsia="Courier New" w:hAnsi="Courier New"/>
          <w:sz w:val="18"/>
          <w:szCs w:val="18"/>
          <w:color w:val="auto"/>
        </w:rPr>
        <w:t>Waste Management of New Jersey, Inc.</w:t>
      </w:r>
    </w:p>
    <w:p>
      <w:pPr>
        <w:spacing w:after="0"/>
        <w:rPr>
          <w:sz w:val="20"/>
          <w:szCs w:val="20"/>
          <w:color w:val="auto"/>
        </w:rPr>
      </w:pPr>
      <w:r>
        <w:rPr>
          <w:rFonts w:ascii="Courier New" w:cs="Courier New" w:eastAsia="Courier New" w:hAnsi="Courier New"/>
          <w:sz w:val="18"/>
          <w:szCs w:val="18"/>
          <w:color w:val="auto"/>
        </w:rPr>
        <w:t>Waste Management of New Mexico, Inc.</w:t>
      </w:r>
    </w:p>
    <w:p>
      <w:pPr>
        <w:spacing w:after="0" w:line="237" w:lineRule="auto"/>
        <w:rPr>
          <w:sz w:val="20"/>
          <w:szCs w:val="20"/>
          <w:color w:val="auto"/>
        </w:rPr>
      </w:pPr>
      <w:r>
        <w:rPr>
          <w:rFonts w:ascii="Courier New" w:cs="Courier New" w:eastAsia="Courier New" w:hAnsi="Courier New"/>
          <w:sz w:val="18"/>
          <w:szCs w:val="18"/>
          <w:color w:val="auto"/>
        </w:rPr>
        <w:t>Waste Management of New York, L.L.C.</w:t>
      </w:r>
    </w:p>
    <w:p>
      <w:pPr>
        <w:spacing w:after="0" w:line="238" w:lineRule="auto"/>
        <w:rPr>
          <w:sz w:val="20"/>
          <w:szCs w:val="20"/>
          <w:color w:val="auto"/>
        </w:rPr>
      </w:pPr>
      <w:r>
        <w:rPr>
          <w:rFonts w:ascii="Courier New" w:cs="Courier New" w:eastAsia="Courier New" w:hAnsi="Courier New"/>
          <w:sz w:val="18"/>
          <w:szCs w:val="18"/>
          <w:color w:val="auto"/>
        </w:rPr>
        <w:t>Waste Management of North Dakota, Inc.</w:t>
      </w:r>
    </w:p>
    <w:p>
      <w:pPr>
        <w:spacing w:after="0"/>
        <w:rPr>
          <w:sz w:val="20"/>
          <w:szCs w:val="20"/>
          <w:color w:val="auto"/>
        </w:rPr>
      </w:pPr>
      <w:r>
        <w:rPr>
          <w:rFonts w:ascii="Courier New" w:cs="Courier New" w:eastAsia="Courier New" w:hAnsi="Courier New"/>
          <w:sz w:val="18"/>
          <w:szCs w:val="18"/>
          <w:color w:val="auto"/>
        </w:rPr>
        <w:t>Waste Management of Ohio, Inc.</w:t>
      </w:r>
    </w:p>
    <w:p>
      <w:pPr>
        <w:spacing w:after="0" w:line="237" w:lineRule="auto"/>
        <w:rPr>
          <w:sz w:val="20"/>
          <w:szCs w:val="20"/>
          <w:color w:val="auto"/>
        </w:rPr>
      </w:pPr>
      <w:r>
        <w:rPr>
          <w:rFonts w:ascii="Courier New" w:cs="Courier New" w:eastAsia="Courier New" w:hAnsi="Courier New"/>
          <w:sz w:val="18"/>
          <w:szCs w:val="18"/>
          <w:color w:val="auto"/>
        </w:rPr>
        <w:t>Waste Management of Oklahoma, Inc.</w:t>
      </w:r>
    </w:p>
    <w:p>
      <w:pPr>
        <w:spacing w:after="0"/>
        <w:rPr>
          <w:sz w:val="20"/>
          <w:szCs w:val="20"/>
          <w:color w:val="auto"/>
        </w:rPr>
      </w:pPr>
      <w:r>
        <w:rPr>
          <w:rFonts w:ascii="Courier New" w:cs="Courier New" w:eastAsia="Courier New" w:hAnsi="Courier New"/>
          <w:sz w:val="18"/>
          <w:szCs w:val="18"/>
          <w:color w:val="auto"/>
        </w:rPr>
        <w:t>Waste Management of Oregon, Inc.</w:t>
      </w:r>
    </w:p>
    <w:p>
      <w:pPr>
        <w:spacing w:after="0" w:line="237" w:lineRule="auto"/>
        <w:rPr>
          <w:sz w:val="20"/>
          <w:szCs w:val="20"/>
          <w:color w:val="auto"/>
        </w:rPr>
      </w:pPr>
      <w:r>
        <w:rPr>
          <w:rFonts w:ascii="Courier New" w:cs="Courier New" w:eastAsia="Courier New" w:hAnsi="Courier New"/>
          <w:sz w:val="18"/>
          <w:szCs w:val="18"/>
          <w:color w:val="auto"/>
        </w:rPr>
        <w:t>Waste Management of Pennsylvania, Inc.</w:t>
      </w:r>
    </w:p>
    <w:p>
      <w:pPr>
        <w:spacing w:after="0"/>
        <w:rPr>
          <w:sz w:val="20"/>
          <w:szCs w:val="20"/>
          <w:color w:val="auto"/>
        </w:rPr>
      </w:pPr>
      <w:r>
        <w:rPr>
          <w:rFonts w:ascii="Courier New" w:cs="Courier New" w:eastAsia="Courier New" w:hAnsi="Courier New"/>
          <w:sz w:val="18"/>
          <w:szCs w:val="18"/>
          <w:color w:val="auto"/>
        </w:rPr>
        <w:t>Waste Management of Plainfield, L.L.C.</w:t>
      </w:r>
    </w:p>
    <w:p>
      <w:pPr>
        <w:spacing w:after="0" w:line="237" w:lineRule="auto"/>
        <w:rPr>
          <w:sz w:val="20"/>
          <w:szCs w:val="20"/>
          <w:color w:val="auto"/>
        </w:rPr>
      </w:pPr>
      <w:r>
        <w:rPr>
          <w:rFonts w:ascii="Courier New" w:cs="Courier New" w:eastAsia="Courier New" w:hAnsi="Courier New"/>
          <w:sz w:val="18"/>
          <w:szCs w:val="18"/>
          <w:color w:val="auto"/>
        </w:rPr>
        <w:t>Waste Management of Rhode Island, Inc.</w:t>
      </w:r>
    </w:p>
    <w:p>
      <w:pPr>
        <w:spacing w:after="0"/>
        <w:rPr>
          <w:sz w:val="20"/>
          <w:szCs w:val="20"/>
          <w:color w:val="auto"/>
        </w:rPr>
      </w:pPr>
      <w:r>
        <w:rPr>
          <w:rFonts w:ascii="Courier New" w:cs="Courier New" w:eastAsia="Courier New" w:hAnsi="Courier New"/>
          <w:sz w:val="18"/>
          <w:szCs w:val="18"/>
          <w:color w:val="auto"/>
        </w:rPr>
        <w:t>Waste Management of South Carolina, Inc.</w:t>
      </w:r>
    </w:p>
    <w:p>
      <w:pPr>
        <w:spacing w:after="0" w:line="237" w:lineRule="auto"/>
        <w:rPr>
          <w:sz w:val="20"/>
          <w:szCs w:val="20"/>
          <w:color w:val="auto"/>
        </w:rPr>
      </w:pPr>
      <w:r>
        <w:rPr>
          <w:rFonts w:ascii="Courier New" w:cs="Courier New" w:eastAsia="Courier New" w:hAnsi="Courier New"/>
          <w:sz w:val="18"/>
          <w:szCs w:val="18"/>
          <w:color w:val="auto"/>
        </w:rPr>
        <w:t>Waste Management of South Dakota, Inc.</w:t>
      </w:r>
    </w:p>
    <w:p>
      <w:pPr>
        <w:spacing w:after="0" w:line="238" w:lineRule="auto"/>
        <w:rPr>
          <w:sz w:val="20"/>
          <w:szCs w:val="20"/>
          <w:color w:val="auto"/>
        </w:rPr>
      </w:pPr>
      <w:r>
        <w:rPr>
          <w:rFonts w:ascii="Courier New" w:cs="Courier New" w:eastAsia="Courier New" w:hAnsi="Courier New"/>
          <w:sz w:val="18"/>
          <w:szCs w:val="18"/>
          <w:color w:val="auto"/>
        </w:rPr>
        <w:t>Waste Management of Texas Holdings, Inc.</w:t>
      </w:r>
    </w:p>
    <w:p>
      <w:pPr>
        <w:spacing w:after="0"/>
        <w:rPr>
          <w:sz w:val="20"/>
          <w:szCs w:val="20"/>
          <w:color w:val="auto"/>
        </w:rPr>
      </w:pPr>
      <w:r>
        <w:rPr>
          <w:rFonts w:ascii="Courier New" w:cs="Courier New" w:eastAsia="Courier New" w:hAnsi="Courier New"/>
          <w:sz w:val="18"/>
          <w:szCs w:val="18"/>
          <w:color w:val="auto"/>
        </w:rPr>
        <w:t>Waste Management of Texas, Inc.</w:t>
      </w:r>
    </w:p>
    <w:p>
      <w:pPr>
        <w:spacing w:after="0" w:line="237" w:lineRule="auto"/>
        <w:rPr>
          <w:sz w:val="20"/>
          <w:szCs w:val="20"/>
          <w:color w:val="auto"/>
        </w:rPr>
      </w:pPr>
      <w:r>
        <w:rPr>
          <w:rFonts w:ascii="Courier New" w:cs="Courier New" w:eastAsia="Courier New" w:hAnsi="Courier New"/>
          <w:sz w:val="18"/>
          <w:szCs w:val="18"/>
          <w:color w:val="auto"/>
        </w:rPr>
        <w:t>Waste Management of Texas, L.P.</w:t>
      </w:r>
    </w:p>
    <w:p>
      <w:pPr>
        <w:spacing w:after="0"/>
        <w:rPr>
          <w:sz w:val="20"/>
          <w:szCs w:val="20"/>
          <w:color w:val="auto"/>
        </w:rPr>
      </w:pPr>
      <w:r>
        <w:rPr>
          <w:rFonts w:ascii="Courier New" w:cs="Courier New" w:eastAsia="Courier New" w:hAnsi="Courier New"/>
          <w:sz w:val="18"/>
          <w:szCs w:val="18"/>
          <w:color w:val="auto"/>
        </w:rPr>
        <w:t>Waste Management of Tunica Landfill, Inc.</w:t>
      </w:r>
    </w:p>
    <w:p>
      <w:pPr>
        <w:spacing w:after="0" w:line="237" w:lineRule="auto"/>
        <w:rPr>
          <w:sz w:val="20"/>
          <w:szCs w:val="20"/>
          <w:color w:val="auto"/>
        </w:rPr>
      </w:pPr>
      <w:r>
        <w:rPr>
          <w:rFonts w:ascii="Courier New" w:cs="Courier New" w:eastAsia="Courier New" w:hAnsi="Courier New"/>
          <w:sz w:val="18"/>
          <w:szCs w:val="18"/>
          <w:color w:val="auto"/>
        </w:rPr>
        <w:t>Waste Management of Utah, Inc.</w:t>
      </w:r>
    </w:p>
    <w:p>
      <w:pPr>
        <w:spacing w:after="0"/>
        <w:rPr>
          <w:sz w:val="20"/>
          <w:szCs w:val="20"/>
          <w:color w:val="auto"/>
        </w:rPr>
      </w:pPr>
      <w:r>
        <w:rPr>
          <w:rFonts w:ascii="Courier New" w:cs="Courier New" w:eastAsia="Courier New" w:hAnsi="Courier New"/>
          <w:sz w:val="18"/>
          <w:szCs w:val="18"/>
          <w:color w:val="auto"/>
        </w:rPr>
        <w:t>Waste Management of Virginia, Inc.</w:t>
      </w:r>
    </w:p>
    <w:p>
      <w:pPr>
        <w:spacing w:after="0" w:line="237" w:lineRule="auto"/>
        <w:rPr>
          <w:sz w:val="20"/>
          <w:szCs w:val="20"/>
          <w:color w:val="auto"/>
        </w:rPr>
      </w:pPr>
      <w:r>
        <w:rPr>
          <w:rFonts w:ascii="Courier New" w:cs="Courier New" w:eastAsia="Courier New" w:hAnsi="Courier New"/>
          <w:sz w:val="18"/>
          <w:szCs w:val="18"/>
          <w:color w:val="auto"/>
        </w:rPr>
        <w:t>Waste Management of Washington, Inc.</w:t>
      </w:r>
    </w:p>
    <w:p>
      <w:pPr>
        <w:spacing w:after="0" w:line="238" w:lineRule="auto"/>
        <w:rPr>
          <w:sz w:val="20"/>
          <w:szCs w:val="20"/>
          <w:color w:val="auto"/>
        </w:rPr>
      </w:pPr>
      <w:r>
        <w:rPr>
          <w:rFonts w:ascii="Courier New" w:cs="Courier New" w:eastAsia="Courier New" w:hAnsi="Courier New"/>
          <w:sz w:val="18"/>
          <w:szCs w:val="18"/>
          <w:color w:val="auto"/>
        </w:rPr>
        <w:t>Waste Management of West Virginia, Inc.</w:t>
      </w:r>
    </w:p>
    <w:p>
      <w:pPr>
        <w:spacing w:after="0"/>
        <w:rPr>
          <w:sz w:val="20"/>
          <w:szCs w:val="20"/>
          <w:color w:val="auto"/>
        </w:rPr>
      </w:pPr>
      <w:r>
        <w:rPr>
          <w:rFonts w:ascii="Courier New" w:cs="Courier New" w:eastAsia="Courier New" w:hAnsi="Courier New"/>
          <w:sz w:val="18"/>
          <w:szCs w:val="18"/>
          <w:color w:val="auto"/>
        </w:rPr>
        <w:t>Waste Management of Wisconsin, Inc.</w:t>
      </w:r>
    </w:p>
    <w:p>
      <w:pPr>
        <w:spacing w:after="0" w:line="237" w:lineRule="auto"/>
        <w:rPr>
          <w:sz w:val="20"/>
          <w:szCs w:val="20"/>
          <w:color w:val="auto"/>
        </w:rPr>
      </w:pPr>
      <w:r>
        <w:rPr>
          <w:rFonts w:ascii="Courier New" w:cs="Courier New" w:eastAsia="Courier New" w:hAnsi="Courier New"/>
          <w:sz w:val="18"/>
          <w:szCs w:val="18"/>
          <w:color w:val="auto"/>
        </w:rPr>
        <w:t>Waste Management of Wyoming, Inc.</w:t>
      </w:r>
    </w:p>
    <w:p>
      <w:pPr>
        <w:spacing w:after="0"/>
        <w:rPr>
          <w:sz w:val="20"/>
          <w:szCs w:val="20"/>
          <w:color w:val="auto"/>
        </w:rPr>
      </w:pPr>
      <w:r>
        <w:rPr>
          <w:rFonts w:ascii="Courier New" w:cs="Courier New" w:eastAsia="Courier New" w:hAnsi="Courier New"/>
          <w:sz w:val="18"/>
          <w:szCs w:val="18"/>
          <w:color w:val="auto"/>
        </w:rPr>
        <w:t>Waste Management Paper Stock Company, Inc.</w:t>
      </w:r>
    </w:p>
    <w:p>
      <w:pPr>
        <w:spacing w:after="0" w:line="237" w:lineRule="auto"/>
        <w:rPr>
          <w:sz w:val="20"/>
          <w:szCs w:val="20"/>
          <w:color w:val="auto"/>
        </w:rPr>
      </w:pPr>
      <w:r>
        <w:rPr>
          <w:rFonts w:ascii="Courier New" w:cs="Courier New" w:eastAsia="Courier New" w:hAnsi="Courier New"/>
          <w:sz w:val="18"/>
          <w:szCs w:val="18"/>
          <w:color w:val="auto"/>
        </w:rPr>
        <w:t>Waste Management Partners, Inc.</w:t>
      </w:r>
    </w:p>
    <w:p>
      <w:pPr>
        <w:spacing w:after="0"/>
        <w:rPr>
          <w:sz w:val="20"/>
          <w:szCs w:val="20"/>
          <w:color w:val="auto"/>
        </w:rPr>
      </w:pPr>
      <w:r>
        <w:rPr>
          <w:rFonts w:ascii="Courier New" w:cs="Courier New" w:eastAsia="Courier New" w:hAnsi="Courier New"/>
          <w:sz w:val="18"/>
          <w:szCs w:val="18"/>
          <w:color w:val="auto"/>
        </w:rPr>
        <w:t>Waste Management Plastic Products, Inc.</w:t>
      </w:r>
    </w:p>
    <w:p>
      <w:pPr>
        <w:spacing w:after="0" w:line="237" w:lineRule="auto"/>
        <w:rPr>
          <w:sz w:val="20"/>
          <w:szCs w:val="20"/>
          <w:color w:val="auto"/>
        </w:rPr>
      </w:pPr>
      <w:r>
        <w:rPr>
          <w:rFonts w:ascii="Courier New" w:cs="Courier New" w:eastAsia="Courier New" w:hAnsi="Courier New"/>
          <w:sz w:val="18"/>
          <w:szCs w:val="18"/>
          <w:color w:val="auto"/>
        </w:rPr>
        <w:t>Waste Management Quebec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Recycling and Disposal Services of California,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Recycling of New Jersey, L.L.C.</w:t>
      </w:r>
    </w:p>
    <w:p>
      <w:pPr>
        <w:spacing w:after="0" w:line="238" w:lineRule="auto"/>
        <w:rPr>
          <w:sz w:val="20"/>
          <w:szCs w:val="20"/>
          <w:color w:val="auto"/>
        </w:rPr>
      </w:pPr>
      <w:r>
        <w:rPr>
          <w:rFonts w:ascii="Courier New" w:cs="Courier New" w:eastAsia="Courier New" w:hAnsi="Courier New"/>
          <w:sz w:val="18"/>
          <w:szCs w:val="18"/>
          <w:color w:val="auto"/>
        </w:rPr>
        <w:t>Waste Management Security Services, L.L.C.</w:t>
      </w:r>
    </w:p>
    <w:p>
      <w:pPr>
        <w:spacing w:after="0"/>
        <w:rPr>
          <w:sz w:val="20"/>
          <w:szCs w:val="20"/>
          <w:color w:val="auto"/>
        </w:rPr>
      </w:pPr>
      <w:r>
        <w:rPr>
          <w:rFonts w:ascii="Courier New" w:cs="Courier New" w:eastAsia="Courier New" w:hAnsi="Courier New"/>
          <w:sz w:val="18"/>
          <w:szCs w:val="18"/>
          <w:color w:val="auto"/>
        </w:rPr>
        <w:t>Waste Management Service Center,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Maine</w:t>
      </w:r>
    </w:p>
    <w:p>
      <w:pPr>
        <w:spacing w:after="0" w:line="238"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Mississippi</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Connecticut</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Mexico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Oklahoma</w:t>
      </w:r>
    </w:p>
    <w:p>
      <w:pPr>
        <w:spacing w:after="0"/>
        <w:rPr>
          <w:sz w:val="20"/>
          <w:szCs w:val="20"/>
          <w:color w:val="auto"/>
        </w:rPr>
      </w:pPr>
      <w:r>
        <w:rPr>
          <w:rFonts w:ascii="Courier New" w:cs="Courier New" w:eastAsia="Courier New" w:hAnsi="Courier New"/>
          <w:sz w:val="18"/>
          <w:szCs w:val="18"/>
          <w:color w:val="auto"/>
        </w:rPr>
        <w:t>Oregon</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Dakota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Mississippi</w:t>
      </w:r>
    </w:p>
    <w:p>
      <w:pPr>
        <w:spacing w:after="0"/>
        <w:rPr>
          <w:sz w:val="20"/>
          <w:szCs w:val="20"/>
          <w:color w:val="auto"/>
        </w:rPr>
      </w:pPr>
      <w:r>
        <w:rPr>
          <w:rFonts w:ascii="Courier New" w:cs="Courier New" w:eastAsia="Courier New" w:hAnsi="Courier New"/>
          <w:sz w:val="18"/>
          <w:szCs w:val="18"/>
          <w:color w:val="auto"/>
        </w:rPr>
        <w:t>Utah</w:t>
      </w:r>
    </w:p>
    <w:p>
      <w:pPr>
        <w:spacing w:after="0" w:line="237" w:lineRule="auto"/>
        <w:rPr>
          <w:sz w:val="20"/>
          <w:szCs w:val="20"/>
          <w:color w:val="auto"/>
        </w:rPr>
      </w:pPr>
      <w:r>
        <w:rPr>
          <w:rFonts w:ascii="Courier New" w:cs="Courier New" w:eastAsia="Courier New" w:hAnsi="Courier New"/>
          <w:sz w:val="18"/>
          <w:szCs w:val="18"/>
          <w:color w:val="auto"/>
        </w:rPr>
        <w:t>Virginia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Wisconsin</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7180" w:space="720"/>
            <w:col w:w="2540"/>
          </w:cols>
          <w:pgMar w:left="240" w:top="1122" w:right="1219" w:bottom="1440" w:gutter="0" w:footer="0" w:header="0"/>
          <w:type w:val="continuous"/>
        </w:sectPr>
      </w:pPr>
    </w:p>
    <w:bookmarkStart w:id="207" w:name="page208"/>
    <w:bookmarkEnd w:id="207"/>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Services AG</w:t>
      </w:r>
    </w:p>
    <w:p>
      <w:pPr>
        <w:spacing w:after="0" w:line="238" w:lineRule="auto"/>
        <w:rPr>
          <w:sz w:val="20"/>
          <w:szCs w:val="20"/>
          <w:color w:val="auto"/>
        </w:rPr>
      </w:pPr>
      <w:r>
        <w:rPr>
          <w:rFonts w:ascii="Courier New" w:cs="Courier New" w:eastAsia="Courier New" w:hAnsi="Courier New"/>
          <w:sz w:val="18"/>
          <w:szCs w:val="18"/>
          <w:color w:val="auto"/>
        </w:rPr>
        <w:t>Waste Management South America B.V.</w:t>
      </w:r>
    </w:p>
    <w:p>
      <w:pPr>
        <w:spacing w:after="0"/>
        <w:rPr>
          <w:sz w:val="20"/>
          <w:szCs w:val="20"/>
          <w:color w:val="auto"/>
        </w:rPr>
      </w:pPr>
      <w:r>
        <w:rPr>
          <w:rFonts w:ascii="Courier New" w:cs="Courier New" w:eastAsia="Courier New" w:hAnsi="Courier New"/>
          <w:sz w:val="18"/>
          <w:szCs w:val="18"/>
          <w:color w:val="auto"/>
        </w:rPr>
        <w:t>Waste Management Technology Center, Inc.</w:t>
      </w:r>
    </w:p>
    <w:p>
      <w:pPr>
        <w:spacing w:after="0" w:line="237" w:lineRule="auto"/>
        <w:rPr>
          <w:sz w:val="20"/>
          <w:szCs w:val="20"/>
          <w:color w:val="auto"/>
        </w:rPr>
      </w:pPr>
      <w:r>
        <w:rPr>
          <w:rFonts w:ascii="Courier New" w:cs="Courier New" w:eastAsia="Courier New" w:hAnsi="Courier New"/>
          <w:sz w:val="18"/>
          <w:szCs w:val="18"/>
          <w:color w:val="auto"/>
        </w:rPr>
        <w:t>Waste Management Thailand B.V.</w:t>
      </w:r>
    </w:p>
    <w:p>
      <w:pPr>
        <w:spacing w:after="0" w:line="238" w:lineRule="auto"/>
        <w:rPr>
          <w:sz w:val="20"/>
          <w:szCs w:val="20"/>
          <w:color w:val="auto"/>
        </w:rPr>
      </w:pPr>
      <w:r>
        <w:rPr>
          <w:rFonts w:ascii="Courier New" w:cs="Courier New" w:eastAsia="Courier New" w:hAnsi="Courier New"/>
          <w:sz w:val="18"/>
          <w:szCs w:val="18"/>
          <w:color w:val="auto"/>
        </w:rPr>
        <w:t>Waste Management, Inc. of Tennessee</w:t>
      </w:r>
    </w:p>
    <w:p>
      <w:pPr>
        <w:spacing w:after="0"/>
        <w:rPr>
          <w:sz w:val="20"/>
          <w:szCs w:val="20"/>
          <w:color w:val="auto"/>
        </w:rPr>
      </w:pPr>
      <w:r>
        <w:rPr>
          <w:rFonts w:ascii="Courier New" w:cs="Courier New" w:eastAsia="Courier New" w:hAnsi="Courier New"/>
          <w:sz w:val="18"/>
          <w:szCs w:val="18"/>
          <w:color w:val="auto"/>
        </w:rPr>
        <w:t>Waste Resources of Tennessee, Inc.</w:t>
      </w:r>
    </w:p>
    <w:p>
      <w:pPr>
        <w:spacing w:after="0" w:line="237" w:lineRule="auto"/>
        <w:rPr>
          <w:sz w:val="20"/>
          <w:szCs w:val="20"/>
          <w:color w:val="auto"/>
        </w:rPr>
      </w:pPr>
      <w:r>
        <w:rPr>
          <w:rFonts w:ascii="Courier New" w:cs="Courier New" w:eastAsia="Courier New" w:hAnsi="Courier New"/>
          <w:sz w:val="18"/>
          <w:szCs w:val="18"/>
          <w:color w:val="auto"/>
        </w:rPr>
        <w:t>Waste Services of Kentucky, L.L.C.</w:t>
      </w:r>
    </w:p>
    <w:p>
      <w:pPr>
        <w:spacing w:after="0"/>
        <w:rPr>
          <w:sz w:val="20"/>
          <w:szCs w:val="20"/>
          <w:color w:val="auto"/>
        </w:rPr>
      </w:pPr>
      <w:r>
        <w:rPr>
          <w:rFonts w:ascii="Courier New" w:cs="Courier New" w:eastAsia="Courier New" w:hAnsi="Courier New"/>
          <w:sz w:val="18"/>
          <w:szCs w:val="18"/>
          <w:color w:val="auto"/>
        </w:rPr>
        <w:t>Waste to Energy Holdings, Inc.</w:t>
      </w:r>
    </w:p>
    <w:p>
      <w:pPr>
        <w:spacing w:after="0" w:line="237" w:lineRule="auto"/>
        <w:rPr>
          <w:sz w:val="20"/>
          <w:szCs w:val="20"/>
          <w:color w:val="auto"/>
        </w:rPr>
      </w:pPr>
      <w:r>
        <w:rPr>
          <w:rFonts w:ascii="Courier New" w:cs="Courier New" w:eastAsia="Courier New" w:hAnsi="Courier New"/>
          <w:sz w:val="18"/>
          <w:szCs w:val="18"/>
          <w:color w:val="auto"/>
        </w:rPr>
        <w:t>Wastech Inc.</w:t>
      </w:r>
    </w:p>
    <w:p>
      <w:pPr>
        <w:spacing w:after="0"/>
        <w:rPr>
          <w:sz w:val="20"/>
          <w:szCs w:val="20"/>
          <w:color w:val="auto"/>
        </w:rPr>
      </w:pPr>
      <w:r>
        <w:rPr>
          <w:rFonts w:ascii="Courier New" w:cs="Courier New" w:eastAsia="Courier New" w:hAnsi="Courier New"/>
          <w:sz w:val="18"/>
          <w:szCs w:val="18"/>
          <w:color w:val="auto"/>
        </w:rPr>
        <w:t>Webster Parish Landfill, L.L.C.</w:t>
      </w:r>
    </w:p>
    <w:p>
      <w:pPr>
        <w:spacing w:after="0" w:line="237" w:lineRule="auto"/>
        <w:rPr>
          <w:sz w:val="20"/>
          <w:szCs w:val="20"/>
          <w:color w:val="auto"/>
        </w:rPr>
      </w:pPr>
      <w:r>
        <w:rPr>
          <w:rFonts w:ascii="Courier New" w:cs="Courier New" w:eastAsia="Courier New" w:hAnsi="Courier New"/>
          <w:sz w:val="18"/>
          <w:szCs w:val="18"/>
          <w:color w:val="auto"/>
        </w:rPr>
        <w:t>WESI Baltimore Inc.</w:t>
      </w:r>
    </w:p>
    <w:p>
      <w:pPr>
        <w:spacing w:after="0" w:line="238" w:lineRule="auto"/>
        <w:rPr>
          <w:sz w:val="20"/>
          <w:szCs w:val="20"/>
          <w:color w:val="auto"/>
        </w:rPr>
      </w:pPr>
      <w:r>
        <w:rPr>
          <w:rFonts w:ascii="Courier New" w:cs="Courier New" w:eastAsia="Courier New" w:hAnsi="Courier New"/>
          <w:sz w:val="18"/>
          <w:szCs w:val="18"/>
          <w:color w:val="auto"/>
        </w:rPr>
        <w:t>WESI Capital Inc.</w:t>
      </w:r>
    </w:p>
    <w:p>
      <w:pPr>
        <w:spacing w:after="0"/>
        <w:rPr>
          <w:sz w:val="20"/>
          <w:szCs w:val="20"/>
          <w:color w:val="auto"/>
        </w:rPr>
      </w:pPr>
      <w:r>
        <w:rPr>
          <w:rFonts w:ascii="Courier New" w:cs="Courier New" w:eastAsia="Courier New" w:hAnsi="Courier New"/>
          <w:sz w:val="18"/>
          <w:szCs w:val="18"/>
          <w:color w:val="auto"/>
        </w:rPr>
        <w:t>WESI Peekskill Inc.</w:t>
      </w:r>
    </w:p>
    <w:p>
      <w:pPr>
        <w:spacing w:after="0" w:line="237" w:lineRule="auto"/>
        <w:rPr>
          <w:sz w:val="20"/>
          <w:szCs w:val="20"/>
          <w:color w:val="auto"/>
        </w:rPr>
      </w:pPr>
      <w:r>
        <w:rPr>
          <w:rFonts w:ascii="Courier New" w:cs="Courier New" w:eastAsia="Courier New" w:hAnsi="Courier New"/>
          <w:sz w:val="18"/>
          <w:szCs w:val="18"/>
          <w:color w:val="auto"/>
        </w:rPr>
        <w:t>WESI Westchester Inc.</w:t>
      </w:r>
    </w:p>
    <w:p>
      <w:pPr>
        <w:spacing w:after="0"/>
        <w:rPr>
          <w:sz w:val="20"/>
          <w:szCs w:val="20"/>
          <w:color w:val="auto"/>
        </w:rPr>
      </w:pPr>
      <w:r>
        <w:rPr>
          <w:rFonts w:ascii="Courier New" w:cs="Courier New" w:eastAsia="Courier New" w:hAnsi="Courier New"/>
          <w:sz w:val="18"/>
          <w:szCs w:val="18"/>
          <w:color w:val="auto"/>
        </w:rPr>
        <w:t>Western One Land Corporation</w:t>
      </w:r>
    </w:p>
    <w:p>
      <w:pPr>
        <w:spacing w:after="0" w:line="237" w:lineRule="auto"/>
        <w:rPr>
          <w:sz w:val="20"/>
          <w:szCs w:val="20"/>
          <w:color w:val="auto"/>
        </w:rPr>
      </w:pPr>
      <w:r>
        <w:rPr>
          <w:rFonts w:ascii="Courier New" w:cs="Courier New" w:eastAsia="Courier New" w:hAnsi="Courier New"/>
          <w:sz w:val="18"/>
          <w:szCs w:val="18"/>
          <w:color w:val="auto"/>
        </w:rPr>
        <w:t>Western Waste Industries</w:t>
      </w:r>
    </w:p>
    <w:p>
      <w:pPr>
        <w:spacing w:after="0"/>
        <w:rPr>
          <w:sz w:val="20"/>
          <w:szCs w:val="20"/>
          <w:color w:val="auto"/>
        </w:rPr>
      </w:pPr>
      <w:r>
        <w:rPr>
          <w:rFonts w:ascii="Courier New" w:cs="Courier New" w:eastAsia="Courier New" w:hAnsi="Courier New"/>
          <w:sz w:val="18"/>
          <w:szCs w:val="18"/>
          <w:color w:val="auto"/>
        </w:rPr>
        <w:t>Western Waste of Texas, L.L.C.</w:t>
      </w:r>
    </w:p>
    <w:p>
      <w:pPr>
        <w:spacing w:after="0" w:line="237" w:lineRule="auto"/>
        <w:rPr>
          <w:sz w:val="20"/>
          <w:szCs w:val="20"/>
          <w:color w:val="auto"/>
        </w:rPr>
      </w:pPr>
      <w:r>
        <w:rPr>
          <w:rFonts w:ascii="Courier New" w:cs="Courier New" w:eastAsia="Courier New" w:hAnsi="Courier New"/>
          <w:sz w:val="18"/>
          <w:szCs w:val="18"/>
          <w:color w:val="auto"/>
        </w:rPr>
        <w:t>Wheelabrator Baltimore L.L.C.</w:t>
      </w:r>
    </w:p>
    <w:p>
      <w:pPr>
        <w:spacing w:after="0" w:line="238" w:lineRule="auto"/>
        <w:rPr>
          <w:sz w:val="20"/>
          <w:szCs w:val="20"/>
          <w:color w:val="auto"/>
        </w:rPr>
      </w:pPr>
      <w:r>
        <w:rPr>
          <w:rFonts w:ascii="Courier New" w:cs="Courier New" w:eastAsia="Courier New" w:hAnsi="Courier New"/>
          <w:sz w:val="18"/>
          <w:szCs w:val="18"/>
          <w:color w:val="auto"/>
        </w:rPr>
        <w:t>Wheelabrator Baltimore, L.P.</w:t>
      </w:r>
    </w:p>
    <w:p>
      <w:pPr>
        <w:spacing w:after="0"/>
        <w:rPr>
          <w:sz w:val="20"/>
          <w:szCs w:val="20"/>
          <w:color w:val="auto"/>
        </w:rPr>
      </w:pPr>
      <w:r>
        <w:rPr>
          <w:rFonts w:ascii="Courier New" w:cs="Courier New" w:eastAsia="Courier New" w:hAnsi="Courier New"/>
          <w:sz w:val="18"/>
          <w:szCs w:val="18"/>
          <w:color w:val="auto"/>
        </w:rPr>
        <w:t>Wheelabrator Bridgeport, L.P.</w:t>
      </w:r>
    </w:p>
    <w:p>
      <w:pPr>
        <w:spacing w:after="0" w:line="237" w:lineRule="auto"/>
        <w:rPr>
          <w:sz w:val="20"/>
          <w:szCs w:val="20"/>
          <w:color w:val="auto"/>
        </w:rPr>
      </w:pPr>
      <w:r>
        <w:rPr>
          <w:rFonts w:ascii="Courier New" w:cs="Courier New" w:eastAsia="Courier New" w:hAnsi="Courier New"/>
          <w:sz w:val="18"/>
          <w:szCs w:val="18"/>
          <w:color w:val="auto"/>
        </w:rPr>
        <w:t>Wheelabrator Cedar Creek Inc.</w:t>
      </w:r>
    </w:p>
    <w:p>
      <w:pPr>
        <w:spacing w:after="0"/>
        <w:rPr>
          <w:sz w:val="20"/>
          <w:szCs w:val="20"/>
          <w:color w:val="auto"/>
        </w:rPr>
      </w:pPr>
      <w:r>
        <w:rPr>
          <w:rFonts w:ascii="Courier New" w:cs="Courier New" w:eastAsia="Courier New" w:hAnsi="Courier New"/>
          <w:sz w:val="18"/>
          <w:szCs w:val="18"/>
          <w:color w:val="auto"/>
        </w:rPr>
        <w:t>Wheelabrator Claremont Company, L.P.</w:t>
      </w:r>
    </w:p>
    <w:p>
      <w:pPr>
        <w:spacing w:after="0" w:line="237" w:lineRule="auto"/>
        <w:rPr>
          <w:sz w:val="20"/>
          <w:szCs w:val="20"/>
          <w:color w:val="auto"/>
        </w:rPr>
      </w:pPr>
      <w:r>
        <w:rPr>
          <w:rFonts w:ascii="Courier New" w:cs="Courier New" w:eastAsia="Courier New" w:hAnsi="Courier New"/>
          <w:sz w:val="18"/>
          <w:szCs w:val="18"/>
          <w:color w:val="auto"/>
        </w:rPr>
        <w:t>Wheelabrator Concord Company, L.P.</w:t>
      </w:r>
    </w:p>
    <w:p>
      <w:pPr>
        <w:spacing w:after="0"/>
        <w:rPr>
          <w:sz w:val="20"/>
          <w:szCs w:val="20"/>
          <w:color w:val="auto"/>
        </w:rPr>
      </w:pPr>
      <w:r>
        <w:rPr>
          <w:rFonts w:ascii="Courier New" w:cs="Courier New" w:eastAsia="Courier New" w:hAnsi="Courier New"/>
          <w:sz w:val="18"/>
          <w:szCs w:val="18"/>
          <w:color w:val="auto"/>
        </w:rPr>
        <w:t>Wheelabrator Concord Inc.</w:t>
      </w:r>
    </w:p>
    <w:p>
      <w:pPr>
        <w:spacing w:after="0" w:line="237" w:lineRule="auto"/>
        <w:rPr>
          <w:sz w:val="20"/>
          <w:szCs w:val="20"/>
          <w:color w:val="auto"/>
        </w:rPr>
      </w:pPr>
      <w:r>
        <w:rPr>
          <w:rFonts w:ascii="Courier New" w:cs="Courier New" w:eastAsia="Courier New" w:hAnsi="Courier New"/>
          <w:sz w:val="18"/>
          <w:szCs w:val="18"/>
          <w:color w:val="auto"/>
        </w:rPr>
        <w:t>Wheelabrator Connecticut Inc.</w:t>
      </w:r>
    </w:p>
    <w:p>
      <w:pPr>
        <w:spacing w:after="0"/>
        <w:rPr>
          <w:sz w:val="20"/>
          <w:szCs w:val="20"/>
          <w:color w:val="auto"/>
        </w:rPr>
      </w:pPr>
      <w:r>
        <w:rPr>
          <w:rFonts w:ascii="Courier New" w:cs="Courier New" w:eastAsia="Courier New" w:hAnsi="Courier New"/>
          <w:sz w:val="18"/>
          <w:szCs w:val="18"/>
          <w:color w:val="auto"/>
        </w:rPr>
        <w:t>Wheelabrator Culm Services Inc.</w:t>
      </w:r>
    </w:p>
    <w:p>
      <w:pPr>
        <w:spacing w:after="0" w:line="237" w:lineRule="auto"/>
        <w:rPr>
          <w:sz w:val="20"/>
          <w:szCs w:val="20"/>
          <w:color w:val="auto"/>
        </w:rPr>
      </w:pPr>
      <w:r>
        <w:rPr>
          <w:rFonts w:ascii="Courier New" w:cs="Courier New" w:eastAsia="Courier New" w:hAnsi="Courier New"/>
          <w:sz w:val="18"/>
          <w:szCs w:val="18"/>
          <w:color w:val="auto"/>
        </w:rPr>
        <w:t>Wheelabrator Environmental Systems Inc.</w:t>
      </w:r>
    </w:p>
    <w:p>
      <w:pPr>
        <w:spacing w:after="0" w:line="238" w:lineRule="auto"/>
        <w:rPr>
          <w:sz w:val="20"/>
          <w:szCs w:val="20"/>
          <w:color w:val="auto"/>
        </w:rPr>
      </w:pPr>
      <w:r>
        <w:rPr>
          <w:rFonts w:ascii="Courier New" w:cs="Courier New" w:eastAsia="Courier New" w:hAnsi="Courier New"/>
          <w:sz w:val="18"/>
          <w:szCs w:val="18"/>
          <w:color w:val="auto"/>
        </w:rPr>
        <w:t>Wheelabrator Falls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Wheelabrator Frackville Energy Company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Wheelabrator Frackville Properties Inc.</w:t>
      </w:r>
    </w:p>
    <w:p>
      <w:pPr>
        <w:spacing w:after="0" w:line="238" w:lineRule="auto"/>
        <w:rPr>
          <w:sz w:val="20"/>
          <w:szCs w:val="20"/>
          <w:color w:val="auto"/>
        </w:rPr>
      </w:pPr>
      <w:r>
        <w:rPr>
          <w:rFonts w:ascii="Courier New" w:cs="Courier New" w:eastAsia="Courier New" w:hAnsi="Courier New"/>
          <w:sz w:val="18"/>
          <w:szCs w:val="18"/>
          <w:color w:val="auto"/>
        </w:rPr>
        <w:t>Wheelabrator Fuel Services Inc.</w:t>
      </w:r>
    </w:p>
    <w:p>
      <w:pPr>
        <w:spacing w:after="0"/>
        <w:rPr>
          <w:sz w:val="20"/>
          <w:szCs w:val="20"/>
          <w:color w:val="auto"/>
        </w:rPr>
      </w:pPr>
      <w:r>
        <w:rPr>
          <w:rFonts w:ascii="Courier New" w:cs="Courier New" w:eastAsia="Courier New" w:hAnsi="Courier New"/>
          <w:sz w:val="18"/>
          <w:szCs w:val="18"/>
          <w:color w:val="auto"/>
        </w:rPr>
        <w:t>Wheelabrator Gloucester Company, L.P.</w:t>
      </w:r>
    </w:p>
    <w:p>
      <w:pPr>
        <w:spacing w:after="0" w:line="237" w:lineRule="auto"/>
        <w:rPr>
          <w:sz w:val="20"/>
          <w:szCs w:val="20"/>
          <w:color w:val="auto"/>
        </w:rPr>
      </w:pPr>
      <w:r>
        <w:rPr>
          <w:rFonts w:ascii="Courier New" w:cs="Courier New" w:eastAsia="Courier New" w:hAnsi="Courier New"/>
          <w:sz w:val="18"/>
          <w:szCs w:val="18"/>
          <w:color w:val="auto"/>
        </w:rPr>
        <w:t>Wheelabrator Gloucester Inc.</w:t>
      </w:r>
    </w:p>
    <w:p>
      <w:pPr>
        <w:spacing w:after="0" w:line="238" w:lineRule="auto"/>
        <w:rPr>
          <w:sz w:val="20"/>
          <w:szCs w:val="20"/>
          <w:color w:val="auto"/>
        </w:rPr>
      </w:pPr>
      <w:r>
        <w:rPr>
          <w:rFonts w:ascii="Courier New" w:cs="Courier New" w:eastAsia="Courier New" w:hAnsi="Courier New"/>
          <w:sz w:val="18"/>
          <w:szCs w:val="18"/>
          <w:color w:val="auto"/>
        </w:rPr>
        <w:t>Wheelabrator Guam Inc.</w:t>
      </w:r>
    </w:p>
    <w:p>
      <w:pPr>
        <w:spacing w:after="0"/>
        <w:rPr>
          <w:sz w:val="20"/>
          <w:szCs w:val="20"/>
          <w:color w:val="auto"/>
        </w:rPr>
      </w:pPr>
      <w:r>
        <w:rPr>
          <w:rFonts w:ascii="Courier New" w:cs="Courier New" w:eastAsia="Courier New" w:hAnsi="Courier New"/>
          <w:sz w:val="18"/>
          <w:szCs w:val="18"/>
          <w:color w:val="auto"/>
        </w:rPr>
        <w:t>Wheelabrator Hudson Energy Company Inc.</w:t>
      </w:r>
    </w:p>
    <w:p>
      <w:pPr>
        <w:spacing w:after="0" w:line="237" w:lineRule="auto"/>
        <w:rPr>
          <w:sz w:val="20"/>
          <w:szCs w:val="20"/>
          <w:color w:val="auto"/>
        </w:rPr>
      </w:pPr>
      <w:r>
        <w:rPr>
          <w:rFonts w:ascii="Courier New" w:cs="Courier New" w:eastAsia="Courier New" w:hAnsi="Courier New"/>
          <w:sz w:val="18"/>
          <w:szCs w:val="18"/>
          <w:color w:val="auto"/>
        </w:rPr>
        <w:t>Wheelabrator Hudson Falls L.L.C.</w:t>
      </w:r>
    </w:p>
    <w:p>
      <w:pPr>
        <w:spacing w:after="0"/>
        <w:rPr>
          <w:sz w:val="20"/>
          <w:szCs w:val="20"/>
          <w:color w:val="auto"/>
        </w:rPr>
      </w:pPr>
      <w:r>
        <w:rPr>
          <w:rFonts w:ascii="Courier New" w:cs="Courier New" w:eastAsia="Courier New" w:hAnsi="Courier New"/>
          <w:sz w:val="18"/>
          <w:szCs w:val="18"/>
          <w:color w:val="auto"/>
        </w:rPr>
        <w:t>Wheelabrator Land Resources Inc.</w:t>
      </w:r>
    </w:p>
    <w:p>
      <w:pPr>
        <w:spacing w:after="0" w:line="237" w:lineRule="auto"/>
        <w:rPr>
          <w:sz w:val="20"/>
          <w:szCs w:val="20"/>
          <w:color w:val="auto"/>
        </w:rPr>
      </w:pPr>
      <w:r>
        <w:rPr>
          <w:rFonts w:ascii="Courier New" w:cs="Courier New" w:eastAsia="Courier New" w:hAnsi="Courier New"/>
          <w:sz w:val="18"/>
          <w:szCs w:val="18"/>
          <w:color w:val="auto"/>
        </w:rPr>
        <w:t>Wheelabrator Lassen Inc.</w:t>
      </w:r>
    </w:p>
    <w:p>
      <w:pPr>
        <w:spacing w:after="0"/>
        <w:rPr>
          <w:sz w:val="20"/>
          <w:szCs w:val="20"/>
          <w:color w:val="auto"/>
        </w:rPr>
      </w:pPr>
      <w:r>
        <w:rPr>
          <w:rFonts w:ascii="Courier New" w:cs="Courier New" w:eastAsia="Courier New" w:hAnsi="Courier New"/>
          <w:sz w:val="18"/>
          <w:szCs w:val="18"/>
          <w:color w:val="auto"/>
        </w:rPr>
        <w:t>Wheelabrator Lisbon Inc.</w:t>
      </w:r>
    </w:p>
    <w:p>
      <w:pPr>
        <w:spacing w:after="0" w:line="237" w:lineRule="auto"/>
        <w:rPr>
          <w:sz w:val="20"/>
          <w:szCs w:val="20"/>
          <w:color w:val="auto"/>
        </w:rPr>
      </w:pPr>
      <w:r>
        <w:rPr>
          <w:rFonts w:ascii="Courier New" w:cs="Courier New" w:eastAsia="Courier New" w:hAnsi="Courier New"/>
          <w:sz w:val="18"/>
          <w:szCs w:val="18"/>
          <w:color w:val="auto"/>
        </w:rPr>
        <w:t>Wheelabrator Martell Inc.</w:t>
      </w:r>
    </w:p>
    <w:p>
      <w:pPr>
        <w:spacing w:after="0" w:line="238" w:lineRule="auto"/>
        <w:rPr>
          <w:sz w:val="20"/>
          <w:szCs w:val="20"/>
          <w:color w:val="auto"/>
        </w:rPr>
      </w:pPr>
      <w:r>
        <w:rPr>
          <w:rFonts w:ascii="Courier New" w:cs="Courier New" w:eastAsia="Courier New" w:hAnsi="Courier New"/>
          <w:sz w:val="18"/>
          <w:szCs w:val="18"/>
          <w:color w:val="auto"/>
        </w:rPr>
        <w:t>Wheelabrator McKay Bay Inc.</w:t>
      </w:r>
    </w:p>
    <w:p>
      <w:pPr>
        <w:spacing w:after="0"/>
        <w:rPr>
          <w:sz w:val="20"/>
          <w:szCs w:val="20"/>
          <w:color w:val="auto"/>
        </w:rPr>
      </w:pPr>
      <w:r>
        <w:rPr>
          <w:rFonts w:ascii="Courier New" w:cs="Courier New" w:eastAsia="Courier New" w:hAnsi="Courier New"/>
          <w:sz w:val="18"/>
          <w:szCs w:val="18"/>
          <w:color w:val="auto"/>
        </w:rPr>
        <w:t>Wheelabrator Millbury Inc.</w:t>
      </w:r>
    </w:p>
    <w:p>
      <w:pPr>
        <w:spacing w:after="0" w:line="237" w:lineRule="auto"/>
        <w:rPr>
          <w:sz w:val="20"/>
          <w:szCs w:val="20"/>
          <w:color w:val="auto"/>
        </w:rPr>
      </w:pPr>
      <w:r>
        <w:rPr>
          <w:rFonts w:ascii="Courier New" w:cs="Courier New" w:eastAsia="Courier New" w:hAnsi="Courier New"/>
          <w:sz w:val="18"/>
          <w:szCs w:val="18"/>
          <w:color w:val="auto"/>
        </w:rPr>
        <w:t>Wheelabrator New Hampshire Inc.</w:t>
      </w:r>
    </w:p>
    <w:p>
      <w:pPr>
        <w:spacing w:after="0"/>
        <w:rPr>
          <w:sz w:val="20"/>
          <w:szCs w:val="20"/>
          <w:color w:val="auto"/>
        </w:rPr>
      </w:pPr>
      <w:r>
        <w:rPr>
          <w:rFonts w:ascii="Courier New" w:cs="Courier New" w:eastAsia="Courier New" w:hAnsi="Courier New"/>
          <w:sz w:val="18"/>
          <w:szCs w:val="18"/>
          <w:color w:val="auto"/>
        </w:rPr>
        <w:t>Wheelabrator New Jersey Inc.</w:t>
      </w:r>
    </w:p>
    <w:p>
      <w:pPr>
        <w:spacing w:after="0" w:line="237" w:lineRule="auto"/>
        <w:rPr>
          <w:sz w:val="20"/>
          <w:szCs w:val="20"/>
          <w:color w:val="auto"/>
        </w:rPr>
      </w:pPr>
      <w:r>
        <w:rPr>
          <w:rFonts w:ascii="Courier New" w:cs="Courier New" w:eastAsia="Courier New" w:hAnsi="Courier New"/>
          <w:sz w:val="18"/>
          <w:szCs w:val="18"/>
          <w:color w:val="auto"/>
        </w:rPr>
        <w:t>Wheelabrator NHC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Switzerland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Tennessee</w:t>
      </w:r>
    </w:p>
    <w:p>
      <w:pPr>
        <w:spacing w:after="0" w:line="238" w:lineRule="auto"/>
        <w:rPr>
          <w:sz w:val="20"/>
          <w:szCs w:val="20"/>
          <w:color w:val="auto"/>
        </w:rPr>
      </w:pPr>
      <w:r>
        <w:rPr>
          <w:rFonts w:ascii="Courier New" w:cs="Courier New" w:eastAsia="Courier New" w:hAnsi="Courier New"/>
          <w:sz w:val="18"/>
          <w:szCs w:val="18"/>
          <w:color w:val="auto"/>
        </w:rPr>
        <w:t>Tennessee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Maryland</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New Jersey</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7180" w:space="720"/>
            <w:col w:w="2540"/>
          </w:cols>
          <w:pgMar w:left="240" w:top="1122" w:right="1219" w:bottom="1440" w:gutter="0" w:footer="0" w:header="0"/>
          <w:type w:val="continuous"/>
        </w:sectPr>
      </w:pPr>
    </w:p>
    <w:bookmarkStart w:id="208" w:name="page209"/>
    <w:bookmarkEnd w:id="208"/>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80" w:space="720"/>
            <w:col w:w="2540"/>
          </w:cols>
          <w:pgMar w:left="240" w:top="1122" w:right="1219"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Wheelabrator North Andover Inc.</w:t>
      </w:r>
    </w:p>
    <w:p>
      <w:pPr>
        <w:spacing w:after="0" w:line="238" w:lineRule="auto"/>
        <w:rPr>
          <w:sz w:val="20"/>
          <w:szCs w:val="20"/>
          <w:color w:val="auto"/>
        </w:rPr>
      </w:pPr>
      <w:r>
        <w:rPr>
          <w:rFonts w:ascii="Courier New" w:cs="Courier New" w:eastAsia="Courier New" w:hAnsi="Courier New"/>
          <w:sz w:val="18"/>
          <w:szCs w:val="18"/>
          <w:color w:val="auto"/>
        </w:rPr>
        <w:t>Wheelabrator North Broward Inc.</w:t>
      </w:r>
    </w:p>
    <w:p>
      <w:pPr>
        <w:spacing w:after="0"/>
        <w:rPr>
          <w:sz w:val="20"/>
          <w:szCs w:val="20"/>
          <w:color w:val="auto"/>
        </w:rPr>
      </w:pPr>
      <w:r>
        <w:rPr>
          <w:rFonts w:ascii="Courier New" w:cs="Courier New" w:eastAsia="Courier New" w:hAnsi="Courier New"/>
          <w:sz w:val="18"/>
          <w:szCs w:val="18"/>
          <w:color w:val="auto"/>
        </w:rPr>
        <w:t>Wheelabrator North Shore Inc.</w:t>
      </w:r>
    </w:p>
    <w:p>
      <w:pPr>
        <w:spacing w:after="0" w:line="237" w:lineRule="auto"/>
        <w:rPr>
          <w:sz w:val="20"/>
          <w:szCs w:val="20"/>
          <w:color w:val="auto"/>
        </w:rPr>
      </w:pPr>
      <w:r>
        <w:rPr>
          <w:rFonts w:ascii="Courier New" w:cs="Courier New" w:eastAsia="Courier New" w:hAnsi="Courier New"/>
          <w:sz w:val="18"/>
          <w:szCs w:val="18"/>
          <w:color w:val="auto"/>
        </w:rPr>
        <w:t>Wheelabrator Norwalk Energy Company Inc.</w:t>
      </w:r>
    </w:p>
    <w:p>
      <w:pPr>
        <w:spacing w:after="0" w:line="238" w:lineRule="auto"/>
        <w:rPr>
          <w:sz w:val="20"/>
          <w:szCs w:val="20"/>
          <w:color w:val="auto"/>
        </w:rPr>
      </w:pPr>
      <w:r>
        <w:rPr>
          <w:rFonts w:ascii="Courier New" w:cs="Courier New" w:eastAsia="Courier New" w:hAnsi="Courier New"/>
          <w:sz w:val="18"/>
          <w:szCs w:val="18"/>
          <w:color w:val="auto"/>
        </w:rPr>
        <w:t>Wheelabrator Penacook Inc.</w:t>
      </w:r>
    </w:p>
    <w:p>
      <w:pPr>
        <w:spacing w:after="0"/>
        <w:rPr>
          <w:sz w:val="20"/>
          <w:szCs w:val="20"/>
          <w:color w:val="auto"/>
        </w:rPr>
      </w:pPr>
      <w:r>
        <w:rPr>
          <w:rFonts w:ascii="Courier New" w:cs="Courier New" w:eastAsia="Courier New" w:hAnsi="Courier New"/>
          <w:sz w:val="18"/>
          <w:szCs w:val="18"/>
          <w:color w:val="auto"/>
        </w:rPr>
        <w:t>Wheelabrator Pinellas Inc.</w:t>
      </w:r>
    </w:p>
    <w:p>
      <w:pPr>
        <w:spacing w:after="0" w:line="237" w:lineRule="auto"/>
        <w:rPr>
          <w:sz w:val="20"/>
          <w:szCs w:val="20"/>
          <w:color w:val="auto"/>
        </w:rPr>
      </w:pPr>
      <w:r>
        <w:rPr>
          <w:rFonts w:ascii="Courier New" w:cs="Courier New" w:eastAsia="Courier New" w:hAnsi="Courier New"/>
          <w:sz w:val="18"/>
          <w:szCs w:val="18"/>
          <w:color w:val="auto"/>
        </w:rPr>
        <w:t>Wheelabrator Polk Inc.</w:t>
      </w:r>
    </w:p>
    <w:p>
      <w:pPr>
        <w:spacing w:after="0"/>
        <w:rPr>
          <w:sz w:val="20"/>
          <w:szCs w:val="20"/>
          <w:color w:val="auto"/>
        </w:rPr>
      </w:pPr>
      <w:r>
        <w:rPr>
          <w:rFonts w:ascii="Courier New" w:cs="Courier New" w:eastAsia="Courier New" w:hAnsi="Courier New"/>
          <w:sz w:val="18"/>
          <w:szCs w:val="18"/>
          <w:color w:val="auto"/>
        </w:rPr>
        <w:t>Wheelabrator Putnam Inc.</w:t>
      </w:r>
    </w:p>
    <w:p>
      <w:pPr>
        <w:spacing w:after="0" w:line="237" w:lineRule="auto"/>
        <w:rPr>
          <w:sz w:val="20"/>
          <w:szCs w:val="20"/>
          <w:color w:val="auto"/>
        </w:rPr>
      </w:pPr>
      <w:r>
        <w:rPr>
          <w:rFonts w:ascii="Courier New" w:cs="Courier New" w:eastAsia="Courier New" w:hAnsi="Courier New"/>
          <w:sz w:val="18"/>
          <w:szCs w:val="18"/>
          <w:color w:val="auto"/>
        </w:rPr>
        <w:t>Wheelabrator Ridge Energy Inc.</w:t>
      </w:r>
    </w:p>
    <w:p>
      <w:pPr>
        <w:spacing w:after="0"/>
        <w:rPr>
          <w:sz w:val="20"/>
          <w:szCs w:val="20"/>
          <w:color w:val="auto"/>
        </w:rPr>
      </w:pPr>
      <w:r>
        <w:rPr>
          <w:rFonts w:ascii="Courier New" w:cs="Courier New" w:eastAsia="Courier New" w:hAnsi="Courier New"/>
          <w:sz w:val="18"/>
          <w:szCs w:val="18"/>
          <w:color w:val="auto"/>
        </w:rPr>
        <w:t>Wheelabrator Saugus Inc.</w:t>
      </w:r>
    </w:p>
    <w:p>
      <w:pPr>
        <w:spacing w:after="0" w:line="237" w:lineRule="auto"/>
        <w:rPr>
          <w:sz w:val="20"/>
          <w:szCs w:val="20"/>
          <w:color w:val="auto"/>
        </w:rPr>
      </w:pPr>
      <w:r>
        <w:rPr>
          <w:rFonts w:ascii="Courier New" w:cs="Courier New" w:eastAsia="Courier New" w:hAnsi="Courier New"/>
          <w:sz w:val="18"/>
          <w:szCs w:val="18"/>
          <w:color w:val="auto"/>
        </w:rPr>
        <w:t>Wheelabrator Saugus, J.V.</w:t>
      </w:r>
    </w:p>
    <w:p>
      <w:pPr>
        <w:spacing w:after="0" w:line="238" w:lineRule="auto"/>
        <w:rPr>
          <w:sz w:val="20"/>
          <w:szCs w:val="20"/>
          <w:color w:val="auto"/>
        </w:rPr>
      </w:pPr>
      <w:r>
        <w:rPr>
          <w:rFonts w:ascii="Courier New" w:cs="Courier New" w:eastAsia="Courier New" w:hAnsi="Courier New"/>
          <w:sz w:val="18"/>
          <w:szCs w:val="18"/>
          <w:color w:val="auto"/>
        </w:rPr>
        <w:t>Wheelabrator Shasta Energy Company Inc.</w:t>
      </w:r>
    </w:p>
    <w:p>
      <w:pPr>
        <w:spacing w:after="0"/>
        <w:rPr>
          <w:sz w:val="20"/>
          <w:szCs w:val="20"/>
          <w:color w:val="auto"/>
        </w:rPr>
      </w:pPr>
      <w:r>
        <w:rPr>
          <w:rFonts w:ascii="Courier New" w:cs="Courier New" w:eastAsia="Courier New" w:hAnsi="Courier New"/>
          <w:sz w:val="18"/>
          <w:szCs w:val="18"/>
          <w:color w:val="auto"/>
        </w:rPr>
        <w:t>Wheelabrator Sherman Energy Company, G.P.</w:t>
      </w:r>
    </w:p>
    <w:p>
      <w:pPr>
        <w:spacing w:after="0" w:line="237" w:lineRule="auto"/>
        <w:rPr>
          <w:sz w:val="20"/>
          <w:szCs w:val="20"/>
          <w:color w:val="auto"/>
        </w:rPr>
      </w:pPr>
      <w:r>
        <w:rPr>
          <w:rFonts w:ascii="Courier New" w:cs="Courier New" w:eastAsia="Courier New" w:hAnsi="Courier New"/>
          <w:sz w:val="18"/>
          <w:szCs w:val="18"/>
          <w:color w:val="auto"/>
        </w:rPr>
        <w:t>Wheelabrator Sherman Station L.L.C.</w:t>
      </w:r>
    </w:p>
    <w:p>
      <w:pPr>
        <w:spacing w:after="0"/>
        <w:rPr>
          <w:sz w:val="20"/>
          <w:szCs w:val="20"/>
          <w:color w:val="auto"/>
        </w:rPr>
      </w:pPr>
      <w:r>
        <w:rPr>
          <w:rFonts w:ascii="Courier New" w:cs="Courier New" w:eastAsia="Courier New" w:hAnsi="Courier New"/>
          <w:sz w:val="18"/>
          <w:szCs w:val="18"/>
          <w:color w:val="auto"/>
        </w:rPr>
        <w:t>Wheelabrator Sherman Station One Inc.</w:t>
      </w:r>
    </w:p>
    <w:p>
      <w:pPr>
        <w:spacing w:after="0" w:line="237" w:lineRule="auto"/>
        <w:rPr>
          <w:sz w:val="20"/>
          <w:szCs w:val="20"/>
          <w:color w:val="auto"/>
        </w:rPr>
      </w:pPr>
      <w:r>
        <w:rPr>
          <w:rFonts w:ascii="Courier New" w:cs="Courier New" w:eastAsia="Courier New" w:hAnsi="Courier New"/>
          <w:sz w:val="18"/>
          <w:szCs w:val="18"/>
          <w:color w:val="auto"/>
        </w:rPr>
        <w:t>Wheelabrator South Broward Inc.</w:t>
      </w:r>
    </w:p>
    <w:p>
      <w:pPr>
        <w:spacing w:after="0"/>
        <w:rPr>
          <w:sz w:val="20"/>
          <w:szCs w:val="20"/>
          <w:color w:val="auto"/>
        </w:rPr>
      </w:pPr>
      <w:r>
        <w:rPr>
          <w:rFonts w:ascii="Courier New" w:cs="Courier New" w:eastAsia="Courier New" w:hAnsi="Courier New"/>
          <w:sz w:val="18"/>
          <w:szCs w:val="18"/>
          <w:color w:val="auto"/>
        </w:rPr>
        <w:t>Wheelabrator Spokane Inc.</w:t>
      </w:r>
    </w:p>
    <w:p>
      <w:pPr>
        <w:spacing w:after="0" w:line="237" w:lineRule="auto"/>
        <w:rPr>
          <w:sz w:val="20"/>
          <w:szCs w:val="20"/>
          <w:color w:val="auto"/>
        </w:rPr>
      </w:pPr>
      <w:r>
        <w:rPr>
          <w:rFonts w:ascii="Courier New" w:cs="Courier New" w:eastAsia="Courier New" w:hAnsi="Courier New"/>
          <w:sz w:val="18"/>
          <w:szCs w:val="18"/>
          <w:color w:val="auto"/>
        </w:rPr>
        <w:t>Wheelabrator Technologies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Wheelabrator Technologies International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Wheelabrator Westchester, L.P.</w:t>
      </w:r>
    </w:p>
    <w:p>
      <w:pPr>
        <w:spacing w:after="0" w:line="238" w:lineRule="auto"/>
        <w:rPr>
          <w:sz w:val="20"/>
          <w:szCs w:val="20"/>
          <w:color w:val="auto"/>
        </w:rPr>
      </w:pPr>
      <w:r>
        <w:rPr>
          <w:rFonts w:ascii="Courier New" w:cs="Courier New" w:eastAsia="Courier New" w:hAnsi="Courier New"/>
          <w:sz w:val="18"/>
          <w:szCs w:val="18"/>
          <w:color w:val="auto"/>
        </w:rPr>
        <w:t>White Lake Landfill, Inc.</w:t>
      </w:r>
    </w:p>
    <w:p>
      <w:pPr>
        <w:spacing w:after="0"/>
        <w:rPr>
          <w:sz w:val="20"/>
          <w:szCs w:val="20"/>
          <w:color w:val="auto"/>
        </w:rPr>
      </w:pPr>
      <w:r>
        <w:rPr>
          <w:rFonts w:ascii="Courier New" w:cs="Courier New" w:eastAsia="Courier New" w:hAnsi="Courier New"/>
          <w:sz w:val="18"/>
          <w:szCs w:val="18"/>
          <w:color w:val="auto"/>
        </w:rPr>
        <w:t>Williams Landfill, L.L.C.</w:t>
      </w:r>
    </w:p>
    <w:p>
      <w:pPr>
        <w:spacing w:after="0" w:line="237" w:lineRule="auto"/>
        <w:rPr>
          <w:sz w:val="20"/>
          <w:szCs w:val="20"/>
          <w:color w:val="auto"/>
        </w:rPr>
      </w:pPr>
      <w:r>
        <w:rPr>
          <w:rFonts w:ascii="Courier New" w:cs="Courier New" w:eastAsia="Courier New" w:hAnsi="Courier New"/>
          <w:sz w:val="18"/>
          <w:szCs w:val="18"/>
          <w:color w:val="auto"/>
        </w:rPr>
        <w:t>Willow Oak Landfill, LLC</w:t>
      </w:r>
    </w:p>
    <w:p>
      <w:pPr>
        <w:spacing w:after="0" w:line="238" w:lineRule="auto"/>
        <w:rPr>
          <w:sz w:val="20"/>
          <w:szCs w:val="20"/>
          <w:color w:val="auto"/>
        </w:rPr>
      </w:pPr>
      <w:r>
        <w:rPr>
          <w:rFonts w:ascii="Courier New" w:cs="Courier New" w:eastAsia="Courier New" w:hAnsi="Courier New"/>
          <w:sz w:val="18"/>
          <w:szCs w:val="18"/>
          <w:color w:val="auto"/>
        </w:rPr>
        <w:t>WM Arizona Operations, L.L.C.</w:t>
      </w:r>
    </w:p>
    <w:p>
      <w:pPr>
        <w:spacing w:after="0"/>
        <w:rPr>
          <w:sz w:val="20"/>
          <w:szCs w:val="20"/>
          <w:color w:val="auto"/>
        </w:rPr>
      </w:pPr>
      <w:r>
        <w:rPr>
          <w:rFonts w:ascii="Courier New" w:cs="Courier New" w:eastAsia="Courier New" w:hAnsi="Courier New"/>
          <w:sz w:val="18"/>
          <w:szCs w:val="18"/>
          <w:color w:val="auto"/>
        </w:rPr>
        <w:t>WM Energy Solutions, Inc.</w:t>
      </w:r>
    </w:p>
    <w:p>
      <w:pPr>
        <w:spacing w:after="0" w:line="237" w:lineRule="auto"/>
        <w:rPr>
          <w:sz w:val="20"/>
          <w:szCs w:val="20"/>
          <w:color w:val="auto"/>
        </w:rPr>
      </w:pPr>
      <w:r>
        <w:rPr>
          <w:rFonts w:ascii="Courier New" w:cs="Courier New" w:eastAsia="Courier New" w:hAnsi="Courier New"/>
          <w:sz w:val="18"/>
          <w:szCs w:val="18"/>
          <w:color w:val="auto"/>
        </w:rPr>
        <w:t>WM Illinois Renewable Energy, L.L.C.</w:t>
      </w:r>
    </w:p>
    <w:p>
      <w:pPr>
        <w:spacing w:after="0"/>
        <w:rPr>
          <w:sz w:val="20"/>
          <w:szCs w:val="20"/>
          <w:color w:val="auto"/>
        </w:rPr>
      </w:pPr>
      <w:r>
        <w:rPr>
          <w:rFonts w:ascii="Courier New" w:cs="Courier New" w:eastAsia="Courier New" w:hAnsi="Courier New"/>
          <w:sz w:val="18"/>
          <w:szCs w:val="18"/>
          <w:color w:val="auto"/>
        </w:rPr>
        <w:t>WM International Holdings, Inc.</w:t>
      </w:r>
    </w:p>
    <w:p>
      <w:pPr>
        <w:spacing w:after="0" w:line="237" w:lineRule="auto"/>
        <w:rPr>
          <w:sz w:val="20"/>
          <w:szCs w:val="20"/>
          <w:color w:val="auto"/>
        </w:rPr>
      </w:pPr>
      <w:r>
        <w:rPr>
          <w:rFonts w:ascii="Courier New" w:cs="Courier New" w:eastAsia="Courier New" w:hAnsi="Courier New"/>
          <w:sz w:val="18"/>
          <w:szCs w:val="18"/>
          <w:color w:val="auto"/>
        </w:rPr>
        <w:t>WM International Services (UK) Limited</w:t>
      </w:r>
    </w:p>
    <w:p>
      <w:pPr>
        <w:spacing w:after="0"/>
        <w:rPr>
          <w:sz w:val="20"/>
          <w:szCs w:val="20"/>
          <w:color w:val="auto"/>
        </w:rPr>
      </w:pPr>
      <w:r>
        <w:rPr>
          <w:rFonts w:ascii="Courier New" w:cs="Courier New" w:eastAsia="Courier New" w:hAnsi="Courier New"/>
          <w:sz w:val="18"/>
          <w:szCs w:val="18"/>
          <w:color w:val="auto"/>
        </w:rPr>
        <w:t>WM Landfills of Georgia, Inc.</w:t>
      </w:r>
    </w:p>
    <w:p>
      <w:pPr>
        <w:spacing w:after="0" w:line="237" w:lineRule="auto"/>
        <w:rPr>
          <w:sz w:val="20"/>
          <w:szCs w:val="20"/>
          <w:color w:val="auto"/>
        </w:rPr>
      </w:pPr>
      <w:r>
        <w:rPr>
          <w:rFonts w:ascii="Courier New" w:cs="Courier New" w:eastAsia="Courier New" w:hAnsi="Courier New"/>
          <w:sz w:val="18"/>
          <w:szCs w:val="18"/>
          <w:color w:val="auto"/>
        </w:rPr>
        <w:t>WM Landfills of Ohio, Inc.</w:t>
      </w:r>
    </w:p>
    <w:p>
      <w:pPr>
        <w:spacing w:after="0" w:line="238" w:lineRule="auto"/>
        <w:rPr>
          <w:sz w:val="20"/>
          <w:szCs w:val="20"/>
          <w:color w:val="auto"/>
        </w:rPr>
      </w:pPr>
      <w:r>
        <w:rPr>
          <w:rFonts w:ascii="Courier New" w:cs="Courier New" w:eastAsia="Courier New" w:hAnsi="Courier New"/>
          <w:sz w:val="18"/>
          <w:szCs w:val="18"/>
          <w:color w:val="auto"/>
        </w:rPr>
        <w:t>WM Landfills of Tennessee, Inc.</w:t>
      </w:r>
    </w:p>
    <w:p>
      <w:pPr>
        <w:spacing w:after="0"/>
        <w:rPr>
          <w:sz w:val="20"/>
          <w:szCs w:val="20"/>
          <w:color w:val="auto"/>
        </w:rPr>
      </w:pPr>
      <w:r>
        <w:rPr>
          <w:rFonts w:ascii="Courier New" w:cs="Courier New" w:eastAsia="Courier New" w:hAnsi="Courier New"/>
          <w:sz w:val="18"/>
          <w:szCs w:val="18"/>
          <w:color w:val="auto"/>
        </w:rPr>
        <w:t>WM Los Angeles RFP, LLC</w:t>
      </w:r>
    </w:p>
    <w:p>
      <w:pPr>
        <w:spacing w:after="0" w:line="237" w:lineRule="auto"/>
        <w:rPr>
          <w:sz w:val="20"/>
          <w:szCs w:val="20"/>
          <w:color w:val="auto"/>
        </w:rPr>
      </w:pPr>
      <w:r>
        <w:rPr>
          <w:rFonts w:ascii="Courier New" w:cs="Courier New" w:eastAsia="Courier New" w:hAnsi="Courier New"/>
          <w:sz w:val="18"/>
          <w:szCs w:val="18"/>
          <w:color w:val="auto"/>
        </w:rPr>
        <w:t>WM Partnership Holdings, Inc.</w:t>
      </w:r>
    </w:p>
    <w:p>
      <w:pPr>
        <w:spacing w:after="0"/>
        <w:rPr>
          <w:sz w:val="20"/>
          <w:szCs w:val="20"/>
          <w:color w:val="auto"/>
        </w:rPr>
      </w:pPr>
      <w:r>
        <w:rPr>
          <w:rFonts w:ascii="Courier New" w:cs="Courier New" w:eastAsia="Courier New" w:hAnsi="Courier New"/>
          <w:sz w:val="18"/>
          <w:szCs w:val="18"/>
          <w:color w:val="auto"/>
        </w:rPr>
        <w:t>WM Renewable Energy, L.L.C.</w:t>
      </w:r>
    </w:p>
    <w:p>
      <w:pPr>
        <w:spacing w:after="0" w:line="237" w:lineRule="auto"/>
        <w:rPr>
          <w:sz w:val="20"/>
          <w:szCs w:val="20"/>
          <w:color w:val="auto"/>
        </w:rPr>
      </w:pPr>
      <w:r>
        <w:rPr>
          <w:rFonts w:ascii="Courier New" w:cs="Courier New" w:eastAsia="Courier New" w:hAnsi="Courier New"/>
          <w:sz w:val="18"/>
          <w:szCs w:val="18"/>
          <w:color w:val="auto"/>
        </w:rPr>
        <w:t>WM Resources, Inc.</w:t>
      </w:r>
    </w:p>
    <w:p>
      <w:pPr>
        <w:spacing w:after="0"/>
        <w:rPr>
          <w:sz w:val="20"/>
          <w:szCs w:val="20"/>
          <w:color w:val="auto"/>
        </w:rPr>
      </w:pPr>
      <w:r>
        <w:rPr>
          <w:rFonts w:ascii="Courier New" w:cs="Courier New" w:eastAsia="Courier New" w:hAnsi="Courier New"/>
          <w:sz w:val="18"/>
          <w:szCs w:val="18"/>
          <w:color w:val="auto"/>
        </w:rPr>
        <w:t>WM Services SA</w:t>
      </w:r>
    </w:p>
    <w:p>
      <w:pPr>
        <w:spacing w:after="0" w:line="237" w:lineRule="auto"/>
        <w:rPr>
          <w:sz w:val="20"/>
          <w:szCs w:val="20"/>
          <w:color w:val="auto"/>
        </w:rPr>
      </w:pPr>
      <w:r>
        <w:rPr>
          <w:rFonts w:ascii="Courier New" w:cs="Courier New" w:eastAsia="Courier New" w:hAnsi="Courier New"/>
          <w:sz w:val="18"/>
          <w:szCs w:val="18"/>
          <w:color w:val="auto"/>
        </w:rPr>
        <w:t>WM Tontitown Landfill, LLC</w:t>
      </w:r>
    </w:p>
    <w:p>
      <w:pPr>
        <w:spacing w:after="0" w:line="238" w:lineRule="auto"/>
        <w:rPr>
          <w:sz w:val="20"/>
          <w:szCs w:val="20"/>
          <w:color w:val="auto"/>
        </w:rPr>
      </w:pPr>
      <w:r>
        <w:rPr>
          <w:rFonts w:ascii="Courier New" w:cs="Courier New" w:eastAsia="Courier New" w:hAnsi="Courier New"/>
          <w:sz w:val="18"/>
          <w:szCs w:val="18"/>
          <w:color w:val="auto"/>
        </w:rPr>
        <w:t>WMI Medical Services of Indiana, Inc.</w:t>
      </w:r>
    </w:p>
    <w:p>
      <w:pPr>
        <w:spacing w:after="0"/>
        <w:rPr>
          <w:sz w:val="20"/>
          <w:szCs w:val="20"/>
          <w:color w:val="auto"/>
        </w:rPr>
      </w:pPr>
      <w:r>
        <w:rPr>
          <w:rFonts w:ascii="Courier New" w:cs="Courier New" w:eastAsia="Courier New" w:hAnsi="Courier New"/>
          <w:sz w:val="18"/>
          <w:szCs w:val="18"/>
          <w:color w:val="auto"/>
        </w:rPr>
        <w:t>WMI Mexico Holdings, Inc.</w:t>
      </w:r>
    </w:p>
    <w:p>
      <w:pPr>
        <w:spacing w:after="0" w:line="237" w:lineRule="auto"/>
        <w:rPr>
          <w:sz w:val="20"/>
          <w:szCs w:val="20"/>
          <w:color w:val="auto"/>
        </w:rPr>
      </w:pPr>
      <w:r>
        <w:rPr>
          <w:rFonts w:ascii="Courier New" w:cs="Courier New" w:eastAsia="Courier New" w:hAnsi="Courier New"/>
          <w:sz w:val="18"/>
          <w:szCs w:val="18"/>
          <w:color w:val="auto"/>
        </w:rPr>
        <w:t>WMNA Container Recycling, L.L.C.</w:t>
      </w:r>
    </w:p>
    <w:p>
      <w:pPr>
        <w:spacing w:after="0"/>
        <w:rPr>
          <w:sz w:val="20"/>
          <w:szCs w:val="20"/>
          <w:color w:val="auto"/>
        </w:rPr>
      </w:pPr>
      <w:r>
        <w:rPr>
          <w:rFonts w:ascii="Courier New" w:cs="Courier New" w:eastAsia="Courier New" w:hAnsi="Courier New"/>
          <w:sz w:val="18"/>
          <w:szCs w:val="18"/>
          <w:color w:val="auto"/>
        </w:rPr>
        <w:t>WMST Illinois, L.L.C.</w:t>
      </w:r>
    </w:p>
    <w:p>
      <w:pPr>
        <w:spacing w:after="0" w:line="237" w:lineRule="auto"/>
        <w:rPr>
          <w:sz w:val="20"/>
          <w:szCs w:val="20"/>
          <w:color w:val="auto"/>
        </w:rPr>
      </w:pPr>
      <w:r>
        <w:rPr>
          <w:rFonts w:ascii="Courier New" w:cs="Courier New" w:eastAsia="Courier New" w:hAnsi="Courier New"/>
          <w:sz w:val="18"/>
          <w:szCs w:val="18"/>
          <w:color w:val="auto"/>
        </w:rPr>
        <w:t>WTI Air Pollution Control Inc.</w:t>
      </w:r>
    </w:p>
    <w:p>
      <w:pPr>
        <w:spacing w:after="0"/>
        <w:rPr>
          <w:sz w:val="20"/>
          <w:szCs w:val="20"/>
          <w:color w:val="auto"/>
        </w:rPr>
      </w:pPr>
      <w:r>
        <w:rPr>
          <w:rFonts w:ascii="Courier New" w:cs="Courier New" w:eastAsia="Courier New" w:hAnsi="Courier New"/>
          <w:sz w:val="18"/>
          <w:szCs w:val="18"/>
          <w:color w:val="auto"/>
        </w:rPr>
        <w:t>WTI Financial L.L.C.</w:t>
      </w:r>
    </w:p>
    <w:p>
      <w:pPr>
        <w:spacing w:after="0" w:line="237" w:lineRule="auto"/>
        <w:rPr>
          <w:sz w:val="20"/>
          <w:szCs w:val="20"/>
          <w:color w:val="auto"/>
        </w:rPr>
      </w:pPr>
      <w:r>
        <w:rPr>
          <w:rFonts w:ascii="Courier New" w:cs="Courier New" w:eastAsia="Courier New" w:hAnsi="Courier New"/>
          <w:sz w:val="18"/>
          <w:szCs w:val="18"/>
          <w:color w:val="auto"/>
        </w:rPr>
        <w:t>WTI International Holdings Inc.</w:t>
      </w:r>
    </w:p>
    <w:p>
      <w:pPr>
        <w:spacing w:after="0"/>
        <w:rPr>
          <w:sz w:val="20"/>
          <w:szCs w:val="20"/>
          <w:color w:val="auto"/>
        </w:rPr>
      </w:pPr>
      <w:r>
        <w:rPr>
          <w:rFonts w:ascii="Courier New" w:cs="Courier New" w:eastAsia="Courier New" w:hAnsi="Courier New"/>
          <w:sz w:val="18"/>
          <w:szCs w:val="18"/>
          <w:color w:val="auto"/>
        </w:rPr>
        <w:t>WTI Rust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Maine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Argentina</w:t>
      </w:r>
    </w:p>
    <w:p>
      <w:pPr>
        <w:spacing w:after="0"/>
        <w:rPr>
          <w:sz w:val="20"/>
          <w:szCs w:val="20"/>
          <w:color w:val="auto"/>
        </w:rPr>
      </w:pPr>
      <w:r>
        <w:rPr>
          <w:rFonts w:ascii="Courier New" w:cs="Courier New" w:eastAsia="Courier New" w:hAnsi="Courier New"/>
          <w:sz w:val="18"/>
          <w:szCs w:val="18"/>
          <w:color w:val="auto"/>
        </w:rPr>
        <w:t>Arkansas</w:t>
      </w:r>
    </w:p>
    <w:p>
      <w:pPr>
        <w:spacing w:after="0" w:line="237" w:lineRule="auto"/>
        <w:rPr>
          <w:sz w:val="20"/>
          <w:szCs w:val="20"/>
          <w:color w:val="auto"/>
        </w:rPr>
      </w:pPr>
      <w:r>
        <w:rPr>
          <w:rFonts w:ascii="Courier New" w:cs="Courier New" w:eastAsia="Courier New" w:hAnsi="Courier New"/>
          <w:sz w:val="18"/>
          <w:szCs w:val="18"/>
          <w:color w:val="auto"/>
        </w:rPr>
        <w:t>Indiana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2">
            <w:col w:w="7180" w:space="720"/>
            <w:col w:w="2540"/>
          </w:cols>
          <w:pgMar w:left="240" w:top="1122" w:right="1219" w:bottom="1440" w:gutter="0" w:footer="0" w:header="0"/>
          <w:type w:val="continuous"/>
        </w:sectPr>
      </w:pPr>
    </w:p>
    <w:bookmarkStart w:id="209" w:name="page210"/>
    <w:bookmarkEnd w:id="209"/>
    <w:p>
      <w:pPr>
        <w:ind w:left="7060"/>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on Form S-8 (Registration Nos. 333-45062, 333-110293, 333-106223, 333-45066 and</w:t>
      </w:r>
    </w:p>
    <w:p>
      <w:pPr>
        <w:ind w:right="1779"/>
        <w:spacing w:after="0" w:line="271" w:lineRule="auto"/>
        <w:rPr>
          <w:sz w:val="20"/>
          <w:szCs w:val="20"/>
          <w:color w:val="auto"/>
        </w:rPr>
      </w:pPr>
      <w:r>
        <w:rPr>
          <w:rFonts w:ascii="Courier New" w:cs="Courier New" w:eastAsia="Courier New" w:hAnsi="Courier New"/>
          <w:sz w:val="16"/>
          <w:szCs w:val="16"/>
          <w:color w:val="auto"/>
        </w:rPr>
        <w:t>333-115932), Form S-3 (Registration Nos. 333-80063 and 333-97697) and Form S-4 (Registration No. 333-32805), of our reports dated February 16, 2005 with respect to the consolidated financial statements and schedule of Waste Management, Inc., Waste Management, Inc. management's assessment of the effectiveness of internal control over financial reporting and the effectiveness of internal control over financial reporting of Waste Management, Inc., included in this Annual Report (Form 10-K) for the year ended December 31, 2004.</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16, 2005</w:t>
      </w:r>
    </w:p>
    <w:p>
      <w:pPr>
        <w:sectPr>
          <w:pgSz w:w="11900" w:h="16838" w:orient="portrait"/>
          <w:cols w:equalWidth="0" w:num="1">
            <w:col w:w="10219"/>
          </w:cols>
          <w:pgMar w:left="240" w:top="542" w:right="1440" w:bottom="1440" w:gutter="0" w:footer="0" w:header="0"/>
        </w:sectPr>
      </w:pPr>
    </w:p>
    <w:bookmarkStart w:id="210" w:name="page211"/>
    <w:bookmarkEnd w:id="210"/>
    <w:p>
      <w:pPr>
        <w:ind w:left="7060"/>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302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P. Steiner, certify that:</w:t>
      </w:r>
    </w:p>
    <w:p>
      <w:pPr>
        <w:spacing w:after="0" w:line="207" w:lineRule="exact"/>
        <w:rPr>
          <w:sz w:val="20"/>
          <w:szCs w:val="20"/>
          <w:color w:val="auto"/>
        </w:rPr>
      </w:pPr>
    </w:p>
    <w:p>
      <w:pPr>
        <w:ind w:left="960" w:right="2099" w:hanging="952"/>
        <w:spacing w:after="0" w:line="235" w:lineRule="auto"/>
        <w:tabs>
          <w:tab w:leader="none" w:pos="96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Waste Management, Inc.;</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960" w:right="1779" w:hanging="952"/>
        <w:spacing w:after="0" w:line="275" w:lineRule="auto"/>
        <w:tabs>
          <w:tab w:leader="none" w:pos="9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Courier New" w:cs="Courier New" w:eastAsia="Courier New" w:hAnsi="Courier New"/>
          <w:sz w:val="16"/>
          <w:szCs w:val="16"/>
          <w:color w:val="auto"/>
        </w:rPr>
      </w:pPr>
    </w:p>
    <w:p>
      <w:pPr>
        <w:ind w:left="960" w:right="1779" w:hanging="952"/>
        <w:spacing w:after="0" w:line="268" w:lineRule="auto"/>
        <w:tabs>
          <w:tab w:leader="none" w:pos="9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 (f) and 15d-15(f))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960" w:right="1879" w:hanging="952"/>
        <w:spacing w:after="0" w:line="237" w:lineRule="auto"/>
        <w:tabs>
          <w:tab w:leader="none" w:pos="96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17, 2005</w:t>
      </w:r>
    </w:p>
    <w:p>
      <w:pPr>
        <w:sectPr>
          <w:pgSz w:w="11900" w:h="16838" w:orient="portrait"/>
          <w:cols w:equalWidth="0" w:num="1">
            <w:col w:w="10219"/>
          </w:cols>
          <w:pgMar w:left="240" w:top="541" w:right="1440" w:bottom="0" w:gutter="0" w:footer="0" w:header="0"/>
        </w:sectPr>
      </w:pPr>
    </w:p>
    <w:bookmarkStart w:id="211" w:name="page212"/>
    <w:bookmarkEnd w:id="211"/>
    <w:p>
      <w:pPr>
        <w:ind w:left="2920"/>
        <w:spacing w:after="0"/>
        <w:rPr>
          <w:sz w:val="20"/>
          <w:szCs w:val="20"/>
          <w:color w:val="auto"/>
        </w:rPr>
      </w:pPr>
      <w:r>
        <w:rPr>
          <w:rFonts w:ascii="Courier New" w:cs="Courier New" w:eastAsia="Courier New" w:hAnsi="Courier New"/>
          <w:sz w:val="18"/>
          <w:szCs w:val="18"/>
          <w:color w:val="auto"/>
        </w:rPr>
        <w:t>By: /s/ David P. Steiner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David P. Steiner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Chief Executive Officer and Director</w:t>
      </w:r>
    </w:p>
    <w:p>
      <w:pPr>
        <w:sectPr>
          <w:pgSz w:w="11900" w:h="16838" w:orient="portrait"/>
          <w:cols w:equalWidth="0" w:num="1">
            <w:col w:w="9019"/>
          </w:cols>
          <w:pgMar w:left="1440" w:top="744" w:right="1440" w:bottom="1440" w:gutter="0" w:footer="0" w:header="0"/>
        </w:sectPr>
      </w:pPr>
    </w:p>
    <w:bookmarkStart w:id="212" w:name="page213"/>
    <w:bookmarkEnd w:id="212"/>
    <w:p>
      <w:pPr>
        <w:ind w:left="7060"/>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302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G. Simpson, certify that:</w:t>
      </w:r>
    </w:p>
    <w:p>
      <w:pPr>
        <w:spacing w:after="0" w:line="207" w:lineRule="exact"/>
        <w:rPr>
          <w:sz w:val="20"/>
          <w:szCs w:val="20"/>
          <w:color w:val="auto"/>
        </w:rPr>
      </w:pPr>
    </w:p>
    <w:p>
      <w:pPr>
        <w:ind w:left="960" w:right="2099" w:hanging="952"/>
        <w:spacing w:after="0" w:line="235" w:lineRule="auto"/>
        <w:tabs>
          <w:tab w:leader="none" w:pos="96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Waste Management, Inc.;</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960" w:right="1779" w:hanging="952"/>
        <w:spacing w:after="0" w:line="275" w:lineRule="auto"/>
        <w:tabs>
          <w:tab w:leader="none" w:pos="96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Courier New" w:cs="Courier New" w:eastAsia="Courier New" w:hAnsi="Courier New"/>
          <w:sz w:val="16"/>
          <w:szCs w:val="16"/>
          <w:color w:val="auto"/>
        </w:rPr>
      </w:pPr>
    </w:p>
    <w:p>
      <w:pPr>
        <w:ind w:left="960" w:right="1779" w:hanging="952"/>
        <w:spacing w:after="0" w:line="268" w:lineRule="auto"/>
        <w:tabs>
          <w:tab w:leader="none" w:pos="96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 (f) and 15d-15(f))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2" w:lineRule="exact"/>
        <w:rPr>
          <w:sz w:val="20"/>
          <w:szCs w:val="20"/>
          <w:color w:val="auto"/>
        </w:rPr>
      </w:pPr>
    </w:p>
    <w:p>
      <w:pPr>
        <w:ind w:left="960" w:right="1879" w:hanging="952"/>
        <w:spacing w:after="0" w:line="237" w:lineRule="auto"/>
        <w:tabs>
          <w:tab w:leader="none" w:pos="96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17, 2005</w:t>
      </w:r>
    </w:p>
    <w:p>
      <w:pPr>
        <w:sectPr>
          <w:pgSz w:w="11900" w:h="16838" w:orient="portrait"/>
          <w:cols w:equalWidth="0" w:num="1">
            <w:col w:w="10219"/>
          </w:cols>
          <w:pgMar w:left="240" w:top="542" w:right="1440" w:bottom="0" w:gutter="0" w:footer="0" w:header="0"/>
        </w:sectPr>
      </w:pPr>
    </w:p>
    <w:bookmarkStart w:id="213" w:name="page214"/>
    <w:bookmarkEnd w:id="213"/>
    <w:p>
      <w:pPr>
        <w:ind w:left="2920"/>
        <w:spacing w:after="0"/>
        <w:rPr>
          <w:sz w:val="20"/>
          <w:szCs w:val="20"/>
          <w:color w:val="auto"/>
        </w:rPr>
      </w:pPr>
      <w:r>
        <w:rPr>
          <w:rFonts w:ascii="Courier New" w:cs="Courier New" w:eastAsia="Courier New" w:hAnsi="Courier New"/>
          <w:sz w:val="18"/>
          <w:szCs w:val="18"/>
          <w:color w:val="auto"/>
        </w:rPr>
        <w:t>By: /s/ Robert G. Simpson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Robert G. Simpson</w:t>
      </w:r>
    </w:p>
    <w:p>
      <w:pPr>
        <w:ind w:left="3340"/>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334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9019"/>
          </w:cols>
          <w:pgMar w:left="1440" w:top="744" w:right="1440" w:bottom="1440" w:gutter="0" w:footer="0" w:header="0"/>
        </w:sectPr>
      </w:pPr>
    </w:p>
    <w:bookmarkStart w:id="214" w:name="page215"/>
    <w:bookmarkEnd w:id="214"/>
    <w:p>
      <w:pPr>
        <w:ind w:left="7060"/>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connection with the Annual Report of Waste Management, Inc. (the "Company") on Form 10-K for the year ended December 31, 2004 as filed with the Securities and Exchange Commission on the date hereof (the "Report"), I, David P. Steiner, Chief Executive Officer of the Company, certify, pursuant to 18 U.S.C. Section 1350, as adopted pursuant to Section 906 of the Sarbanes-Oxley Act of 2002, that:</w:t>
      </w:r>
    </w:p>
    <w:p>
      <w:pPr>
        <w:spacing w:after="0" w:line="210" w:lineRule="exact"/>
        <w:rPr>
          <w:sz w:val="20"/>
          <w:szCs w:val="20"/>
          <w:color w:val="auto"/>
        </w:rPr>
      </w:pPr>
    </w:p>
    <w:p>
      <w:pPr>
        <w:ind w:right="1779" w:firstLine="956"/>
        <w:spacing w:after="0" w:line="235" w:lineRule="auto"/>
        <w:tabs>
          <w:tab w:leader="none" w:pos="1369"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P. Steiner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P. Steiner</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 and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17, 2005</w:t>
      </w:r>
    </w:p>
    <w:p>
      <w:pPr>
        <w:sectPr>
          <w:pgSz w:w="11900" w:h="16838" w:orient="portrait"/>
          <w:cols w:equalWidth="0" w:num="1">
            <w:col w:w="10219"/>
          </w:cols>
          <w:pgMar w:left="240" w:top="542" w:right="1440" w:bottom="1440" w:gutter="0" w:footer="0" w:header="0"/>
        </w:sectPr>
      </w:pPr>
    </w:p>
    <w:bookmarkStart w:id="215" w:name="page216"/>
    <w:bookmarkEnd w:id="215"/>
    <w:p>
      <w:pPr>
        <w:ind w:left="706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connection with the Annual Report of Waste Management, Inc. (the "Company") on Form 10-K for the year ended December 31, 2004 as filed with the Securities and Exchange Commission on the date hereof (the "Report"), I, Robert G. Simpson, Chief Financial Officer of the Company, certify, pursuant to 18 U.S.C. Section 1350, as adopted pursuant to Section 906 of the Sarbanes-Oxley Act of 2002, that:</w:t>
      </w:r>
    </w:p>
    <w:p>
      <w:pPr>
        <w:spacing w:after="0" w:line="210" w:lineRule="exact"/>
        <w:rPr>
          <w:sz w:val="20"/>
          <w:szCs w:val="20"/>
          <w:color w:val="auto"/>
        </w:rPr>
      </w:pPr>
    </w:p>
    <w:p>
      <w:pPr>
        <w:ind w:right="1779" w:firstLine="956"/>
        <w:spacing w:after="0" w:line="235" w:lineRule="auto"/>
        <w:tabs>
          <w:tab w:leader="none" w:pos="136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 Simpson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Robert G. Simpson</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17, 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o"/>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1)"/>
      <w:numFmt w:val="lowerLetter"/>
      <w:start w:val="1"/>
    </w:lvl>
  </w:abstractNum>
  <w:abstractNum w:abstractNumId="6">
    <w:nsid w:val="6A3DD3E8"/>
    <w:multiLevelType w:val="hybridMultilevel"/>
    <w:lvl w:ilvl="0">
      <w:lvlJc w:val="left"/>
      <w:lvlText w:val="(%1)"/>
      <w:numFmt w:val="lowerLetter"/>
      <w:start w:val="1"/>
    </w:lvl>
  </w:abstractNum>
  <w:abstractNum w:abstractNumId="7">
    <w:nsid w:val="71C91298"/>
    <w:multiLevelType w:val="hybridMultilevel"/>
    <w:lvl w:ilvl="0">
      <w:lvlJc w:val="left"/>
      <w:lvlText w:val="(%1)"/>
      <w:numFmt w:val="lowerLetter"/>
      <w:start w:val="3"/>
    </w:lvl>
  </w:abstractNum>
  <w:abstractNum w:abstractNumId="8">
    <w:nsid w:val="9DAF632"/>
    <w:multiLevelType w:val="hybridMultilevel"/>
    <w:lvl w:ilvl="0">
      <w:lvlJc w:val="left"/>
      <w:lvlText w:val="(%1)"/>
      <w:numFmt w:val="lowerLetter"/>
      <w:start w:val="1"/>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
      <w:numFmt w:val="bullet"/>
      <w:start w:val="1"/>
    </w:lvl>
  </w:abstractNum>
  <w:abstractNum w:abstractNumId="11">
    <w:nsid w:val="5092CA79"/>
    <w:multiLevelType w:val="hybridMultilevel"/>
    <w:lvl w:ilvl="0">
      <w:lvlJc w:val="left"/>
      <w:lvlText w:val="•"/>
      <w:numFmt w:val="bullet"/>
      <w:start w:val="1"/>
    </w:lvl>
  </w:abstractNum>
  <w:abstractNum w:abstractNumId="12">
    <w:nsid w:val="1D545C4D"/>
    <w:multiLevelType w:val="hybridMultilevel"/>
    <w:lvl w:ilvl="0">
      <w:lvlJc w:val="left"/>
      <w:lvlText w:val="•"/>
      <w:numFmt w:val="bullet"/>
      <w:start w:val="1"/>
    </w:lvl>
  </w:abstractNum>
  <w:abstractNum w:abstractNumId="13">
    <w:nsid w:val="59ADEA3D"/>
    <w:multiLevelType w:val="hybridMultilevel"/>
    <w:lvl w:ilvl="0">
      <w:lvlJc w:val="left"/>
      <w:lvlText w:val="(%1)"/>
      <w:numFmt w:val="lowerLetter"/>
      <w:start w:val="1"/>
    </w:lvl>
  </w:abstractNum>
  <w:abstractNum w:abstractNumId="14">
    <w:nsid w:val="288F1A34"/>
    <w:multiLevelType w:val="hybridMultilevel"/>
    <w:lvl w:ilvl="0">
      <w:lvlJc w:val="left"/>
      <w:lvlText w:val="%1)"/>
      <w:numFmt w:val="lowerLetter"/>
      <w:start w:val="1"/>
    </w:lvl>
  </w:abstractNum>
  <w:abstractNum w:abstractNumId="15">
    <w:nsid w:val="2A155DBC"/>
    <w:multiLevelType w:val="hybridMultilevel"/>
    <w:lvl w:ilvl="0">
      <w:lvlJc w:val="left"/>
      <w:lvlText w:val="%1)"/>
      <w:numFmt w:val="lowerLetter"/>
      <w:start w:val="2"/>
    </w:lvl>
  </w:abstractNum>
  <w:abstractNum w:abstractNumId="16">
    <w:nsid w:val="1D9F6E5F"/>
    <w:multiLevelType w:val="hybridMultilevel"/>
    <w:lvl w:ilvl="0">
      <w:lvlJc w:val="left"/>
      <w:lvlText w:val="(%1)"/>
      <w:numFmt w:val="lowerLetter"/>
      <w:start w:val="1"/>
    </w:lvl>
  </w:abstractNum>
  <w:abstractNum w:abstractNumId="17">
    <w:nsid w:val="97E1B4E"/>
    <w:multiLevelType w:val="hybridMultilevel"/>
    <w:lvl w:ilvl="0">
      <w:lvlJc w:val="left"/>
      <w:lvlText w:val="(%1)"/>
      <w:numFmt w:val="lowerLetter"/>
      <w:start w:val="1"/>
    </w:lvl>
  </w:abstractNum>
  <w:abstractNum w:abstractNumId="18">
    <w:nsid w:val="51088277"/>
    <w:multiLevelType w:val="hybridMultilevel"/>
    <w:lvl w:ilvl="0">
      <w:lvlJc w:val="left"/>
      <w:lvlText w:val="(%1)"/>
      <w:numFmt w:val="lowerLetter"/>
      <w:start w:val="3"/>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1)"/>
      <w:numFmt w:val="lowerRoman"/>
      <w:start w:val="3"/>
    </w:lvl>
  </w:abstractNum>
  <w:abstractNum w:abstractNumId="26">
    <w:nsid w:val="E7FFA2B"/>
    <w:multiLevelType w:val="hybridMultilevel"/>
    <w:lvl w:ilvl="0">
      <w:lvlJc w:val="left"/>
      <w:lvlText w:val="(%1)"/>
      <w:numFmt w:val="lowerRoman"/>
      <w:start w:val="2"/>
    </w:lvl>
  </w:abstractNum>
  <w:abstractNum w:abstractNumId="27">
    <w:nsid w:val="3C5991AA"/>
    <w:multiLevelType w:val="hybridMultilevel"/>
    <w:lvl w:ilvl="0">
      <w:lvlJc w:val="left"/>
      <w:lvlText w:val="(%1)"/>
      <w:numFmt w:val="lowerRoman"/>
      <w:start w:val="3"/>
    </w:lvl>
  </w:abstractNum>
  <w:abstractNum w:abstractNumId="28">
    <w:nsid w:val="4BD8591A"/>
    <w:multiLevelType w:val="hybridMultilevel"/>
    <w:lvl w:ilvl="0">
      <w:lvlJc w:val="left"/>
      <w:lvlText w:val="(%1)"/>
      <w:numFmt w:val="lowerRoman"/>
      <w:start w:val="4"/>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
      <w:numFmt w:val="bullet"/>
      <w:start w:val="1"/>
    </w:lvl>
  </w:abstractNum>
  <w:abstractNum w:abstractNumId="32">
    <w:nsid w:val="6C80EC70"/>
    <w:multiLevelType w:val="hybridMultilevel"/>
    <w:lvl w:ilvl="0">
      <w:lvlJc w:val="left"/>
      <w:lvlText w:val="(%1)"/>
      <w:numFmt w:val="lowerRoman"/>
      <w:start w:val="2"/>
    </w:lvl>
  </w:abstractNum>
  <w:abstractNum w:abstractNumId="33">
    <w:nsid w:val="379E21B5"/>
    <w:multiLevelType w:val="hybridMultilevel"/>
    <w:lvl w:ilvl="0">
      <w:lvlJc w:val="left"/>
      <w:lvlText w:val="(%1)"/>
      <w:numFmt w:val="lowerLetter"/>
      <w:start w:val="1"/>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1)"/>
      <w:numFmt w:val="lowerLetter"/>
      <w:start w:val="1"/>
    </w:lvl>
  </w:abstractNum>
  <w:abstractNum w:abstractNumId="37">
    <w:nsid w:val="6AA7B75C"/>
    <w:multiLevelType w:val="hybridMultilevel"/>
    <w:lvl w:ilvl="0">
      <w:lvlJc w:val="left"/>
      <w:lvlText w:val="%1."/>
      <w:numFmt w:val="decimal"/>
      <w:start w:val="1"/>
    </w:lvl>
  </w:abstractNum>
  <w:abstractNum w:abstractNumId="38">
    <w:nsid w:val="1DF029D3"/>
    <w:multiLevelType w:val="hybridMultilevel"/>
    <w:lvl w:ilvl="0">
      <w:lvlJc w:val="left"/>
      <w:lvlText w:val="%1."/>
      <w:numFmt w:val="decimal"/>
      <w:start w:val="2"/>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1."/>
      <w:numFmt w:val="decimal"/>
      <w:start w:val="3"/>
    </w:lvl>
  </w:abstractNum>
  <w:abstractNum w:abstractNumId="41">
    <w:nsid w:val="3DB012B3"/>
    <w:multiLevelType w:val="hybridMultilevel"/>
    <w:lvl w:ilvl="0">
      <w:lvlJc w:val="left"/>
      <w:lvlText w:val="(%1)"/>
      <w:numFmt w:val="lowerRoman"/>
      <w:start w:val="1"/>
    </w:lvl>
  </w:abstractNum>
  <w:abstractNum w:abstractNumId="42">
    <w:nsid w:val="2708C9AF"/>
    <w:multiLevelType w:val="hybridMultilevel"/>
    <w:lvl w:ilvl="0">
      <w:lvlJc w:val="left"/>
      <w:lvlText w:val="•"/>
      <w:numFmt w:val="bullet"/>
      <w:start w:val="1"/>
    </w:lvl>
  </w:abstractNum>
  <w:abstractNum w:abstractNumId="43">
    <w:nsid w:val="5B25ACE2"/>
    <w:multiLevelType w:val="hybridMultilevel"/>
    <w:lvl w:ilvl="0">
      <w:lvlJc w:val="left"/>
      <w:lvlText w:val="•"/>
      <w:numFmt w:val="bullet"/>
      <w:start w:val="1"/>
    </w:lvl>
  </w:abstractNum>
  <w:abstractNum w:abstractNumId="44">
    <w:nsid w:val="175DFCF0"/>
    <w:multiLevelType w:val="hybridMultilevel"/>
    <w:lvl w:ilvl="0">
      <w:lvlJc w:val="left"/>
      <w:lvlText w:val="(%1)"/>
      <w:numFmt w:val="lowerRoman"/>
      <w:start w:val="3"/>
    </w:lvl>
  </w:abstractNum>
  <w:abstractNum w:abstractNumId="45">
    <w:nsid w:val="4F97E3E4"/>
    <w:multiLevelType w:val="hybridMultilevel"/>
    <w:lvl w:ilvl="0">
      <w:lvlJc w:val="left"/>
      <w:lvlText w:val="•"/>
      <w:numFmt w:val="bullet"/>
      <w:start w:val="1"/>
    </w:lvl>
  </w:abstractNum>
  <w:abstractNum w:abstractNumId="46">
    <w:nsid w:val="53B0A9E"/>
    <w:multiLevelType w:val="hybridMultilevel"/>
    <w:lvl w:ilvl="0">
      <w:lvlJc w:val="left"/>
      <w:lvlText w:val="•"/>
      <w:numFmt w:val="bullet"/>
      <w:start w:val="1"/>
    </w:lvl>
  </w:abstractNum>
  <w:abstractNum w:abstractNumId="47">
    <w:nsid w:val="34FD6B4F"/>
    <w:multiLevelType w:val="hybridMultilevel"/>
    <w:lvl w:ilvl="0">
      <w:lvlJc w:val="left"/>
      <w:lvlText w:val="%1."/>
      <w:numFmt w:val="decimal"/>
      <w:start w:val="4"/>
    </w:lvl>
  </w:abstractNum>
  <w:abstractNum w:abstractNumId="48">
    <w:nsid w:val="5915FF32"/>
    <w:multiLevelType w:val="hybridMultilevel"/>
    <w:lvl w:ilvl="0">
      <w:lvlJc w:val="left"/>
      <w:lvlText w:val="%1."/>
      <w:numFmt w:val="decimal"/>
      <w:start w:val="5"/>
    </w:lvl>
  </w:abstractNum>
  <w:abstractNum w:abstractNumId="49">
    <w:nsid w:val="56438D15"/>
    <w:multiLevelType w:val="hybridMultilevel"/>
    <w:lvl w:ilvl="0">
      <w:lvlJc w:val="left"/>
      <w:lvlText w:val="(%1)"/>
      <w:numFmt w:val="lowerLetter"/>
      <w:start w:val="1"/>
    </w:lvl>
  </w:abstractNum>
  <w:abstractNum w:abstractNumId="50">
    <w:nsid w:val="519E3149"/>
    <w:multiLevelType w:val="hybridMultilevel"/>
    <w:lvl w:ilvl="0">
      <w:lvlJc w:val="left"/>
      <w:lvlText w:val="%1."/>
      <w:numFmt w:val="decimal"/>
      <w:start w:val="6"/>
    </w:lvl>
  </w:abstractNum>
  <w:abstractNum w:abstractNumId="51">
    <w:nsid w:val="2C6E4AFD"/>
    <w:multiLevelType w:val="hybridMultilevel"/>
    <w:lvl w:ilvl="0">
      <w:lvlJc w:val="left"/>
      <w:lvlText w:val="(%1)"/>
      <w:numFmt w:val="lowerLetter"/>
      <w:start w:val="1"/>
    </w:lvl>
  </w:abstractNum>
  <w:abstractNum w:abstractNumId="52">
    <w:nsid w:val="17A1B582"/>
    <w:multiLevelType w:val="hybridMultilevel"/>
    <w:lvl w:ilvl="0">
      <w:lvlJc w:val="left"/>
      <w:lvlText w:val="(%1)"/>
      <w:numFmt w:val="lowerLetter"/>
      <w:start w:val="2"/>
    </w:lvl>
  </w:abstractNum>
  <w:abstractNum w:abstractNumId="53">
    <w:nsid w:val="4DF72E4E"/>
    <w:multiLevelType w:val="hybridMultilevel"/>
    <w:lvl w:ilvl="0">
      <w:lvlJc w:val="left"/>
      <w:lvlText w:val="(%1)"/>
      <w:numFmt w:val="lowerLetter"/>
      <w:start w:val="1"/>
    </w:lvl>
  </w:abstractNum>
  <w:abstractNum w:abstractNumId="54">
    <w:nsid w:val="5046B5A9"/>
    <w:multiLevelType w:val="hybridMultilevel"/>
    <w:lvl w:ilvl="0">
      <w:lvlJc w:val="left"/>
      <w:lvlText w:val="%1)"/>
      <w:numFmt w:val="lowerLetter"/>
      <w:start w:val="1"/>
    </w:lvl>
  </w:abstractNum>
  <w:abstractNum w:abstractNumId="55">
    <w:nsid w:val="5D888A08"/>
    <w:multiLevelType w:val="hybridMultilevel"/>
    <w:lvl w:ilvl="0">
      <w:lvlJc w:val="left"/>
      <w:lvlText w:val="(%1)"/>
      <w:numFmt w:val="lowerLetter"/>
      <w:start w:val="1"/>
    </w:lvl>
  </w:abstractNum>
  <w:abstractNum w:abstractNumId="56">
    <w:nsid w:val="2A082C70"/>
    <w:multiLevelType w:val="hybridMultilevel"/>
    <w:lvl w:ilvl="0">
      <w:lvlJc w:val="left"/>
      <w:lvlText w:val="(%1)"/>
      <w:numFmt w:val="lowerLetter"/>
      <w:start w:val="1"/>
    </w:lvl>
  </w:abstractNum>
  <w:abstractNum w:abstractNumId="57">
    <w:nsid w:val="5EC6AFD4"/>
    <w:multiLevelType w:val="hybridMultilevel"/>
    <w:lvl w:ilvl="0">
      <w:lvlJc w:val="left"/>
      <w:lvlText w:val="%1."/>
      <w:numFmt w:val="decimal"/>
      <w:start w:val="8"/>
    </w:lvl>
  </w:abstractNum>
  <w:abstractNum w:abstractNumId="58">
    <w:nsid w:val="19E21BB2"/>
    <w:multiLevelType w:val="hybridMultilevel"/>
    <w:lvl w:ilvl="0">
      <w:lvlJc w:val="left"/>
      <w:lvlText w:val="%1."/>
      <w:numFmt w:val="decimal"/>
      <w:start w:val="9"/>
    </w:lvl>
  </w:abstractNum>
  <w:abstractNum w:abstractNumId="59">
    <w:nsid w:val="75E0858A"/>
    <w:multiLevelType w:val="hybridMultilevel"/>
    <w:lvl w:ilvl="0">
      <w:lvlJc w:val="left"/>
      <w:lvlText w:val="%1."/>
      <w:numFmt w:val="decimal"/>
      <w:start w:val="10"/>
    </w:lvl>
  </w:abstractNum>
  <w:abstractNum w:abstractNumId="60">
    <w:nsid w:val="57A61A29"/>
    <w:multiLevelType w:val="hybridMultilevel"/>
    <w:lvl w:ilvl="0">
      <w:lvlJc w:val="left"/>
      <w:lvlText w:val="•"/>
      <w:numFmt w:val="bullet"/>
      <w:start w:val="1"/>
    </w:lvl>
  </w:abstractNum>
  <w:abstractNum w:abstractNumId="61">
    <w:nsid w:val="5399C654"/>
    <w:multiLevelType w:val="hybridMultilevel"/>
    <w:lvl w:ilvl="0">
      <w:lvlJc w:val="left"/>
      <w:lvlText w:val="•"/>
      <w:numFmt w:val="bullet"/>
      <w:start w:val="1"/>
    </w:lvl>
  </w:abstractNum>
  <w:abstractNum w:abstractNumId="62">
    <w:nsid w:val="20EE1348"/>
    <w:multiLevelType w:val="hybridMultilevel"/>
    <w:lvl w:ilvl="0">
      <w:lvlJc w:val="left"/>
      <w:lvlText w:val="•"/>
      <w:numFmt w:val="bullet"/>
      <w:start w:val="1"/>
    </w:lvl>
  </w:abstractNum>
  <w:abstractNum w:abstractNumId="63">
    <w:nsid w:val="4427069A"/>
    <w:multiLevelType w:val="hybridMultilevel"/>
    <w:lvl w:ilvl="0">
      <w:lvlJc w:val="left"/>
      <w:lvlText w:val="%1."/>
      <w:numFmt w:val="decimal"/>
      <w:start w:val="11"/>
    </w:lvl>
  </w:abstractNum>
  <w:abstractNum w:abstractNumId="64">
    <w:nsid w:val="B37E80A"/>
    <w:multiLevelType w:val="hybridMultilevel"/>
    <w:lvl w:ilvl="0">
      <w:lvlJc w:val="left"/>
      <w:lvlText w:val="%1."/>
      <w:numFmt w:val="decimal"/>
      <w:start w:val="12"/>
    </w:lvl>
  </w:abstractNum>
  <w:abstractNum w:abstractNumId="65">
    <w:nsid w:val="2157F6BC"/>
    <w:multiLevelType w:val="hybridMultilevel"/>
    <w:lvl w:ilvl="0">
      <w:lvlJc w:val="left"/>
      <w:lvlText w:val="•"/>
      <w:numFmt w:val="bullet"/>
      <w:start w:val="1"/>
    </w:lvl>
  </w:abstractNum>
  <w:abstractNum w:abstractNumId="66">
    <w:nsid w:val="704E1DD5"/>
    <w:multiLevelType w:val="hybridMultilevel"/>
    <w:lvl w:ilvl="0">
      <w:lvlJc w:val="left"/>
      <w:lvlText w:val="%1."/>
      <w:numFmt w:val="decimal"/>
      <w:start w:val="13"/>
    </w:lvl>
  </w:abstractNum>
  <w:abstractNum w:abstractNumId="67">
    <w:nsid w:val="57D2F10E"/>
    <w:multiLevelType w:val="hybridMultilevel"/>
    <w:lvl w:ilvl="0">
      <w:lvlJc w:val="left"/>
      <w:lvlText w:val="%1."/>
      <w:numFmt w:val="decimal"/>
      <w:start w:val="14"/>
    </w:lvl>
  </w:abstractNum>
  <w:abstractNum w:abstractNumId="68">
    <w:nsid w:val="BFFAE18"/>
    <w:multiLevelType w:val="hybridMultilevel"/>
    <w:lvl w:ilvl="0">
      <w:lvlJc w:val="left"/>
      <w:lvlText w:val="(%1)"/>
      <w:numFmt w:val="lowerLetter"/>
      <w:start w:val="1"/>
    </w:lvl>
  </w:abstractNum>
  <w:abstractNum w:abstractNumId="69">
    <w:nsid w:val="E3E47A8"/>
    <w:multiLevelType w:val="hybridMultilevel"/>
    <w:lvl w:ilvl="0">
      <w:lvlJc w:val="left"/>
      <w:lvlText w:val="%1."/>
      <w:numFmt w:val="decimal"/>
      <w:start w:val="15"/>
    </w:lvl>
  </w:abstractNum>
  <w:abstractNum w:abstractNumId="70">
    <w:nsid w:val="2E48F044"/>
    <w:multiLevelType w:val="hybridMultilevel"/>
    <w:lvl w:ilvl="0">
      <w:lvlJc w:val="left"/>
      <w:lvlText w:val="%1."/>
      <w:numFmt w:val="decimal"/>
      <w:start w:val="16"/>
    </w:lvl>
  </w:abstractNum>
  <w:abstractNum w:abstractNumId="71">
    <w:nsid w:val="49D0FEAC"/>
    <w:multiLevelType w:val="hybridMultilevel"/>
    <w:lvl w:ilvl="0">
      <w:lvlJc w:val="left"/>
      <w:lvlText w:val="(%1)"/>
      <w:numFmt w:val="lowerLetter"/>
      <w:start w:val="1"/>
    </w:lvl>
  </w:abstractNum>
  <w:abstractNum w:abstractNumId="72">
    <w:nsid w:val="4BEE5A5B"/>
    <w:multiLevelType w:val="hybridMultilevel"/>
    <w:lvl w:ilvl="0">
      <w:lvlJc w:val="left"/>
      <w:lvlText w:val="%1."/>
      <w:numFmt w:val="decimal"/>
      <w:start w:val="17"/>
    </w:lvl>
  </w:abstractNum>
  <w:abstractNum w:abstractNumId="73">
    <w:nsid w:val="5551B9F3"/>
    <w:multiLevelType w:val="hybridMultilevel"/>
    <w:lvl w:ilvl="0">
      <w:lvlJc w:val="left"/>
      <w:lvlText w:val="%1."/>
      <w:numFmt w:val="decimal"/>
      <w:start w:val="18"/>
    </w:lvl>
  </w:abstractNum>
  <w:abstractNum w:abstractNumId="74">
    <w:nsid w:val="24F6AB8E"/>
    <w:multiLevelType w:val="hybridMultilevel"/>
    <w:lvl w:ilvl="0">
      <w:lvlJc w:val="left"/>
      <w:lvlText w:val="%1."/>
      <w:numFmt w:val="decimal"/>
      <w:start w:val="19"/>
    </w:lvl>
  </w:abstractNum>
  <w:abstractNum w:abstractNumId="75">
    <w:nsid w:val="634C574C"/>
    <w:multiLevelType w:val="hybridMultilevel"/>
    <w:lvl w:ilvl="0">
      <w:lvlJc w:val="left"/>
      <w:lvlText w:val="(%1)"/>
      <w:numFmt w:val="lowerRoman"/>
      <w:start w:val="2"/>
    </w:lvl>
  </w:abstractNum>
  <w:abstractNum w:abstractNumId="76">
    <w:nsid w:val="24E99DD7"/>
    <w:multiLevelType w:val="hybridMultilevel"/>
    <w:lvl w:ilvl="0">
      <w:lvlJc w:val="left"/>
      <w:lvlText w:val="%1."/>
      <w:numFmt w:val="decimal"/>
      <w:start w:val="20"/>
    </w:lvl>
  </w:abstractNum>
  <w:abstractNum w:abstractNumId="77">
    <w:nsid w:val="2A31B62D"/>
    <w:multiLevelType w:val="hybridMultilevel"/>
    <w:lvl w:ilvl="0">
      <w:lvlJc w:val="left"/>
      <w:lvlText w:val="(%1)"/>
      <w:numFmt w:val="lowerLetter"/>
      <w:start w:val="1"/>
    </w:lvl>
  </w:abstractNum>
  <w:abstractNum w:abstractNumId="78">
    <w:nsid w:val="1849C29B"/>
    <w:multiLevelType w:val="hybridMultilevel"/>
    <w:lvl w:ilvl="0">
      <w:lvlJc w:val="left"/>
      <w:lvlText w:val="(%1)"/>
      <w:numFmt w:val="lowerLetter"/>
      <w:start w:val="7"/>
    </w:lvl>
  </w:abstractNum>
  <w:abstractNum w:abstractNumId="79">
    <w:nsid w:val="7DFF9D09"/>
    <w:multiLevelType w:val="hybridMultilevel"/>
    <w:lvl w:ilvl="0">
      <w:lvlJc w:val="left"/>
      <w:lvlText w:val="(%1)"/>
      <w:numFmt w:val="lowerLetter"/>
      <w:start w:val="8"/>
    </w:lvl>
  </w:abstractNum>
  <w:abstractNum w:abstractNumId="80">
    <w:nsid w:val="754342"/>
    <w:multiLevelType w:val="hybridMultilevel"/>
    <w:lvl w:ilvl="0">
      <w:lvlJc w:val="left"/>
      <w:lvlText w:val="(%1)"/>
      <w:numFmt w:val="lowerLetter"/>
      <w:start w:val="1"/>
    </w:lvl>
  </w:abstractNum>
  <w:abstractNum w:abstractNumId="81">
    <w:nsid w:val="69E7F3E5"/>
    <w:multiLevelType w:val="hybridMultilevel"/>
    <w:lvl w:ilvl="0">
      <w:lvlJc w:val="left"/>
      <w:lvlText w:val="%1."/>
      <w:numFmt w:val="decimal"/>
      <w:start w:val="21"/>
    </w:lvl>
  </w:abstractNum>
  <w:abstractNum w:abstractNumId="82">
    <w:nsid w:val="2A6DE806"/>
    <w:multiLevelType w:val="hybridMultilevel"/>
    <w:lvl w:ilvl="0">
      <w:lvlJc w:val="left"/>
      <w:lvlText w:val="(%1)"/>
      <w:numFmt w:val="lowerLetter"/>
      <w:start w:val="1"/>
    </w:lvl>
  </w:abstractNum>
  <w:abstractNum w:abstractNumId="83">
    <w:nsid w:val="1816F8C4"/>
    <w:multiLevelType w:val="hybridMultilevel"/>
    <w:lvl w:ilvl="0">
      <w:lvlJc w:val="left"/>
      <w:lvlText w:val="%1."/>
      <w:numFmt w:val="decimal"/>
      <w:start w:val="22"/>
    </w:lvl>
  </w:abstractNum>
  <w:abstractNum w:abstractNumId="84">
    <w:nsid w:val="37DF2233"/>
    <w:multiLevelType w:val="hybridMultilevel"/>
    <w:lvl w:ilvl="0">
      <w:lvlJc w:val="left"/>
      <w:lvlText w:val="%1."/>
      <w:numFmt w:val="decimal"/>
      <w:start w:val="23"/>
    </w:lvl>
  </w:abstractNum>
  <w:abstractNum w:abstractNumId="85">
    <w:nsid w:val="7AB49DAF"/>
    <w:multiLevelType w:val="hybridMultilevel"/>
    <w:lvl w:ilvl="0">
      <w:lvlJc w:val="left"/>
      <w:lvlText w:val="(%1)"/>
      <w:numFmt w:val="lowerRoman"/>
      <w:start w:val="1"/>
    </w:lvl>
  </w:abstractNum>
  <w:abstractNum w:abstractNumId="86">
    <w:nsid w:val="759F82CD"/>
    <w:multiLevelType w:val="hybridMultilevel"/>
    <w:lvl w:ilvl="0">
      <w:lvlJc w:val="left"/>
      <w:lvlText w:val="%1."/>
      <w:numFmt w:val="decimal"/>
      <w:start w:val="24"/>
    </w:lvl>
  </w:abstractNum>
  <w:abstractNum w:abstractNumId="87">
    <w:nsid w:val="61E74EA3"/>
    <w:multiLevelType w:val="hybridMultilevel"/>
    <w:lvl w:ilvl="0">
      <w:lvlJc w:val="left"/>
      <w:lvlText w:val="(%1)"/>
      <w:numFmt w:val="lowerLetter"/>
      <w:start w:val="1"/>
    </w:lvl>
  </w:abstractNum>
  <w:abstractNum w:abstractNumId="88">
    <w:nsid w:val="597B4D84"/>
    <w:multiLevelType w:val="hybridMultilevel"/>
    <w:lvl w:ilvl="0">
      <w:lvlJc w:val="left"/>
      <w:lvlText w:val="(%1)"/>
      <w:numFmt w:val="lowerLetter"/>
      <w:start w:val="2"/>
    </w:lvl>
  </w:abstractNum>
  <w:abstractNum w:abstractNumId="89">
    <w:nsid w:val="F819E7F"/>
    <w:multiLevelType w:val="hybridMultilevel"/>
    <w:lvl w:ilvl="0">
      <w:lvlJc w:val="left"/>
      <w:lvlText w:val="*"/>
      <w:numFmt w:val="bullet"/>
      <w:start w:val="1"/>
    </w:lvl>
  </w:abstractNum>
  <w:abstractNum w:abstractNumId="90">
    <w:nsid w:val="57C7D42D"/>
    <w:multiLevelType w:val="hybridMultilevel"/>
    <w:lvl w:ilvl="0">
      <w:lvlJc w:val="left"/>
      <w:lvlText w:val="(%1)"/>
      <w:numFmt w:val="upperLetter"/>
      <w:start w:val="1"/>
    </w:lvl>
  </w:abstractNum>
  <w:abstractNum w:abstractNumId="91">
    <w:nsid w:val="312167AD"/>
    <w:multiLevelType w:val="hybridMultilevel"/>
    <w:lvl w:ilvl="0">
      <w:lvlJc w:val="left"/>
      <w:lvlText w:val="(%1)"/>
      <w:numFmt w:val="lowerLetter"/>
      <w:start w:val="1"/>
    </w:lvl>
  </w:abstractNum>
  <w:abstractNum w:abstractNumId="92">
    <w:nsid w:val="631B64D4"/>
    <w:multiLevelType w:val="hybridMultilevel"/>
    <w:lvl w:ilvl="0">
      <w:lvlJc w:val="left"/>
      <w:lvlText w:val="(%1)"/>
      <w:numFmt w:val="lowerLetter"/>
      <w:start w:val="3"/>
    </w:lvl>
  </w:abstractNum>
  <w:abstractNum w:abstractNumId="93">
    <w:nsid w:val="78B5E776"/>
    <w:multiLevelType w:val="hybridMultilevel"/>
    <w:lvl w:ilvl="0">
      <w:lvlJc w:val="left"/>
      <w:lvlText w:val="(%1)"/>
      <w:numFmt w:val="lowerLetter"/>
      <w:start w:val="1"/>
    </w:lvl>
  </w:abstractNum>
  <w:abstractNum w:abstractNumId="94">
    <w:nsid w:val="75486E47"/>
    <w:multiLevelType w:val="hybridMultilevel"/>
    <w:lvl w:ilvl="0">
      <w:lvlJc w:val="left"/>
      <w:lvlText w:val="(%1)"/>
      <w:numFmt w:val="lowerLetter"/>
      <w:start w:val="2"/>
    </w:lvl>
  </w:abstractNum>
  <w:abstractNum w:abstractNumId="95">
    <w:nsid w:val="6E534CDE"/>
    <w:multiLevelType w:val="hybridMultilevel"/>
    <w:lvl w:ilvl="0">
      <w:lvlJc w:val="left"/>
      <w:lvlText w:val="%1."/>
      <w:numFmt w:val="decimal"/>
      <w:start w:val="1"/>
    </w:lvl>
    <w:lvl w:ilvl="1">
      <w:lvlJc w:val="left"/>
      <w:lvlText w:val="(%2)"/>
      <w:numFmt w:val="lowerLetter"/>
      <w:start w:val="1"/>
    </w:lvl>
  </w:abstractNum>
  <w:abstractNum w:abstractNumId="96">
    <w:nsid w:val="1A0DDE32"/>
    <w:multiLevelType w:val="hybridMultilevel"/>
    <w:lvl w:ilvl="0">
      <w:lvlJc w:val="left"/>
      <w:lvlText w:val="(%1)"/>
      <w:numFmt w:val="lowerLetter"/>
      <w:start w:val="2"/>
    </w:lvl>
  </w:abstractNum>
  <w:abstractNum w:abstractNumId="97">
    <w:nsid w:val="65968C1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8">
    <w:nsid w:val="46263D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9">
    <w:nsid w:val="260D8C4A"/>
    <w:multiLevelType w:val="hybridMultilevel"/>
    <w:lvl w:ilvl="0">
      <w:lvlJc w:val="left"/>
      <w:lvlText w:val="%1."/>
      <w:numFmt w:val="decimal"/>
      <w:start w:val="4"/>
    </w:lvl>
    <w:lvl w:ilvl="1">
      <w:lvlJc w:val="left"/>
      <w:lvlText w:val="(%2)"/>
      <w:numFmt w:val="lowerLetter"/>
      <w:start w:val="1"/>
    </w:lvl>
  </w:abstractNum>
  <w:abstractNum w:abstractNumId="100">
    <w:nsid w:val="73D4D3C4"/>
    <w:multiLevelType w:val="hybridMultilevel"/>
    <w:lvl w:ilvl="0">
      <w:lvlJc w:val="left"/>
      <w:lvlText w:val="%1."/>
      <w:numFmt w:val="decimal"/>
      <w:start w:val="6"/>
    </w:lvl>
  </w:abstractNum>
  <w:abstractNum w:abstractNumId="101">
    <w:nsid w:val="746F2E30"/>
    <w:multiLevelType w:val="hybridMultilevel"/>
    <w:lvl w:ilvl="0">
      <w:lvlJc w:val="left"/>
      <w:lvlText w:val="%1."/>
      <w:numFmt w:val="decimal"/>
      <w:start w:val="11"/>
    </w:lvl>
    <w:lvl w:ilvl="1">
      <w:lvlJc w:val="left"/>
      <w:lvlText w:val="(%2)"/>
      <w:numFmt w:val="lowerLetter"/>
      <w:start w:val="1"/>
    </w:lvl>
  </w:abstractNum>
  <w:abstractNum w:abstractNumId="102">
    <w:nsid w:val="6FDE8AF6"/>
    <w:multiLevelType w:val="hybridMultilevel"/>
    <w:lvl w:ilvl="0">
      <w:lvlJc w:val="left"/>
      <w:lvlText w:val="(%1)"/>
      <w:numFmt w:val="lowerLetter"/>
      <w:start w:val="1"/>
    </w:lvl>
    <w:lvl w:ilvl="1">
      <w:lvlJc w:val="left"/>
      <w:lvlText w:val="(%2)"/>
      <w:numFmt w:val="lowerRoman"/>
      <w:start w:val="1"/>
    </w:lvl>
  </w:abstractNum>
  <w:abstractNum w:abstractNumId="103">
    <w:nsid w:val="3FC32E20"/>
    <w:multiLevelType w:val="hybridMultilevel"/>
    <w:lvl w:ilvl="0">
      <w:lvlJc w:val="left"/>
      <w:lvlText w:val="(%1)"/>
      <w:numFmt w:val="lowerRoman"/>
      <w:start w:val="4"/>
    </w:lvl>
  </w:abstractNum>
  <w:abstractNum w:abstractNumId="104">
    <w:nsid w:val="49C0E823"/>
    <w:multiLevelType w:val="hybridMultilevel"/>
    <w:lvl w:ilvl="0">
      <w:lvlJc w:val="left"/>
      <w:lvlText w:val="(%1)"/>
      <w:numFmt w:val="upperLetter"/>
      <w:start w:val="1"/>
    </w:lvl>
  </w:abstractNum>
  <w:abstractNum w:abstractNumId="105">
    <w:nsid w:val="14D53685"/>
    <w:multiLevelType w:val="hybridMultilevel"/>
    <w:lvl w:ilvl="0">
      <w:lvlJc w:val="left"/>
      <w:lvlText w:val="(%1)"/>
      <w:numFmt w:val="lowerLetter"/>
      <w:start w:val="4"/>
    </w:lvl>
  </w:abstractNum>
  <w:abstractNum w:abstractNumId="106">
    <w:nsid w:val="230F856C"/>
    <w:multiLevelType w:val="hybridMultilevel"/>
    <w:lvl w:ilvl="0">
      <w:lvlJc w:val="left"/>
      <w:lvlText w:val="%1"/>
      <w:numFmt w:val="decimal"/>
      <w:start w:val="1"/>
    </w:lvl>
    <w:lvl w:ilvl="1">
      <w:lvlJc w:val="left"/>
      <w:lvlText w:val="(%2)"/>
      <w:numFmt w:val="lowerLetter"/>
      <w:start w:val="6"/>
    </w:lvl>
  </w:abstractNum>
  <w:abstractNum w:abstractNumId="107">
    <w:nsid w:val="6EAA85FB"/>
    <w:multiLevelType w:val="hybridMultilevel"/>
    <w:lvl w:ilvl="0">
      <w:lvlJc w:val="left"/>
      <w:lvlText w:val="%1."/>
      <w:numFmt w:val="decimal"/>
      <w:start w:val="17"/>
    </w:lvl>
    <w:lvl w:ilvl="1">
      <w:lvlJc w:val="left"/>
      <w:lvlText w:val="(%2)"/>
      <w:numFmt w:val="lowerLetter"/>
      <w:start w:val="1"/>
    </w:lvl>
  </w:abstractNum>
  <w:abstractNum w:abstractNumId="108">
    <w:nsid w:val="3F06ECB2"/>
    <w:multiLevelType w:val="hybridMultilevel"/>
    <w:lvl w:ilvl="0">
      <w:lvlJc w:val="left"/>
      <w:lvlText w:val="%1."/>
      <w:numFmt w:val="decimal"/>
      <w:start w:val="1"/>
    </w:lvl>
    <w:lvl w:ilvl="1">
      <w:lvlJc w:val="left"/>
      <w:lvlText w:val="(%2)"/>
      <w:numFmt w:val="lowerLetter"/>
      <w:start w:val="1"/>
    </w:lvl>
  </w:abstractNum>
  <w:abstractNum w:abstractNumId="109">
    <w:nsid w:val="3B594807"/>
    <w:multiLevelType w:val="hybridMultilevel"/>
    <w:lvl w:ilvl="0">
      <w:lvlJc w:val="left"/>
      <w:lvlText w:val="%1."/>
      <w:numFmt w:val="decimal"/>
      <w:start w:val="3"/>
    </w:lvl>
    <w:lvl w:ilvl="1">
      <w:lvlJc w:val="left"/>
      <w:lvlText w:val="(%2)"/>
      <w:numFmt w:val="lowerLetter"/>
      <w:start w:val="1"/>
    </w:lvl>
  </w:abstractNum>
  <w:abstractNum w:abstractNumId="110">
    <w:nsid w:val="6CAA2304"/>
    <w:multiLevelType w:val="hybridMultilevel"/>
    <w:lvl w:ilvl="0">
      <w:lvlJc w:val="left"/>
      <w:lvlText w:val="(%1)"/>
      <w:numFmt w:val="lowerLetter"/>
      <w:start w:val="2"/>
    </w:lvl>
  </w:abstractNum>
  <w:abstractNum w:abstractNumId="111">
    <w:nsid w:val="3F7C2FF4"/>
    <w:multiLevelType w:val="hybridMultilevel"/>
    <w:lvl w:ilvl="0">
      <w:lvlJc w:val="left"/>
      <w:lvlText w:val="(%1)"/>
      <w:numFmt w:val="lowerLetter"/>
      <w:start w:val="4"/>
    </w:lvl>
  </w:abstractNum>
  <w:abstractNum w:abstractNumId="112">
    <w:nsid w:val="25413BEC"/>
    <w:multiLevelType w:val="hybridMultilevel"/>
    <w:lvl w:ilvl="0">
      <w:lvlJc w:val="left"/>
      <w:lvlText w:val="%1."/>
      <w:numFmt w:val="decimal"/>
      <w:start w:val="4"/>
    </w:lvl>
  </w:abstractNum>
  <w:abstractNum w:abstractNumId="113">
    <w:nsid w:val="17180B0B"/>
    <w:multiLevelType w:val="hybridMultilevel"/>
    <w:lvl w:ilvl="0">
      <w:lvlJc w:val="left"/>
      <w:lvlText w:val="%1."/>
      <w:numFmt w:val="decimal"/>
      <w:start w:val="5"/>
    </w:lvl>
    <w:lvl w:ilvl="1">
      <w:lvlJc w:val="left"/>
      <w:lvlText w:val="(%2)"/>
      <w:numFmt w:val="lowerLetter"/>
      <w:start w:val="1"/>
    </w:lvl>
  </w:abstractNum>
  <w:abstractNum w:abstractNumId="114">
    <w:nsid w:val="579328B9"/>
    <w:multiLevelType w:val="hybridMultilevel"/>
    <w:lvl w:ilvl="0">
      <w:lvlJc w:val="left"/>
      <w:lvlText w:val="(%1)"/>
      <w:numFmt w:val="lowerLetter"/>
      <w:start w:val="2"/>
    </w:lvl>
    <w:lvl w:ilvl="1">
      <w:lvlJc w:val="left"/>
      <w:lvlText w:val="(%2)"/>
      <w:numFmt w:val="lowerLetter"/>
      <w:start w:val="9"/>
    </w:lvl>
  </w:abstractNum>
  <w:abstractNum w:abstractNumId="115">
    <w:nsid w:val="5D205E20"/>
    <w:multiLevelType w:val="hybridMultilevel"/>
    <w:lvl w:ilvl="0">
      <w:lvlJc w:val="left"/>
      <w:lvlText w:val="(%1)"/>
      <w:numFmt w:val="lowerRoman"/>
      <w:start w:val="2"/>
    </w:lvl>
  </w:abstractNum>
  <w:abstractNum w:abstractNumId="116">
    <w:nsid w:val="11CCA8BA"/>
    <w:multiLevelType w:val="hybridMultilevel"/>
    <w:lvl w:ilvl="0">
      <w:lvlJc w:val="left"/>
      <w:lvlText w:val="%1."/>
      <w:numFmt w:val="decimal"/>
      <w:start w:val="9"/>
    </w:lvl>
    <w:lvl w:ilvl="1">
      <w:lvlJc w:val="left"/>
      <w:lvlText w:val="(%2)"/>
      <w:numFmt w:val="lowerLetter"/>
      <w:start w:val="1"/>
    </w:lvl>
  </w:abstractNum>
  <w:abstractNum w:abstractNumId="117">
    <w:nsid w:val="4D32AB86"/>
    <w:multiLevelType w:val="hybridMultilevel"/>
    <w:lvl w:ilvl="0">
      <w:lvlJc w:val="left"/>
      <w:lvlText w:val="%1."/>
      <w:numFmt w:val="decimal"/>
      <w:start w:val="12"/>
    </w:lvl>
  </w:abstractNum>
  <w:abstractNum w:abstractNumId="118">
    <w:nsid w:val="3F07ACC3"/>
    <w:multiLevelType w:val="hybridMultilevel"/>
    <w:lvl w:ilvl="0">
      <w:lvlJc w:val="left"/>
      <w:lvlText w:val="%1."/>
      <w:numFmt w:val="decimal"/>
      <w:start w:val="16"/>
    </w:lvl>
    <w:lvl w:ilvl="1">
      <w:lvlJc w:val="left"/>
      <w:lvlText w:val="(%2)"/>
      <w:numFmt w:val="lowerLetter"/>
      <w:start w:val="1"/>
    </w:lvl>
  </w:abstractNum>
  <w:abstractNum w:abstractNumId="119">
    <w:nsid w:val="6B47F63E"/>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120">
    <w:nsid w:val="5CB44A05"/>
    <w:multiLevelType w:val="hybridMultilevel"/>
    <w:lvl w:ilvl="0">
      <w:lvlJc w:val="left"/>
      <w:lvlText w:val="(%1)"/>
      <w:numFmt w:val="lowerRoman"/>
      <w:start w:val="3"/>
    </w:lvl>
  </w:abstractNum>
  <w:abstractNum w:abstractNumId="121">
    <w:nsid w:val="16CF80F1"/>
    <w:multiLevelType w:val="hybridMultilevel"/>
    <w:lvl w:ilvl="0">
      <w:lvlJc w:val="left"/>
      <w:lvlText w:val="(%1)"/>
      <w:numFmt w:val="upperLetter"/>
      <w:start w:val="1"/>
    </w:lvl>
  </w:abstractNum>
  <w:abstractNum w:abstractNumId="122">
    <w:nsid w:val="1C695DEC"/>
    <w:multiLevelType w:val="hybridMultilevel"/>
    <w:lvl w:ilvl="0">
      <w:lvlJc w:val="left"/>
      <w:lvlText w:val="(%1)"/>
      <w:numFmt w:val="lowerLetter"/>
      <w:start w:val="4"/>
    </w:lvl>
  </w:abstractNum>
  <w:abstractNum w:abstractNumId="123">
    <w:nsid w:val="3FCFAED9"/>
    <w:multiLevelType w:val="hybridMultilevel"/>
    <w:lvl w:ilvl="0">
      <w:lvlJc w:val="left"/>
      <w:lvlText w:val="%1"/>
      <w:numFmt w:val="decimal"/>
      <w:start w:val="1"/>
    </w:lvl>
    <w:lvl w:ilvl="1">
      <w:lvlJc w:val="left"/>
      <w:lvlText w:val="(%2)"/>
      <w:numFmt w:val="lowerLetter"/>
      <w:start w:val="13"/>
    </w:lvl>
  </w:abstractNum>
  <w:abstractNum w:abstractNumId="124">
    <w:nsid w:val="F856867"/>
    <w:multiLevelType w:val="hybridMultilevel"/>
    <w:lvl w:ilvl="0">
      <w:lvlJc w:val="left"/>
      <w:lvlText w:val="%1."/>
      <w:numFmt w:val="decimal"/>
      <w:start w:val="23"/>
    </w:lvl>
    <w:lvl w:ilvl="1">
      <w:lvlJc w:val="left"/>
      <w:lvlText w:val="(%2)"/>
      <w:numFmt w:val="lowerLetter"/>
      <w:start w:val="1"/>
    </w:lvl>
  </w:abstractNum>
  <w:abstractNum w:abstractNumId="125">
    <w:nsid w:val="11B1CC33"/>
    <w:multiLevelType w:val="hybridMultilevel"/>
    <w:lvl w:ilvl="0">
      <w:lvlJc w:val="left"/>
      <w:lvlText w:val="%1."/>
      <w:numFmt w:val="decimal"/>
      <w:start w:val="1"/>
    </w:lvl>
  </w:abstractNum>
  <w:abstractNum w:abstractNumId="126">
    <w:nsid w:val="2E22FBB7"/>
    <w:multiLevelType w:val="hybridMultilevel"/>
    <w:lvl w:ilvl="0">
      <w:lvlJc w:val="left"/>
      <w:lvlText w:val="%1."/>
      <w:numFmt w:val="decimal"/>
      <w:start w:val="2"/>
    </w:lvl>
  </w:abstractNum>
  <w:abstractNum w:abstractNumId="127">
    <w:nsid w:val="29934699"/>
    <w:multiLevelType w:val="hybridMultilevel"/>
    <w:lvl w:ilvl="0">
      <w:lvlJc w:val="left"/>
      <w:lvlText w:val="%1."/>
      <w:numFmt w:val="decimal"/>
      <w:start w:val="3"/>
    </w:lvl>
  </w:abstractNum>
  <w:abstractNum w:abstractNumId="128">
    <w:nsid w:val="77485850"/>
    <w:multiLevelType w:val="hybridMultilevel"/>
    <w:lvl w:ilvl="0">
      <w:lvlJc w:val="left"/>
      <w:lvlText w:val="(%1)"/>
      <w:numFmt w:val="lowerLetter"/>
      <w:start w:val="1"/>
    </w:lvl>
  </w:abstractNum>
  <w:abstractNum w:abstractNumId="129">
    <w:nsid w:val="744939A3"/>
    <w:multiLevelType w:val="hybridMultilevel"/>
    <w:lvl w:ilvl="0">
      <w:lvlJc w:val="left"/>
      <w:lvlText w:val="%1."/>
      <w:numFmt w:val="decimal"/>
      <w:start w:val="4"/>
    </w:lvl>
  </w:abstractNum>
  <w:abstractNum w:abstractNumId="130">
    <w:nsid w:val="4FA0D2E3"/>
    <w:multiLevelType w:val="hybridMultilevel"/>
    <w:lvl w:ilvl="0">
      <w:lvlJc w:val="left"/>
      <w:lvlText w:val="(%1)"/>
      <w:numFmt w:val="lowerLetter"/>
      <w:start w:val="1"/>
    </w:lvl>
  </w:abstractNum>
  <w:abstractNum w:abstractNumId="131">
    <w:nsid w:val="6B1D2C14"/>
    <w:multiLevelType w:val="hybridMultilevel"/>
    <w:lvl w:ilvl="0">
      <w:lvlJc w:val="left"/>
      <w:lvlText w:val="%1"/>
      <w:numFmt w:val="lowerLetter"/>
      <w:start w:val="1"/>
    </w:lvl>
    <w:lvl w:ilvl="1">
      <w:lvlJc w:val="left"/>
      <w:lvlText w:val="(%2)"/>
      <w:numFmt w:val="lowerLetter"/>
      <w:start w:val="2"/>
    </w:lvl>
  </w:abstractNum>
  <w:abstractNum w:abstractNumId="132">
    <w:nsid w:val="68B867D3"/>
    <w:multiLevelType w:val="hybridMultilevel"/>
    <w:lvl w:ilvl="0">
      <w:lvlJc w:val="left"/>
      <w:lvlText w:val="(%1)"/>
      <w:numFmt w:val="lowerLetter"/>
      <w:start w:val="9"/>
    </w:lvl>
    <w:lvl w:ilvl="1">
      <w:lvlJc w:val="left"/>
      <w:lvlText w:val="(%2)"/>
      <w:numFmt w:val="lowerLetter"/>
      <w:start w:val="3"/>
    </w:lvl>
  </w:abstractNum>
  <w:abstractNum w:abstractNumId="133">
    <w:nsid w:val="3F7F5DD9"/>
    <w:multiLevelType w:val="hybridMultilevel"/>
    <w:lvl w:ilvl="0">
      <w:lvlJc w:val="left"/>
      <w:lvlText w:val="(%1)"/>
      <w:numFmt w:val="lowerLetter"/>
      <w:start w:val="5"/>
    </w:lvl>
  </w:abstractNum>
  <w:abstractNum w:abstractNumId="134">
    <w:nsid w:val="2AE05A34"/>
    <w:multiLevelType w:val="hybridMultilevel"/>
    <w:lvl w:ilvl="0">
      <w:lvlJc w:val="left"/>
      <w:lvlText w:val="(%1)"/>
      <w:numFmt w:val="lowerRoman"/>
      <w:start w:val="1"/>
    </w:lvl>
  </w:abstractNum>
  <w:abstractNum w:abstractNumId="135">
    <w:nsid w:val="32794FF7"/>
    <w:multiLevelType w:val="hybridMultilevel"/>
    <w:lvl w:ilvl="0">
      <w:lvlJc w:val="left"/>
      <w:lvlText w:val="%1."/>
      <w:numFmt w:val="decimal"/>
      <w:start w:val="5"/>
    </w:lvl>
  </w:abstractNum>
  <w:abstractNum w:abstractNumId="136">
    <w:nsid w:val="5454945E"/>
    <w:multiLevelType w:val="hybridMultilevel"/>
    <w:lvl w:ilvl="0">
      <w:lvlJc w:val="left"/>
      <w:lvlText w:val="(%1)"/>
      <w:numFmt w:val="lowerLetter"/>
      <w:start w:val="1"/>
    </w:lvl>
  </w:abstractNum>
  <w:abstractNum w:abstractNumId="137">
    <w:nsid w:val="4DEFDFA0"/>
    <w:multiLevelType w:val="hybridMultilevel"/>
    <w:lvl w:ilvl="0">
      <w:lvlJc w:val="left"/>
      <w:lvlText w:val="(%1)"/>
      <w:numFmt w:val="lowerLetter"/>
      <w:start w:val="3"/>
    </w:lvl>
  </w:abstractNum>
  <w:abstractNum w:abstractNumId="138">
    <w:nsid w:val="2123D5F2"/>
    <w:multiLevelType w:val="hybridMultilevel"/>
    <w:lvl w:ilvl="0">
      <w:lvlJc w:val="left"/>
      <w:lvlText w:val="(%1)"/>
      <w:numFmt w:val="lowerRoman"/>
      <w:start w:val="1"/>
    </w:lvl>
  </w:abstractNum>
  <w:abstractNum w:abstractNumId="139">
    <w:nsid w:val="135B8110"/>
    <w:multiLevelType w:val="hybridMultilevel"/>
    <w:lvl w:ilvl="0">
      <w:lvlJc w:val="left"/>
      <w:lvlText w:val="(%1)"/>
      <w:numFmt w:val="lowerLetter"/>
      <w:start w:val="4"/>
    </w:lvl>
  </w:abstractNum>
  <w:abstractNum w:abstractNumId="140">
    <w:nsid w:val="94927A8"/>
    <w:multiLevelType w:val="hybridMultilevel"/>
    <w:lvl w:ilvl="0">
      <w:lvlJc w:val="left"/>
      <w:lvlText w:val="(%1)"/>
      <w:numFmt w:val="lowerRoman"/>
      <w:start w:val="1"/>
    </w:lvl>
  </w:abstractNum>
  <w:abstractNum w:abstractNumId="141">
    <w:nsid w:val="DCDF8F6"/>
    <w:multiLevelType w:val="hybridMultilevel"/>
    <w:lvl w:ilvl="0">
      <w:lvlJc w:val="left"/>
      <w:lvlText w:val="(%1)"/>
      <w:numFmt w:val="lowerLetter"/>
      <w:start w:val="5"/>
    </w:lvl>
  </w:abstractNum>
  <w:abstractNum w:abstractNumId="142">
    <w:nsid w:val="52D7B105"/>
    <w:multiLevelType w:val="hybridMultilevel"/>
    <w:lvl w:ilvl="0">
      <w:lvlJc w:val="left"/>
      <w:lvlText w:val="(%1)"/>
      <w:numFmt w:val="lowerLetter"/>
      <w:start w:val="6"/>
    </w:lvl>
  </w:abstractNum>
  <w:abstractNum w:abstractNumId="143">
    <w:nsid w:val="2E8A6394"/>
    <w:multiLevelType w:val="hybridMultilevel"/>
    <w:lvl w:ilvl="0">
      <w:lvlJc w:val="left"/>
      <w:lvlText w:val="%1."/>
      <w:numFmt w:val="decimal"/>
      <w:start w:val="6"/>
    </w:lvl>
  </w:abstractNum>
  <w:abstractNum w:abstractNumId="144">
    <w:nsid w:val="24E60401"/>
    <w:multiLevelType w:val="hybridMultilevel"/>
    <w:lvl w:ilvl="0">
      <w:lvlJc w:val="left"/>
      <w:lvlText w:val="(%1)"/>
      <w:numFmt w:val="lowerLetter"/>
      <w:start w:val="1"/>
    </w:lvl>
  </w:abstractNum>
  <w:abstractNum w:abstractNumId="145">
    <w:nsid w:val="2A6AD9BE"/>
    <w:multiLevelType w:val="hybridMultilevel"/>
    <w:lvl w:ilvl="0">
      <w:lvlJc w:val="left"/>
      <w:lvlText w:val="(%1)"/>
      <w:numFmt w:val="lowerRoman"/>
      <w:start w:val="1"/>
    </w:lvl>
  </w:abstractNum>
  <w:abstractNum w:abstractNumId="146">
    <w:nsid w:val="BAAC1B4"/>
    <w:multiLevelType w:val="hybridMultilevel"/>
    <w:lvl w:ilvl="0">
      <w:lvlJc w:val="left"/>
      <w:lvlText w:val="(%1)"/>
      <w:numFmt w:val="lowerLetter"/>
      <w:start w:val="2"/>
    </w:lvl>
  </w:abstractNum>
  <w:abstractNum w:abstractNumId="147">
    <w:nsid w:val="36B2ACBC"/>
    <w:multiLevelType w:val="hybridMultilevel"/>
    <w:lvl w:ilvl="0">
      <w:lvlJc w:val="left"/>
      <w:lvlText w:val="(%1)"/>
      <w:numFmt w:val="lowerRoman"/>
      <w:start w:val="1"/>
    </w:lvl>
  </w:abstractNum>
  <w:abstractNum w:abstractNumId="148">
    <w:nsid w:val="779D8544"/>
    <w:multiLevelType w:val="hybridMultilevel"/>
    <w:lvl w:ilvl="0">
      <w:lvlJc w:val="left"/>
      <w:lvlText w:val="(%1)"/>
      <w:numFmt w:val="lowerLetter"/>
      <w:start w:val="3"/>
    </w:lvl>
  </w:abstractNum>
  <w:abstractNum w:abstractNumId="149">
    <w:nsid w:val="4AB26E78"/>
    <w:multiLevelType w:val="hybridMultilevel"/>
    <w:lvl w:ilvl="0">
      <w:lvlJc w:val="left"/>
      <w:lvlText w:val="(%1)"/>
      <w:numFmt w:val="lowerRoman"/>
      <w:start w:val="1"/>
    </w:lvl>
  </w:abstractNum>
  <w:abstractNum w:abstractNumId="150">
    <w:nsid w:val="21FAA2FA"/>
    <w:multiLevelType w:val="hybridMultilevel"/>
    <w:lvl w:ilvl="0">
      <w:lvlJc w:val="left"/>
      <w:lvlText w:val="(%1)"/>
      <w:numFmt w:val="lowerLetter"/>
      <w:start w:val="4"/>
    </w:lvl>
  </w:abstractNum>
  <w:abstractNum w:abstractNumId="151">
    <w:nsid w:val="5451CF49"/>
    <w:multiLevelType w:val="hybridMultilevel"/>
    <w:lvl w:ilvl="0">
      <w:lvlJc w:val="left"/>
      <w:lvlText w:val="(%1)"/>
      <w:numFmt w:val="lowerRoman"/>
      <w:start w:val="1"/>
    </w:lvl>
  </w:abstractNum>
  <w:abstractNum w:abstractNumId="152">
    <w:nsid w:val="6181EF69"/>
    <w:multiLevelType w:val="hybridMultilevel"/>
    <w:lvl w:ilvl="0">
      <w:lvlJc w:val="left"/>
      <w:lvlText w:val="(%1)"/>
      <w:numFmt w:val="lowerLetter"/>
      <w:start w:val="5"/>
    </w:lvl>
  </w:abstractNum>
  <w:abstractNum w:abstractNumId="153">
    <w:nsid w:val="3E6400E6"/>
    <w:multiLevelType w:val="hybridMultilevel"/>
    <w:lvl w:ilvl="0">
      <w:lvlJc w:val="left"/>
      <w:lvlText w:val="(%1)"/>
      <w:numFmt w:val="lowerRoman"/>
      <w:start w:val="1"/>
    </w:lvl>
  </w:abstractNum>
  <w:abstractNum w:abstractNumId="154">
    <w:nsid w:val="14217E23"/>
    <w:multiLevelType w:val="hybridMultilevel"/>
    <w:lvl w:ilvl="0">
      <w:lvlJc w:val="left"/>
      <w:lvlText w:val="(%1)"/>
      <w:numFmt w:val="lowerRoman"/>
      <w:start w:val="4"/>
    </w:lvl>
  </w:abstractNum>
  <w:abstractNum w:abstractNumId="155">
    <w:nsid w:val="710757D0"/>
    <w:multiLevelType w:val="hybridMultilevel"/>
    <w:lvl w:ilvl="0">
      <w:lvlJc w:val="left"/>
      <w:lvlText w:val="(%1)"/>
      <w:numFmt w:val="lowerLetter"/>
      <w:start w:val="6"/>
    </w:lvl>
  </w:abstractNum>
  <w:abstractNum w:abstractNumId="156">
    <w:nsid w:val="5015CD1A"/>
    <w:multiLevelType w:val="hybridMultilevel"/>
    <w:lvl w:ilvl="0">
      <w:lvlJc w:val="left"/>
      <w:lvlText w:val="%1."/>
      <w:numFmt w:val="decimal"/>
      <w:start w:val="7"/>
    </w:lvl>
  </w:abstractNum>
  <w:abstractNum w:abstractNumId="157">
    <w:nsid w:val="424479DA"/>
    <w:multiLevelType w:val="hybridMultilevel"/>
    <w:lvl w:ilvl="0">
      <w:lvlJc w:val="left"/>
      <w:lvlText w:val="(%1)"/>
      <w:numFmt w:val="lowerLetter"/>
      <w:start w:val="1"/>
    </w:lvl>
  </w:abstractNum>
  <w:abstractNum w:abstractNumId="158">
    <w:nsid w:val="1A9A9E69"/>
    <w:multiLevelType w:val="hybridMultilevel"/>
    <w:lvl w:ilvl="0">
      <w:lvlJc w:val="left"/>
      <w:lvlText w:val="(%1)"/>
      <w:numFmt w:val="lowerRoman"/>
      <w:start w:val="1"/>
    </w:lvl>
    <w:lvl w:ilvl="1">
      <w:lvlJc w:val="left"/>
      <w:lvlText w:val="(%2)"/>
      <w:numFmt w:val="upperLetter"/>
      <w:start w:val="1"/>
    </w:lvl>
  </w:abstractNum>
  <w:abstractNum w:abstractNumId="159">
    <w:nsid w:val="475E256A"/>
    <w:multiLevelType w:val="hybridMultilevel"/>
    <w:lvl w:ilvl="0">
      <w:lvlJc w:val="left"/>
      <w:lvlText w:val="(%1)"/>
      <w:numFmt w:val="lowerLetter"/>
      <w:start w:val="2"/>
    </w:lvl>
  </w:abstractNum>
  <w:abstractNum w:abstractNumId="160">
    <w:nsid w:val="368DB37E"/>
    <w:multiLevelType w:val="hybridMultilevel"/>
    <w:lvl w:ilvl="0">
      <w:lvlJc w:val="left"/>
      <w:lvlText w:val="(%1)"/>
      <w:numFmt w:val="lowerRoman"/>
      <w:start w:val="1"/>
    </w:lvl>
  </w:abstractNum>
  <w:abstractNum w:abstractNumId="161">
    <w:nsid w:val="6A3B714C"/>
    <w:multiLevelType w:val="hybridMultilevel"/>
    <w:lvl w:ilvl="0">
      <w:lvlJc w:val="left"/>
      <w:lvlText w:val="(%1)"/>
      <w:numFmt w:val="lowerRoman"/>
      <w:start w:val="3"/>
    </w:lvl>
  </w:abstractNum>
  <w:abstractNum w:abstractNumId="162">
    <w:nsid w:val="327B517E"/>
    <w:multiLevelType w:val="hybridMultilevel"/>
    <w:lvl w:ilvl="0">
      <w:lvlJc w:val="left"/>
      <w:lvlText w:val="(%1)"/>
      <w:numFmt w:val="lowerRoman"/>
      <w:start w:val="4"/>
    </w:lvl>
    <w:lvl w:ilvl="1">
      <w:lvlJc w:val="left"/>
      <w:lvlText w:val="(%2)"/>
      <w:numFmt w:val="lowerRoman"/>
      <w:start w:val="3"/>
    </w:lvl>
  </w:abstractNum>
  <w:abstractNum w:abstractNumId="163">
    <w:nsid w:val="1F461B51"/>
    <w:multiLevelType w:val="hybridMultilevel"/>
    <w:lvl w:ilvl="0">
      <w:lvlJc w:val="left"/>
      <w:lvlText w:val="(%1)"/>
      <w:numFmt w:val="lowerLetter"/>
      <w:start w:val="3"/>
    </w:lvl>
  </w:abstractNum>
  <w:abstractNum w:abstractNumId="164">
    <w:nsid w:val="29BACF25"/>
    <w:multiLevelType w:val="hybridMultilevel"/>
    <w:lvl w:ilvl="0">
      <w:lvlJc w:val="left"/>
      <w:lvlText w:val="(%1)"/>
      <w:numFmt w:val="lowerRoman"/>
      <w:start w:val="1"/>
    </w:lvl>
  </w:abstractNum>
  <w:abstractNum w:abstractNumId="165">
    <w:nsid w:val="5D5BABB3"/>
    <w:multiLevelType w:val="hybridMultilevel"/>
    <w:lvl w:ilvl="0">
      <w:lvlJc w:val="left"/>
      <w:lvlText w:val="(%1)"/>
      <w:numFmt w:val="lowerRoman"/>
      <w:start w:val="3"/>
    </w:lvl>
  </w:abstractNum>
  <w:abstractNum w:abstractNumId="166">
    <w:nsid w:val="51BF6B48"/>
    <w:multiLevelType w:val="hybridMultilevel"/>
    <w:lvl w:ilvl="0">
      <w:lvlJc w:val="left"/>
      <w:lvlText w:val="(%1)"/>
      <w:numFmt w:val="lowerRoman"/>
      <w:start w:val="1"/>
    </w:lvl>
  </w:abstractNum>
  <w:abstractNum w:abstractNumId="167">
    <w:nsid w:val="7E0F6384"/>
    <w:multiLevelType w:val="hybridMultilevel"/>
    <w:lvl w:ilvl="0">
      <w:lvlJc w:val="left"/>
      <w:lvlText w:val="(%1)"/>
      <w:numFmt w:val="lowerRoman"/>
      <w:start w:val="3"/>
    </w:lvl>
  </w:abstractNum>
  <w:abstractNum w:abstractNumId="168">
    <w:nsid w:val="2B4B8B53"/>
    <w:multiLevelType w:val="hybridMultilevel"/>
    <w:lvl w:ilvl="0">
      <w:lvlJc w:val="left"/>
      <w:lvlText w:val="%1."/>
      <w:numFmt w:val="decimal"/>
      <w:start w:val="8"/>
    </w:lvl>
  </w:abstractNum>
  <w:abstractNum w:abstractNumId="169">
    <w:nsid w:val="72E3413A"/>
    <w:multiLevelType w:val="hybridMultilevel"/>
    <w:lvl w:ilvl="0">
      <w:lvlJc w:val="left"/>
      <w:lvlText w:val="(%1)"/>
      <w:numFmt w:val="lowerLetter"/>
      <w:start w:val="1"/>
    </w:lvl>
  </w:abstractNum>
  <w:abstractNum w:abstractNumId="170">
    <w:nsid w:val="116AE494"/>
    <w:multiLevelType w:val="hybridMultilevel"/>
    <w:lvl w:ilvl="0">
      <w:lvlJc w:val="left"/>
      <w:lvlText w:val="(%1)"/>
      <w:numFmt w:val="lowerLetter"/>
      <w:start w:val="4"/>
    </w:lvl>
  </w:abstractNum>
  <w:abstractNum w:abstractNumId="171">
    <w:nsid w:val="3494B2FB"/>
    <w:multiLevelType w:val="hybridMultilevel"/>
    <w:lvl w:ilvl="0">
      <w:lvlJc w:val="left"/>
      <w:lvlText w:val="(%1)"/>
      <w:numFmt w:val="lowerLetter"/>
      <w:start w:val="5"/>
    </w:lvl>
  </w:abstractNum>
  <w:abstractNum w:abstractNumId="172">
    <w:nsid w:val="B13A31"/>
    <w:multiLevelType w:val="hybridMultilevel"/>
    <w:lvl w:ilvl="0">
      <w:lvlJc w:val="left"/>
      <w:lvlText w:val="(%1)"/>
      <w:numFmt w:val="lowerLetter"/>
      <w:start w:val="7"/>
    </w:lvl>
  </w:abstractNum>
  <w:abstractNum w:abstractNumId="173">
    <w:nsid w:val="64429599"/>
    <w:multiLevelType w:val="hybridMultilevel"/>
    <w:lvl w:ilvl="0">
      <w:lvlJc w:val="left"/>
      <w:lvlText w:val="%1."/>
      <w:numFmt w:val="decimal"/>
      <w:start w:val="9"/>
    </w:lvl>
  </w:abstractNum>
  <w:abstractNum w:abstractNumId="174">
    <w:nsid w:val="631F1690"/>
    <w:multiLevelType w:val="hybridMultilevel"/>
    <w:lvl w:ilvl="0">
      <w:lvlJc w:val="left"/>
      <w:lvlText w:val="(%1)"/>
      <w:numFmt w:val="lowerLetter"/>
      <w:start w:val="1"/>
    </w:lvl>
  </w:abstractNum>
  <w:abstractNum w:abstractNumId="175">
    <w:nsid w:val="25973E32"/>
    <w:multiLevelType w:val="hybridMultilevel"/>
    <w:lvl w:ilvl="0">
      <w:lvlJc w:val="left"/>
      <w:lvlText w:val="%1."/>
      <w:numFmt w:val="decimal"/>
      <w:start w:val="10"/>
    </w:lvl>
  </w:abstractNum>
  <w:abstractNum w:abstractNumId="176">
    <w:nsid w:val="EAD6F57"/>
    <w:multiLevelType w:val="hybridMultilevel"/>
    <w:lvl w:ilvl="0">
      <w:lvlJc w:val="left"/>
      <w:lvlText w:val="%1."/>
      <w:numFmt w:val="decimal"/>
      <w:start w:val="11"/>
    </w:lvl>
  </w:abstractNum>
  <w:abstractNum w:abstractNumId="177">
    <w:nsid w:val="6EC9D844"/>
    <w:multiLevelType w:val="hybridMultilevel"/>
    <w:lvl w:ilvl="0">
      <w:lvlJc w:val="left"/>
      <w:lvlText w:val="%1."/>
      <w:numFmt w:val="decimal"/>
      <w:start w:val="12"/>
    </w:lvl>
  </w:abstractNum>
  <w:abstractNum w:abstractNumId="178">
    <w:nsid w:val="5C49EAEE"/>
    <w:multiLevelType w:val="hybridMultilevel"/>
    <w:lvl w:ilvl="0">
      <w:lvlJc w:val="left"/>
      <w:lvlText w:val="%1."/>
      <w:numFmt w:val="decimal"/>
      <w:start w:val="13"/>
    </w:lvl>
  </w:abstractNum>
  <w:abstractNum w:abstractNumId="179">
    <w:nsid w:val="64AF49B"/>
    <w:multiLevelType w:val="hybridMultilevel"/>
    <w:lvl w:ilvl="0">
      <w:lvlJc w:val="left"/>
      <w:lvlText w:val="%1."/>
      <w:numFmt w:val="decimal"/>
      <w:start w:val="14"/>
    </w:lvl>
  </w:abstractNum>
  <w:abstractNum w:abstractNumId="180">
    <w:nsid w:val="397C46BC"/>
    <w:multiLevelType w:val="hybridMultilevel"/>
    <w:lvl w:ilvl="0">
      <w:lvlJc w:val="left"/>
      <w:lvlText w:val="%1."/>
      <w:numFmt w:val="decimal"/>
      <w:start w:val="15"/>
    </w:lvl>
  </w:abstractNum>
  <w:abstractNum w:abstractNumId="181">
    <w:nsid w:val="7E448DE9"/>
    <w:multiLevelType w:val="hybridMultilevel"/>
    <w:lvl w:ilvl="0">
      <w:lvlJc w:val="left"/>
      <w:lvlText w:val="%1."/>
      <w:numFmt w:val="decimal"/>
      <w:start w:val="16"/>
    </w:lvl>
  </w:abstractNum>
  <w:abstractNum w:abstractNumId="182">
    <w:nsid w:val="5A9CC3E5"/>
    <w:multiLevelType w:val="hybridMultilevel"/>
    <w:lvl w:ilvl="0">
      <w:lvlJc w:val="left"/>
      <w:lvlText w:val="%1."/>
      <w:numFmt w:val="decimal"/>
      <w:start w:val="17"/>
    </w:lvl>
  </w:abstractNum>
  <w:abstractNum w:abstractNumId="183">
    <w:nsid w:val="1AFE3625"/>
    <w:multiLevelType w:val="hybridMultilevel"/>
    <w:lvl w:ilvl="0">
      <w:lvlJc w:val="left"/>
      <w:lvlText w:val="%1."/>
      <w:numFmt w:val="decimal"/>
      <w:start w:val="18"/>
    </w:lvl>
  </w:abstractNum>
  <w:abstractNum w:abstractNumId="184">
    <w:nsid w:val="3CA88ECF"/>
    <w:multiLevelType w:val="hybridMultilevel"/>
    <w:lvl w:ilvl="0">
      <w:lvlJc w:val="left"/>
      <w:lvlText w:val="%1."/>
      <w:numFmt w:val="decimal"/>
      <w:start w:val="19"/>
    </w:lvl>
  </w:abstractNum>
  <w:abstractNum w:abstractNumId="185">
    <w:nsid w:val="6EBE4208"/>
    <w:multiLevelType w:val="hybridMultilevel"/>
    <w:lvl w:ilvl="0">
      <w:lvlJc w:val="left"/>
      <w:lvlText w:val="(%1)"/>
      <w:numFmt w:val="lowerLetter"/>
      <w:start w:val="1"/>
    </w:lvl>
  </w:abstractNum>
  <w:abstractNum w:abstractNumId="186">
    <w:nsid w:val="C058DF5"/>
    <w:multiLevelType w:val="hybridMultilevel"/>
    <w:lvl w:ilvl="0">
      <w:lvlJc w:val="left"/>
      <w:lvlText w:val="%1."/>
      <w:numFmt w:val="decimal"/>
      <w:start w:val="1"/>
    </w:lvl>
  </w:abstractNum>
  <w:abstractNum w:abstractNumId="187">
    <w:nsid w:val="CBE5BE9"/>
    <w:multiLevelType w:val="hybridMultilevel"/>
    <w:lvl w:ilvl="0">
      <w:lvlJc w:val="left"/>
      <w:lvlText w:val="%1)"/>
      <w:numFmt w:val="decimal"/>
      <w:start w:val="7"/>
    </w:lvl>
  </w:abstractNum>
  <w:abstractNum w:abstractNumId="188">
    <w:nsid w:val="3102BBE2"/>
    <w:multiLevelType w:val="hybridMultilevel"/>
    <w:lvl w:ilvl="0">
      <w:lvlJc w:val="left"/>
      <w:lvlText w:val="%1."/>
      <w:numFmt w:val="decimal"/>
      <w:start w:val="2"/>
    </w:lvl>
  </w:abstractNum>
  <w:abstractNum w:abstractNumId="189">
    <w:nsid w:val="26A02C5E"/>
    <w:multiLevelType w:val="hybridMultilevel"/>
    <w:lvl w:ilvl="0">
      <w:lvlJc w:val="left"/>
      <w:lvlText w:val="%1."/>
      <w:numFmt w:val="decimal"/>
      <w:start w:val="3"/>
    </w:lvl>
  </w:abstractNum>
  <w:abstractNum w:abstractNumId="190">
    <w:nsid w:val="541C8153"/>
    <w:multiLevelType w:val="hybridMultilevel"/>
    <w:lvl w:ilvl="0">
      <w:lvlJc w:val="left"/>
      <w:lvlText w:val="%1."/>
      <w:numFmt w:val="decimal"/>
      <w:start w:val="4"/>
    </w:lvl>
  </w:abstractNum>
  <w:abstractNum w:abstractNumId="191">
    <w:nsid w:val="67906F60"/>
    <w:multiLevelType w:val="hybridMultilevel"/>
    <w:lvl w:ilvl="0">
      <w:lvlJc w:val="left"/>
      <w:lvlText w:val="(%1)"/>
      <w:numFmt w:val="lowerRoman"/>
      <w:start w:val="1"/>
    </w:lvl>
  </w:abstractNum>
  <w:abstractNum w:abstractNumId="192">
    <w:nsid w:val="10DB9DAA"/>
    <w:multiLevelType w:val="hybridMultilevel"/>
    <w:lvl w:ilvl="0">
      <w:lvlJc w:val="left"/>
      <w:lvlText w:val="(%1)"/>
      <w:numFmt w:val="lowerRoman"/>
      <w:start w:val="3"/>
    </w:lvl>
  </w:abstractNum>
  <w:abstractNum w:abstractNumId="193">
    <w:nsid w:val="697D2D2"/>
    <w:multiLevelType w:val="hybridMultilevel"/>
    <w:lvl w:ilvl="0">
      <w:lvlJc w:val="left"/>
      <w:lvlText w:val="(%1)"/>
      <w:numFmt w:val="lowerRoman"/>
      <w:start w:val="1"/>
    </w:lvl>
  </w:abstractNum>
  <w:abstractNum w:abstractNumId="194">
    <w:nsid w:val="6D68AB2"/>
    <w:multiLevelType w:val="hybridMultilevel"/>
    <w:lvl w:ilvl="0">
      <w:lvlJc w:val="left"/>
      <w:lvlText w:val="(%1)"/>
      <w:numFmt w:val="lowerRoman"/>
      <w:start w:val="4"/>
    </w:lvl>
  </w:abstractNum>
  <w:abstractNum w:abstractNumId="195">
    <w:nsid w:val="3A966CD0"/>
    <w:multiLevelType w:val="hybridMultilevel"/>
    <w:lvl w:ilvl="0">
      <w:lvlJc w:val="left"/>
      <w:lvlText w:val="-"/>
      <w:numFmt w:val="bullet"/>
      <w:start w:val="1"/>
    </w:lvl>
  </w:abstractNum>
  <w:abstractNum w:abstractNumId="196">
    <w:nsid w:val="63F37E85"/>
    <w:multiLevelType w:val="hybridMultilevel"/>
    <w:lvl w:ilvl="0">
      <w:lvlJc w:val="left"/>
      <w:lvlText w:val="%1."/>
      <w:numFmt w:val="decimal"/>
      <w:start w:val="1"/>
    </w:lvl>
    <w:lvl w:ilvl="1">
      <w:lvlJc w:val="left"/>
      <w:lvlText w:val="%2."/>
      <w:numFmt w:val="lowerLetter"/>
      <w:start w:val="1"/>
    </w:lvl>
  </w:abstractNum>
  <w:abstractNum w:abstractNumId="197">
    <w:nsid w:val="5895F5FA"/>
    <w:multiLevelType w:val="hybridMultilevel"/>
    <w:lvl w:ilvl="0">
      <w:lvlJc w:val="left"/>
      <w:lvlText w:val="%1."/>
      <w:numFmt w:val="decimal"/>
      <w:start w:val="1"/>
    </w:lvl>
    <w:lvl w:ilvl="1">
      <w:lvlJc w:val="left"/>
      <w:lvlText w:val="%2."/>
      <w:numFmt w:val="lowerLetter"/>
      <w:start w:val="1"/>
    </w:lvl>
  </w:abstractNum>
  <w:abstractNum w:abstractNumId="198">
    <w:nsid w:val="38A5D054"/>
    <w:multiLevelType w:val="hybridMultilevel"/>
    <w:lvl w:ilvl="0">
      <w:lvlJc w:val="left"/>
      <w:lvlText w:val="%1."/>
      <w:numFmt w:val="decimal"/>
      <w:start w:val="2"/>
    </w:lvl>
    <w:lvl w:ilvl="1">
      <w:lvlJc w:val="left"/>
      <w:lvlText w:val="%2."/>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2019-12-20T04:04:45Z</dcterms:created>
  <dcterms:modified xsi:type="dcterms:W3CDTF">2019-12-20T04:04:45Z</dcterms:modified>
</cp:coreProperties>
</file>