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178" w:lineRule="exact"/>
        <w:rPr>
          <w:sz w:val="24"/>
          <w:szCs w:val="24"/>
          <w:color w:val="auto"/>
        </w:rPr>
      </w:pPr>
    </w:p>
    <w:p>
      <w:pPr>
        <w:ind w:left="4860" w:right="3019" w:hanging="4597"/>
        <w:spacing w:after="0" w:line="262" w:lineRule="auto"/>
        <w:rPr>
          <w:sz w:val="20"/>
          <w:szCs w:val="20"/>
          <w:color w:val="auto"/>
        </w:rPr>
      </w:pPr>
      <w:r>
        <w:rPr>
          <w:rFonts w:ascii="Courier New" w:cs="Courier New" w:eastAsia="Courier New" w:hAnsi="Courier New"/>
          <w:sz w:val="14"/>
          <w:szCs w:val="14"/>
          <w:color w:val="auto"/>
        </w:rPr>
        <w:t>As filed with the Securities and Exchange Commission on January 14, 1997 Registration No. 333-17453</w:t>
      </w:r>
    </w:p>
    <w:p>
      <w:pPr>
        <w:jc w:val="center"/>
        <w:ind w:right="301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206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ind w:left="2520"/>
        <w:spacing w:after="0"/>
        <w:tabs>
          <w:tab w:leader="none" w:pos="4120" w:val="left"/>
        </w:tabs>
        <w:rPr>
          <w:sz w:val="20"/>
          <w:szCs w:val="20"/>
          <w:color w:val="auto"/>
        </w:rPr>
      </w:pPr>
      <w:r>
        <w:rPr>
          <w:rFonts w:ascii="Courier New" w:cs="Courier New" w:eastAsia="Courier New" w:hAnsi="Courier New"/>
          <w:sz w:val="15"/>
          <w:szCs w:val="15"/>
          <w:color w:val="auto"/>
        </w:rPr>
        <w:t>WASHINGTON, D.C.</w:t>
        <w:tab/>
        <w:t>20549</w:t>
      </w:r>
    </w:p>
    <w:p>
      <w:pPr>
        <w:spacing w:after="0" w:line="3" w:lineRule="exact"/>
        <w:rPr>
          <w:sz w:val="24"/>
          <w:szCs w:val="24"/>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4"/>
          <w:szCs w:val="24"/>
          <w:color w:val="auto"/>
        </w:rPr>
      </w:pPr>
    </w:p>
    <w:p>
      <w:pPr>
        <w:ind w:left="2880"/>
        <w:spacing w:after="0"/>
        <w:rPr>
          <w:sz w:val="20"/>
          <w:szCs w:val="20"/>
          <w:color w:val="auto"/>
        </w:rPr>
      </w:pPr>
      <w:r>
        <w:rPr>
          <w:rFonts w:ascii="Courier New" w:cs="Courier New" w:eastAsia="Courier New" w:hAnsi="Courier New"/>
          <w:sz w:val="15"/>
          <w:szCs w:val="15"/>
          <w:color w:val="auto"/>
        </w:rPr>
        <w:t>Amendment No. 1</w:t>
      </w:r>
    </w:p>
    <w:p>
      <w:pPr>
        <w:spacing w:after="0" w:line="177" w:lineRule="exact"/>
        <w:rPr>
          <w:sz w:val="24"/>
          <w:szCs w:val="24"/>
          <w:color w:val="auto"/>
        </w:rPr>
      </w:pPr>
    </w:p>
    <w:p>
      <w:pPr>
        <w:ind w:left="3500"/>
        <w:spacing w:after="0"/>
        <w:rPr>
          <w:sz w:val="20"/>
          <w:szCs w:val="20"/>
          <w:color w:val="auto"/>
        </w:rPr>
      </w:pPr>
      <w:r>
        <w:rPr>
          <w:rFonts w:ascii="Courier New" w:cs="Courier New" w:eastAsia="Courier New" w:hAnsi="Courier New"/>
          <w:sz w:val="15"/>
          <w:szCs w:val="15"/>
          <w:color w:val="auto"/>
        </w:rPr>
        <w:t>to</w:t>
      </w:r>
    </w:p>
    <w:p>
      <w:pPr>
        <w:spacing w:after="0" w:line="3" w:lineRule="exact"/>
        <w:rPr>
          <w:sz w:val="24"/>
          <w:szCs w:val="24"/>
          <w:color w:val="auto"/>
        </w:rPr>
      </w:pPr>
    </w:p>
    <w:p>
      <w:pPr>
        <w:ind w:left="3240"/>
        <w:spacing w:after="0"/>
        <w:rPr>
          <w:sz w:val="20"/>
          <w:szCs w:val="20"/>
          <w:color w:val="auto"/>
        </w:rPr>
      </w:pPr>
      <w:r>
        <w:rPr>
          <w:rFonts w:ascii="Courier New" w:cs="Courier New" w:eastAsia="Courier New" w:hAnsi="Courier New"/>
          <w:sz w:val="15"/>
          <w:szCs w:val="15"/>
          <w:color w:val="auto"/>
        </w:rPr>
        <w:t>FORM S-3</w:t>
      </w:r>
    </w:p>
    <w:p>
      <w:pPr>
        <w:spacing w:after="0" w:line="3" w:lineRule="exact"/>
        <w:rPr>
          <w:sz w:val="24"/>
          <w:szCs w:val="24"/>
          <w:color w:val="auto"/>
        </w:rPr>
      </w:pPr>
    </w:p>
    <w:p>
      <w:pPr>
        <w:ind w:left="2600"/>
        <w:spacing w:after="0"/>
        <w:rPr>
          <w:sz w:val="20"/>
          <w:szCs w:val="20"/>
          <w:color w:val="auto"/>
        </w:rPr>
      </w:pPr>
      <w:r>
        <w:rPr>
          <w:rFonts w:ascii="Courier New" w:cs="Courier New" w:eastAsia="Courier New" w:hAnsi="Courier New"/>
          <w:sz w:val="15"/>
          <w:szCs w:val="15"/>
          <w:color w:val="auto"/>
        </w:rPr>
        <w:t>REGISTRATION STATEMENT</w:t>
      </w:r>
    </w:p>
    <w:p>
      <w:pPr>
        <w:spacing w:after="0" w:line="3" w:lineRule="exact"/>
        <w:rPr>
          <w:sz w:val="24"/>
          <w:szCs w:val="24"/>
          <w:color w:val="auto"/>
        </w:rPr>
      </w:pPr>
    </w:p>
    <w:p>
      <w:pPr>
        <w:ind w:left="3320"/>
        <w:spacing w:after="0"/>
        <w:rPr>
          <w:sz w:val="20"/>
          <w:szCs w:val="20"/>
          <w:color w:val="auto"/>
        </w:rPr>
      </w:pPr>
      <w:r>
        <w:rPr>
          <w:rFonts w:ascii="Courier New" w:cs="Courier New" w:eastAsia="Courier New" w:hAnsi="Courier New"/>
          <w:sz w:val="15"/>
          <w:szCs w:val="15"/>
          <w:color w:val="auto"/>
        </w:rPr>
        <w:t>UNDER</w:t>
      </w:r>
    </w:p>
    <w:p>
      <w:pPr>
        <w:spacing w:after="0" w:line="3" w:lineRule="exact"/>
        <w:rPr>
          <w:sz w:val="24"/>
          <w:szCs w:val="24"/>
          <w:color w:val="auto"/>
        </w:rPr>
      </w:pPr>
    </w:p>
    <w:p>
      <w:pPr>
        <w:ind w:left="2420"/>
        <w:spacing w:after="0"/>
        <w:rPr>
          <w:sz w:val="20"/>
          <w:szCs w:val="20"/>
          <w:color w:val="auto"/>
        </w:rPr>
      </w:pPr>
      <w:r>
        <w:rPr>
          <w:rFonts w:ascii="Courier New" w:cs="Courier New" w:eastAsia="Courier New" w:hAnsi="Courier New"/>
          <w:sz w:val="15"/>
          <w:szCs w:val="15"/>
          <w:color w:val="auto"/>
        </w:rPr>
        <w:t>THE SECURITIES ACT OF 1933</w:t>
      </w:r>
    </w:p>
    <w:p>
      <w:pPr>
        <w:spacing w:after="0" w:line="3" w:lineRule="exact"/>
        <w:rPr>
          <w:sz w:val="24"/>
          <w:szCs w:val="24"/>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33" w:right="1440" w:bottom="1134" w:gutter="0" w:footer="0" w:header="0"/>
        </w:sectPr>
      </w:pPr>
    </w:p>
    <w:p>
      <w:pPr>
        <w:spacing w:after="0" w:line="177"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(State or other jurisdiction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73-1309529</w:t>
      </w:r>
    </w:p>
    <w:p>
      <w:pPr>
        <w:spacing w:after="0" w:line="3"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77" w:lineRule="exact"/>
        <w:rPr>
          <w:sz w:val="24"/>
          <w:szCs w:val="24"/>
          <w:color w:val="auto"/>
        </w:rPr>
      </w:pPr>
    </w:p>
    <w:p>
      <w:pPr>
        <w:sectPr>
          <w:pgSz w:w="11900" w:h="16838" w:orient="portrait"/>
          <w:cols w:equalWidth="0" w:num="2">
            <w:col w:w="4500" w:space="720"/>
            <w:col w:w="4999"/>
          </w:cols>
          <w:pgMar w:left="240" w:top="233" w:right="1440" w:bottom="1134" w:gutter="0" w:footer="0" w:header="0"/>
          <w:type w:val="continuous"/>
        </w:sectPr>
      </w:pPr>
    </w:p>
    <w:p>
      <w:pPr>
        <w:ind w:left="2780"/>
        <w:spacing w:after="0"/>
        <w:rPr>
          <w:sz w:val="20"/>
          <w:szCs w:val="20"/>
          <w:color w:val="auto"/>
        </w:rPr>
      </w:pPr>
      <w:r>
        <w:rPr>
          <w:rFonts w:ascii="Courier New" w:cs="Courier New" w:eastAsia="Courier New" w:hAnsi="Courier New"/>
          <w:sz w:val="15"/>
          <w:szCs w:val="15"/>
          <w:color w:val="auto"/>
        </w:rPr>
        <w:t>1001 FANNIN STREET</w:t>
      </w:r>
    </w:p>
    <w:p>
      <w:pPr>
        <w:spacing w:after="0" w:line="3" w:lineRule="exact"/>
        <w:rPr>
          <w:sz w:val="24"/>
          <w:szCs w:val="24"/>
          <w:color w:val="auto"/>
        </w:rPr>
      </w:pPr>
    </w:p>
    <w:p>
      <w:pPr>
        <w:ind w:left="3140"/>
        <w:spacing w:after="0"/>
        <w:rPr>
          <w:sz w:val="20"/>
          <w:szCs w:val="20"/>
          <w:color w:val="auto"/>
        </w:rPr>
      </w:pPr>
      <w:r>
        <w:rPr>
          <w:rFonts w:ascii="Courier New" w:cs="Courier New" w:eastAsia="Courier New" w:hAnsi="Courier New"/>
          <w:sz w:val="15"/>
          <w:szCs w:val="15"/>
          <w:color w:val="auto"/>
        </w:rPr>
        <w:t>SUITE 4000</w:t>
      </w:r>
    </w:p>
    <w:p>
      <w:pPr>
        <w:spacing w:after="0" w:line="3" w:lineRule="exact"/>
        <w:rPr>
          <w:sz w:val="24"/>
          <w:szCs w:val="24"/>
          <w:color w:val="auto"/>
        </w:rPr>
      </w:pPr>
    </w:p>
    <w:p>
      <w:pPr>
        <w:ind w:left="2600"/>
        <w:spacing w:after="0"/>
        <w:tabs>
          <w:tab w:leader="none" w:pos="4020" w:val="left"/>
        </w:tabs>
        <w:rPr>
          <w:sz w:val="20"/>
          <w:szCs w:val="20"/>
          <w:color w:val="auto"/>
        </w:rPr>
      </w:pPr>
      <w:r>
        <w:rPr>
          <w:rFonts w:ascii="Courier New" w:cs="Courier New" w:eastAsia="Courier New" w:hAnsi="Courier New"/>
          <w:sz w:val="15"/>
          <w:szCs w:val="15"/>
          <w:color w:val="auto"/>
        </w:rPr>
        <w:t>HOUSTON, TEXAS</w:t>
        <w:tab/>
        <w:t>77002</w:t>
      </w:r>
    </w:p>
    <w:p>
      <w:pPr>
        <w:sectPr>
          <w:pgSz w:w="11900" w:h="16838" w:orient="portrait"/>
          <w:cols w:equalWidth="0" w:num="1">
            <w:col w:w="10219"/>
          </w:cols>
          <w:pgMar w:left="240" w:top="233" w:right="1440" w:bottom="1134" w:gutter="0" w:footer="0" w:header="0"/>
          <w:type w:val="continuous"/>
        </w:sectPr>
      </w:pP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(713) 512-6200</w:t>
      </w:r>
    </w:p>
    <w:p>
      <w:pPr>
        <w:spacing w:after="0" w:line="3"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(Address, including zip code, and telephone number,</w:t>
      </w:r>
    </w:p>
    <w:p>
      <w:pPr>
        <w:spacing w:after="0" w:line="3"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including area code, of Registrant's principal executive offices)</w:t>
      </w:r>
    </w:p>
    <w:p>
      <w:pPr>
        <w:spacing w:after="0" w:line="177"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GREGORY T. SANGALIS</w:t>
      </w:r>
    </w:p>
    <w:p>
      <w:pPr>
        <w:spacing w:after="0" w:line="3"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VICE PRESIDENT, GENERAL COUNSEL AND SECRETARY</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1001 FANNIN STREET</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SUITE 4000</w:t>
      </w:r>
    </w:p>
    <w:p>
      <w:pPr>
        <w:spacing w:after="0" w:line="3" w:lineRule="exact"/>
        <w:rPr>
          <w:sz w:val="24"/>
          <w:szCs w:val="24"/>
          <w:color w:val="auto"/>
        </w:rPr>
      </w:pPr>
    </w:p>
    <w:p>
      <w:pPr>
        <w:ind w:left="2600"/>
        <w:spacing w:after="0"/>
        <w:tabs>
          <w:tab w:leader="none" w:pos="4020" w:val="left"/>
        </w:tabs>
        <w:rPr>
          <w:sz w:val="20"/>
          <w:szCs w:val="20"/>
          <w:color w:val="auto"/>
        </w:rPr>
      </w:pPr>
      <w:r>
        <w:rPr>
          <w:rFonts w:ascii="Courier New" w:cs="Courier New" w:eastAsia="Courier New" w:hAnsi="Courier New"/>
          <w:sz w:val="15"/>
          <w:szCs w:val="15"/>
          <w:color w:val="auto"/>
        </w:rPr>
        <w:t>HOUSTON, TEXAS</w:t>
        <w:tab/>
        <w:t>77002</w:t>
      </w:r>
    </w:p>
    <w:p>
      <w:pPr>
        <w:spacing w:after="0" w:line="3" w:lineRule="exact"/>
        <w:rPr>
          <w:sz w:val="24"/>
          <w:szCs w:val="24"/>
          <w:color w:val="auto"/>
        </w:rPr>
      </w:pPr>
    </w:p>
    <w:p>
      <w:pPr>
        <w:ind w:left="2960"/>
        <w:spacing w:after="0"/>
        <w:rPr>
          <w:sz w:val="20"/>
          <w:szCs w:val="20"/>
          <w:color w:val="auto"/>
        </w:rPr>
      </w:pPr>
      <w:r>
        <w:rPr>
          <w:rFonts w:ascii="Courier New" w:cs="Courier New" w:eastAsia="Courier New" w:hAnsi="Courier New"/>
          <w:sz w:val="15"/>
          <w:szCs w:val="15"/>
          <w:color w:val="auto"/>
        </w:rPr>
        <w:t>(713) 512-4200</w:t>
      </w:r>
    </w:p>
    <w:p>
      <w:pPr>
        <w:spacing w:after="0" w:line="178" w:lineRule="exact"/>
        <w:rPr>
          <w:sz w:val="24"/>
          <w:szCs w:val="24"/>
          <w:color w:val="auto"/>
        </w:rPr>
      </w:pPr>
    </w:p>
    <w:p>
      <w:pPr>
        <w:ind w:left="1700" w:right="4099" w:hanging="720"/>
        <w:spacing w:after="0" w:line="243" w:lineRule="auto"/>
        <w:rPr>
          <w:sz w:val="20"/>
          <w:szCs w:val="20"/>
          <w:color w:val="auto"/>
        </w:rPr>
      </w:pPr>
      <w:r>
        <w:rPr>
          <w:rFonts w:ascii="Courier New" w:cs="Courier New" w:eastAsia="Courier New" w:hAnsi="Courier New"/>
          <w:sz w:val="15"/>
          <w:szCs w:val="15"/>
          <w:color w:val="auto"/>
        </w:rPr>
        <w:t>(Name, address, including zip code, and telephone number, including area code, of agent for service)</w:t>
      </w:r>
    </w:p>
    <w:p>
      <w:pPr>
        <w:spacing w:after="0" w:line="175"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Copy to:</w:t>
      </w:r>
    </w:p>
    <w:p>
      <w:pPr>
        <w:spacing w:after="0" w:line="177" w:lineRule="exact"/>
        <w:rPr>
          <w:sz w:val="24"/>
          <w:szCs w:val="24"/>
          <w:color w:val="auto"/>
        </w:rPr>
      </w:pPr>
    </w:p>
    <w:p>
      <w:pPr>
        <w:ind w:left="2600"/>
        <w:spacing w:after="0"/>
        <w:rPr>
          <w:sz w:val="20"/>
          <w:szCs w:val="20"/>
          <w:color w:val="auto"/>
        </w:rPr>
      </w:pPr>
      <w:r>
        <w:rPr>
          <w:rFonts w:ascii="Courier New" w:cs="Courier New" w:eastAsia="Courier New" w:hAnsi="Courier New"/>
          <w:sz w:val="15"/>
          <w:szCs w:val="15"/>
          <w:color w:val="auto"/>
        </w:rPr>
        <w:t>ROBERT H. WHILDEN, JR.</w:t>
      </w:r>
    </w:p>
    <w:p>
      <w:pPr>
        <w:spacing w:after="0" w:line="3" w:lineRule="exact"/>
        <w:rPr>
          <w:sz w:val="24"/>
          <w:szCs w:val="24"/>
          <w:color w:val="auto"/>
        </w:rPr>
      </w:pPr>
    </w:p>
    <w:p>
      <w:pPr>
        <w:ind w:left="2600"/>
        <w:spacing w:after="0"/>
        <w:rPr>
          <w:sz w:val="20"/>
          <w:szCs w:val="20"/>
          <w:color w:val="auto"/>
        </w:rPr>
      </w:pPr>
      <w:r>
        <w:rPr>
          <w:rFonts w:ascii="Courier New" w:cs="Courier New" w:eastAsia="Courier New" w:hAnsi="Courier New"/>
          <w:sz w:val="15"/>
          <w:szCs w:val="15"/>
          <w:color w:val="auto"/>
        </w:rPr>
        <w:t>VINSON &amp; ELKINS L.L.P.</w:t>
      </w:r>
    </w:p>
    <w:p>
      <w:pPr>
        <w:spacing w:after="0" w:line="177" w:lineRule="exact"/>
        <w:rPr>
          <w:sz w:val="24"/>
          <w:szCs w:val="24"/>
          <w:color w:val="auto"/>
        </w:rPr>
      </w:pPr>
    </w:p>
    <w:p>
      <w:pPr>
        <w:ind w:left="2600"/>
        <w:spacing w:after="0"/>
        <w:rPr>
          <w:sz w:val="20"/>
          <w:szCs w:val="20"/>
          <w:color w:val="auto"/>
        </w:rPr>
      </w:pPr>
      <w:r>
        <w:rPr>
          <w:rFonts w:ascii="Courier New" w:cs="Courier New" w:eastAsia="Courier New" w:hAnsi="Courier New"/>
          <w:sz w:val="15"/>
          <w:szCs w:val="15"/>
          <w:color w:val="auto"/>
        </w:rPr>
        <w:t>2300 FIRST CITY TOWER</w:t>
      </w:r>
    </w:p>
    <w:p>
      <w:pPr>
        <w:spacing w:after="0" w:line="177" w:lineRule="exact"/>
        <w:rPr>
          <w:sz w:val="24"/>
          <w:szCs w:val="24"/>
          <w:color w:val="auto"/>
        </w:rPr>
      </w:pPr>
    </w:p>
    <w:p>
      <w:pPr>
        <w:ind w:left="2420"/>
        <w:spacing w:after="0"/>
        <w:tabs>
          <w:tab w:leader="none" w:pos="3840" w:val="left"/>
        </w:tabs>
        <w:rPr>
          <w:sz w:val="20"/>
          <w:szCs w:val="20"/>
          <w:color w:val="auto"/>
        </w:rPr>
      </w:pPr>
      <w:r>
        <w:rPr>
          <w:rFonts w:ascii="Courier New" w:cs="Courier New" w:eastAsia="Courier New" w:hAnsi="Courier New"/>
          <w:sz w:val="15"/>
          <w:szCs w:val="15"/>
          <w:color w:val="auto"/>
        </w:rPr>
        <w:t>HOUSTON, TEXAS</w:t>
        <w:tab/>
        <w:t>77002-6760</w:t>
      </w:r>
    </w:p>
    <w:p>
      <w:pPr>
        <w:spacing w:after="0" w:line="3" w:lineRule="exact"/>
        <w:rPr>
          <w:sz w:val="24"/>
          <w:szCs w:val="24"/>
          <w:color w:val="auto"/>
        </w:rPr>
      </w:pPr>
    </w:p>
    <w:p>
      <w:pPr>
        <w:ind w:left="3500" w:hanging="532"/>
        <w:spacing w:after="0"/>
        <w:tabs>
          <w:tab w:leader="none" w:pos="35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758-2320</w:t>
      </w:r>
    </w:p>
    <w:p>
      <w:pPr>
        <w:spacing w:after="0" w:line="3" w:lineRule="exact"/>
        <w:rPr>
          <w:rFonts w:ascii="Courier New" w:cs="Courier New" w:eastAsia="Courier New" w:hAnsi="Courier New"/>
          <w:sz w:val="15"/>
          <w:szCs w:val="15"/>
          <w:color w:val="auto"/>
        </w:rPr>
      </w:pPr>
    </w:p>
    <w:p>
      <w:pPr>
        <w:ind w:left="2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right="3099" w:firstLine="361"/>
        <w:spacing w:after="0" w:line="243" w:lineRule="auto"/>
        <w:rPr>
          <w:sz w:val="20"/>
          <w:szCs w:val="20"/>
          <w:color w:val="auto"/>
        </w:rPr>
      </w:pPr>
      <w:r>
        <w:rPr>
          <w:rFonts w:ascii="Courier New" w:cs="Courier New" w:eastAsia="Courier New" w:hAnsi="Courier New"/>
          <w:sz w:val="15"/>
          <w:szCs w:val="15"/>
          <w:color w:val="auto"/>
        </w:rPr>
        <w:t>APPROXIMATE DATE OF COMMENCEMENT OF PROPOSED SALE TO THE PUBLIC: From time to time after this Registration Statement becomes effective.</w:t>
      </w:r>
    </w:p>
    <w:p>
      <w:pPr>
        <w:spacing w:after="0" w:line="3" w:lineRule="exact"/>
        <w:rPr>
          <w:sz w:val="24"/>
          <w:szCs w:val="24"/>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2" w:lineRule="exact"/>
        <w:rPr>
          <w:sz w:val="24"/>
          <w:szCs w:val="24"/>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If any of the securities being registered on this Form are being offered on a delayed or continuous basis pursuant to Rule 415 under the Securities Act of 1933, other than securities offered only in connection with dividend or interest reinvestment plans, please check the following box. [x]</w:t>
      </w:r>
    </w:p>
    <w:p>
      <w:pPr>
        <w:spacing w:after="0" w:line="3" w:lineRule="exact"/>
        <w:rPr>
          <w:sz w:val="24"/>
          <w:szCs w:val="24"/>
          <w:color w:val="auto"/>
        </w:rPr>
      </w:pPr>
    </w:p>
    <w:p>
      <w:pPr>
        <w:ind w:right="3379" w:firstLine="361"/>
        <w:spacing w:after="0" w:line="244"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3" w:lineRule="exact"/>
        <w:rPr>
          <w:sz w:val="24"/>
          <w:szCs w:val="24"/>
          <w:color w:val="auto"/>
        </w:rPr>
      </w:pPr>
    </w:p>
    <w:p>
      <w:pPr>
        <w:ind w:right="3379" w:firstLine="361"/>
        <w:spacing w:after="0" w:line="244"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please check the following box and list the Securities Act registration statement number of the earlier effective registration statement for the same offering. [ ]</w:t>
      </w:r>
    </w:p>
    <w:p>
      <w:pPr>
        <w:spacing w:after="0" w:line="3" w:lineRule="exact"/>
        <w:rPr>
          <w:sz w:val="24"/>
          <w:szCs w:val="24"/>
          <w:color w:val="auto"/>
        </w:rPr>
      </w:pPr>
    </w:p>
    <w:p>
      <w:pPr>
        <w:ind w:right="3199" w:firstLine="361"/>
        <w:spacing w:after="0" w:line="243"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76" w:lineRule="exact"/>
        <w:rPr>
          <w:sz w:val="24"/>
          <w:szCs w:val="24"/>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 ================================================================================</w:t>
      </w:r>
    </w:p>
    <w:p>
      <w:pPr>
        <w:sectPr>
          <w:pgSz w:w="11900" w:h="16838" w:orient="portrait"/>
          <w:cols w:equalWidth="0" w:num="1">
            <w:col w:w="10219"/>
          </w:cols>
          <w:pgMar w:left="240" w:top="233" w:right="1440" w:bottom="1134"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50"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SUBJECT TO COMPLETION, DATED JANUARY 14, 1997</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DEBT SECURITIES</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COMMON STOCK</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USA Waste Services, Inc. ("USA Waste" or the "Company") may offer and sell from time to time, in one or more series, its unsecured debt securities consisting of notes, debentures or other evidences of indebtedness (the "Debt Securities"). The Company may also offer and sell from time to time shares of its common stock, par value $.01 per share (the "Common Stock"). The aggregate initial offering prices of the Debt Securities and the Common Stock offered by the Company hereby (the "Securities") will not exceed $850,000,000 or, if applicable, the equivalent thereof in any other currency or currency unit. The Securities will be offered in amounts, at prices and on terms to be determined in light of market conditions at the time of sale and set forth in a supplement to this Prospectus (a "Prospectus Supplement").</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If the offering and sale of Securities in respect of which this Prospectus is being delivered includes a series of Debt Securities, then the terms of such series of Debt Securities, including, where applicable, the specific designation, aggregate principal amount, authorized denominations, ranking as senior or subordinated Debt Securities, maturity, interest rate or rates (or method of determining the same) and time or times of payment of any interest, any terms for optional or mandatory redemption, which may include redemption at the option of holders upon the occurrence of certain events, conversion into Common Stock, or payment of additional amounts or any sinking fund provisions, any initial public offering price, the proceeds to the Company and any other specific terms in connection with the offering and sale of such series of Debt Securities will be set forth in a Prospectus Supplement. As used herein, Debt Securities shall include securities denominated in United States dollars or, at the option of the Company if so specified in an applicable Prospectus Supplement, in any other currency or currency unit, or in amounts determined by reference to an index.</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Securities may be sold directly by the Company to investors, through agents designated from time to time or to or through underwriters or dealers. See "Plan of Distribution." If any agents of the Company or any underwriters are involved in the sale of any Securities in respect of which this Prospectus is being delivered, the names of such agents or underwriters and any applicable commissions or discounts will be set forth in a Prospectus Supplement. The net proceeds to the Company from such sale also will be set forth in a Prospectus Supplement. See "Use of Proceeds."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Debt Securities may be issued in registered form or bearer form with or without interest coupons attached, or both. In addition, all or a portion of the Debt Securities of a series may be issuable in temporary or permanent global form. Debt Securities in bearer form are offered only to non-United States persons and to offices located outside the United States of certain United States financial institutions.</w:t>
      </w:r>
    </w:p>
    <w:p>
      <w:pPr>
        <w:spacing w:after="0" w:line="176"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Common Stock is traded on the New York Stock Exchange under the symbol "UW." Any Common Stock sold pursuant to a Prospectus Supplement will be listed on such exchange, subject to official notice of issuance.</w:t>
      </w:r>
    </w:p>
    <w:p>
      <w:pPr>
        <w:spacing w:after="0" w:line="17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EXCHANGE COMMISSION OR ANY STATE SECURITIES COMMISSION NOR HAS THE</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SECURITIES AND EXCHANGE COMMISSION OR ANY STATE SECURITIES</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COMMISSION PASSED UPON THE ACCURACY OR ADEQUACY</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OF THIS PROSPECTUS. ANY REPRESENTATION</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TO THE CONTRARY IS A</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CRIMINAL OFFENSE.</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Prospectus may not be used to consummate sales of the Securities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unless accompanied by a Prospectus Supplement.</w:t>
      </w:r>
    </w:p>
    <w:p>
      <w:pPr>
        <w:sectPr>
          <w:pgSz w:w="11900" w:h="16838" w:orient="portrait"/>
          <w:cols w:equalWidth="0" w:num="1">
            <w:col w:w="10219"/>
          </w:cols>
          <w:pgMar w:left="240" w:top="291" w:right="1440" w:bottom="1440" w:gutter="0" w:footer="0" w:header="0"/>
        </w:sectPr>
      </w:pPr>
    </w:p>
    <w:p>
      <w:pPr>
        <w:spacing w:after="0" w:line="178"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THE DATE OF THIS PROSPECTUS IS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1996.</w:t>
      </w:r>
    </w:p>
    <w:p>
      <w:pPr>
        <w:sectPr>
          <w:pgSz w:w="11900" w:h="16838" w:orient="portrait"/>
          <w:cols w:equalWidth="0" w:num="2">
            <w:col w:w="4500" w:space="720"/>
            <w:col w:w="4999"/>
          </w:cols>
          <w:pgMar w:left="240" w:top="291"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AVAILABLE INFORMATION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is subject to the information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with the Commission can be inspected and copied at the public reference facilities maintained by the Commission at Room 1024, Judiciary Plaza, 450 Fifth Street, N.W., Washington, D.C. 20549 and at the following Regional Offices of the Commission: Chicago Regional Office, Citicorp Center, 500 West Madison Street, Suite 1400, Chicago, Illinois 60661 and New York Regional Office, Seven World Trade Center, New York, New York 10048. Copies of such material can be obtained from the Public Reference Section of the Commission at 450 Fifth Street, N.W., Washington, D.C. 20549, at prescribed rates. The Commission maintains a World Wide Web site on the Internet at http://www.sec.gov that contains reports, proxy and information statements and other information regarding registrants that file electronically with the Commission. In addition, reports, proxy statements and other information concerning the Company can be inspected at the New York Stock Exchange, 20 Broad Street, New York, New York 10005, on which exchange the Common Stock is listed.</w:t>
      </w:r>
    </w:p>
    <w:p>
      <w:pPr>
        <w:spacing w:after="0" w:line="35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This Prospectus constitutes a part of a Registration Statement on Form S-3 (together with all amendments and exhibits thereto, the "Registration Statement") filed by the Company with the Commission under the Securities Act of 1933, as amended (the "Securities Act"). This Prospectus omits certain of the information contained in the Registration Statement in accordance with the rules and regulations of the Commission. Reference is hereby made to the Registration Statement and exhibits thereto for further information with respect to the Company and the securities offered hereby. Any statements contained herein concerning the provisions of any document filed as an exhibit to the Registration Statement or otherwise filed with the Commission are not necessarily complete, and in each instance reference is made to the copy of such document so filed. Each such statement is qualified in its entirety by such reference.</w:t>
      </w:r>
    </w:p>
    <w:p>
      <w:pPr>
        <w:spacing w:after="0" w:line="354"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following documents filed by the Company with the Commission under the Exchange Act (File No. 1-12154) are incorporated by reference in this Prospectus:</w:t>
      </w:r>
    </w:p>
    <w:p>
      <w:pPr>
        <w:spacing w:after="0" w:line="175" w:lineRule="exact"/>
        <w:rPr>
          <w:sz w:val="20"/>
          <w:szCs w:val="20"/>
          <w:color w:val="auto"/>
        </w:rPr>
      </w:pPr>
    </w:p>
    <w:p>
      <w:pPr>
        <w:ind w:left="800" w:right="3279" w:hanging="357"/>
        <w:spacing w:after="0" w:line="243" w:lineRule="auto"/>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year ended December 31, 1995;</w:t>
      </w:r>
    </w:p>
    <w:p>
      <w:pPr>
        <w:spacing w:after="0" w:line="176" w:lineRule="exact"/>
        <w:rPr>
          <w:rFonts w:ascii="Courier New" w:cs="Courier New" w:eastAsia="Courier New" w:hAnsi="Courier New"/>
          <w:sz w:val="15"/>
          <w:szCs w:val="15"/>
          <w:color w:val="auto"/>
        </w:rPr>
      </w:pPr>
    </w:p>
    <w:p>
      <w:pPr>
        <w:ind w:left="800" w:right="3379" w:hanging="357"/>
        <w:spacing w:after="0" w:line="243" w:lineRule="auto"/>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Reports on Form 10-Q for the quarters ended March 31, 1996, June 30, 1996 and September 30, 1996;</w:t>
      </w:r>
    </w:p>
    <w:p>
      <w:pPr>
        <w:spacing w:after="0" w:line="349" w:lineRule="exact"/>
        <w:rPr>
          <w:rFonts w:ascii="Courier New" w:cs="Courier New" w:eastAsia="Courier New" w:hAnsi="Courier New"/>
          <w:sz w:val="15"/>
          <w:szCs w:val="15"/>
          <w:color w:val="auto"/>
        </w:rPr>
      </w:pPr>
    </w:p>
    <w:p>
      <w:pPr>
        <w:ind w:left="800" w:right="3019" w:hanging="357"/>
        <w:spacing w:after="0" w:line="244" w:lineRule="auto"/>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Current Report on Form 8-K dated January 9, 1996, Current Report on Form 8-K dated May 7, 1996, as amended by Form 8-K/A (Amendment No. 1) filed on May 29, 1996, Form 8-K/A (Amendment No. 2) filed June 28, 1996, and Form 8-K/A (Amendment No. 3) filed July 1, 1996, and Current Report on Form 8-K dated June 22, 1996, Current Report on Form 8-K dated September 3, 1996, Current Report on Form 8-K dated September 12, 1996, as amended by Form 8-K/A (Amendment No. 1) filed November 14, 1996 and Form 8-K/A (Amendment No. 2) filed November 15, 1996, Current Report on Form 8-K dated November 12, 1996, and Current Report on Form 8-K dated January 13, 1997; and</w:t>
      </w:r>
    </w:p>
    <w:p>
      <w:pPr>
        <w:spacing w:after="0" w:line="353" w:lineRule="exact"/>
        <w:rPr>
          <w:rFonts w:ascii="Courier New" w:cs="Courier New" w:eastAsia="Courier New" w:hAnsi="Courier New"/>
          <w:sz w:val="15"/>
          <w:szCs w:val="15"/>
          <w:color w:val="auto"/>
        </w:rPr>
      </w:pPr>
    </w:p>
    <w:p>
      <w:pPr>
        <w:ind w:left="800" w:right="3099" w:hanging="357"/>
        <w:spacing w:after="0" w:line="244" w:lineRule="auto"/>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Common Stock contained in the Registration Statement on Form 8-A dated July 1, 1993, as amended by Form 8-B dated July 13, 1995.</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All documents filed by the Company pursuant to Section 13(a), 13(c), 14 or 15(d) of the Exchange Act subsequent to the date of this Prospectus and prior to the termination of the offering of the Securities pursuant hereto shall be deemed to be incorporated by reference herein and to be a part hereof from the date of filing of such document.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w:t>
      </w:r>
    </w:p>
    <w:p>
      <w:pPr>
        <w:sectPr>
          <w:pgSz w:w="11900" w:h="16838" w:orient="portrait"/>
          <w:cols w:equalWidth="0" w:num="1">
            <w:col w:w="10219"/>
          </w:cols>
          <w:pgMar w:left="240" w:top="291" w:right="1440" w:bottom="1440" w:gutter="0" w:footer="0" w:header="0"/>
        </w:sectPr>
      </w:pPr>
    </w:p>
    <w:p>
      <w:pPr>
        <w:spacing w:after="0" w:line="179"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291"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incorporated by reference herein modifies or supersedes such statement. Any such statement so modified or superseded shall not be deemed, except as so modified or superseded, to constitute a part of this Prospectus.</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 will provide without charge to each person to whom this Prospectus is delivered, upon written or oral request of such person, a copy of any or all of the documents that are incorporated by reference in this Prospectus (other than exhibits to such documents, unless such exhibits are specifically incorporated by reference into such documents). Requests should be directed to the Corporate Secretary, USA Waste Services, Inc., 1001 Fannin Street, Suite 4000, Houston, Texas 77002, telephone number (713) 512-6200.</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THE COMPANY</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 is the third largest solid waste management company in North America and serves municipal, commercial, industrial and residential customers in 36 states, Canada, Mexico and Puerto Rico. The Company's solid waste management services include collection, transfer and disposal operations and, to a lesser extent, recycling and certain other waste management services. USA Waste owns or operates 101 landfills, 61 transfer stations and 123 collection operations and serves more than 2.0 million customers. USA Waste was incorporated under the laws of the State of Delaware in April 1995 to become the successor to USA Waste Services, Inc., an Oklahoma corporation organized in</w:t>
      </w:r>
    </w:p>
    <w:p>
      <w:pPr>
        <w:spacing w:after="0" w:line="6"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1987. The principal executive offices of USA Waste are located at 1001 Fannin Street, Suite 4000, Houston, Texas 77002 and its telephone number is (713)</w:t>
      </w:r>
    </w:p>
    <w:p>
      <w:pPr>
        <w:spacing w:after="0" w:line="3"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512-6200. The "Company" and "USA Waste" refer to USA Waste Services, Inc. and its subsidiaries and predecessors, unless otherwise indicated or the context requires otherwise.</w:t>
      </w:r>
    </w:p>
    <w:p>
      <w:pPr>
        <w:spacing w:after="0" w:line="348"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USE OF PROCEEDS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Except as may otherwise be described in the Prospectus Supplement relating to an offering of Securities, the net proceeds from the sale of the Securities offered pursuant to this Prospectus and such Prospectus Supplement will be used for general corporate purposes. Any specific allocation of the net proceeds of an offering of Securities by the Company to a specific purpose will be determined at the time of such offering and will be described in the related Prospectus Supplement.</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RATIOS OF EARNINGS TO FIXED CHARGES</w:t>
      </w:r>
    </w:p>
    <w:p>
      <w:pPr>
        <w:spacing w:after="0" w:line="178" w:lineRule="exact"/>
        <w:rPr>
          <w:sz w:val="20"/>
          <w:szCs w:val="20"/>
          <w:color w:val="auto"/>
        </w:rPr>
      </w:pPr>
    </w:p>
    <w:p>
      <w:pPr>
        <w:ind w:right="3739" w:firstLine="451"/>
        <w:spacing w:after="0" w:line="243" w:lineRule="auto"/>
        <w:rPr>
          <w:sz w:val="20"/>
          <w:szCs w:val="20"/>
          <w:color w:val="auto"/>
        </w:rPr>
      </w:pPr>
      <w:r>
        <w:rPr>
          <w:rFonts w:ascii="Courier New" w:cs="Courier New" w:eastAsia="Courier New" w:hAnsi="Courier New"/>
          <w:sz w:val="15"/>
          <w:szCs w:val="15"/>
          <w:color w:val="auto"/>
        </w:rPr>
        <w:t>The following table sets forth the Company's consolidated ratios of earnings to fixed charges for the periods as shown.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1480" w:type="dxa"/>
            <w:vAlign w:val="bottom"/>
          </w:tcPr>
          <w:p>
            <w:pPr>
              <w:jc w:val="center"/>
              <w:ind w:right="45"/>
              <w:spacing w:after="0"/>
              <w:rPr>
                <w:sz w:val="20"/>
                <w:szCs w:val="20"/>
                <w:color w:val="auto"/>
              </w:rPr>
            </w:pPr>
            <w:r>
              <w:rPr>
                <w:rFonts w:ascii="Courier New" w:cs="Courier New" w:eastAsia="Courier New" w:hAnsi="Courier New"/>
                <w:sz w:val="15"/>
                <w:szCs w:val="15"/>
                <w:color w:val="auto"/>
              </w:rPr>
              <w:t>NINE MONTHS</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3"/>
        </w:trPr>
        <w:tc>
          <w:tcPr>
            <w:tcW w:w="3060" w:type="dxa"/>
            <w:vAlign w:val="bottom"/>
          </w:tcPr>
          <w:p>
            <w:pPr>
              <w:spacing w:after="0"/>
              <w:rPr>
                <w:sz w:val="15"/>
                <w:szCs w:val="15"/>
                <w:color w:val="auto"/>
              </w:rPr>
            </w:pPr>
          </w:p>
        </w:tc>
        <w:tc>
          <w:tcPr>
            <w:tcW w:w="148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ENDED</w:t>
            </w:r>
          </w:p>
        </w:tc>
        <w:tc>
          <w:tcPr>
            <w:tcW w:w="820" w:type="dxa"/>
            <w:vAlign w:val="bottom"/>
          </w:tcPr>
          <w:p>
            <w:pPr>
              <w:spacing w:after="0"/>
              <w:rPr>
                <w:sz w:val="15"/>
                <w:szCs w:val="15"/>
                <w:color w:val="auto"/>
              </w:rPr>
            </w:pPr>
          </w:p>
        </w:tc>
        <w:tc>
          <w:tcPr>
            <w:tcW w:w="25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YEAR ENDED DECEMBER 31,</w:t>
            </w:r>
          </w:p>
        </w:tc>
        <w:tc>
          <w:tcPr>
            <w:tcW w:w="540" w:type="dxa"/>
            <w:vAlign w:val="bottom"/>
          </w:tcPr>
          <w:p>
            <w:pPr>
              <w:spacing w:after="0"/>
              <w:rPr>
                <w:sz w:val="15"/>
                <w:szCs w:val="15"/>
                <w:color w:val="auto"/>
              </w:rPr>
            </w:pPr>
          </w:p>
        </w:tc>
      </w:tr>
      <w:tr>
        <w:trPr>
          <w:trHeight w:val="173"/>
        </w:trPr>
        <w:tc>
          <w:tcPr>
            <w:tcW w:w="3060" w:type="dxa"/>
            <w:vAlign w:val="bottom"/>
          </w:tcPr>
          <w:p>
            <w:pPr>
              <w:spacing w:after="0"/>
              <w:rPr>
                <w:sz w:val="15"/>
                <w:szCs w:val="15"/>
                <w:color w:val="auto"/>
              </w:rPr>
            </w:pPr>
          </w:p>
        </w:tc>
        <w:tc>
          <w:tcPr>
            <w:tcW w:w="148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SEPTEMBER 30,</w:t>
            </w:r>
          </w:p>
        </w:tc>
        <w:tc>
          <w:tcPr>
            <w:tcW w:w="39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060" w:type="dxa"/>
            <w:vAlign w:val="bottom"/>
          </w:tcPr>
          <w:p>
            <w:pPr>
              <w:spacing w:after="0"/>
              <w:rPr>
                <w:sz w:val="15"/>
                <w:szCs w:val="15"/>
                <w:color w:val="auto"/>
              </w:rPr>
            </w:pPr>
          </w:p>
        </w:tc>
        <w:tc>
          <w:tcPr>
            <w:tcW w:w="14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1995</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1994</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1993</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1992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1991</w:t>
            </w:r>
          </w:p>
        </w:tc>
      </w:tr>
      <w:tr>
        <w:trPr>
          <w:trHeight w:val="173"/>
        </w:trPr>
        <w:tc>
          <w:tcPr>
            <w:tcW w:w="3060" w:type="dxa"/>
            <w:vAlign w:val="bottom"/>
          </w:tcPr>
          <w:p>
            <w:pPr>
              <w:spacing w:after="0"/>
              <w:rPr>
                <w:sz w:val="15"/>
                <w:szCs w:val="15"/>
                <w:color w:val="auto"/>
              </w:rPr>
            </w:pPr>
          </w:p>
        </w:tc>
        <w:tc>
          <w:tcPr>
            <w:tcW w:w="148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0.77</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2.08</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0.73</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1.68</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(0.20)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0.53</w:t>
            </w:r>
          </w:p>
        </w:tc>
      </w:tr>
    </w:tbl>
    <w:p>
      <w:pPr>
        <w:spacing w:after="0" w:line="200" w:lineRule="exact"/>
        <w:rPr>
          <w:sz w:val="20"/>
          <w:szCs w:val="20"/>
          <w:color w:val="auto"/>
        </w:rPr>
      </w:pPr>
    </w:p>
    <w:p>
      <w:pPr>
        <w:spacing w:after="0" w:line="32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Company's consolidated ratios of earnings to fixed charges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computed by dividing earnings by fixed charges. For this purpose, earnings 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sum of income (loss) from continuing operations, taxes, and fixed charges,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excluding capitalized interest. Fixed charges are interest, whether expensed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capitalized, amortization of debt expense and discount on premium relating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indebtedness, whether expensed or capitalized, and such portion of rental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that can be demonstrated to be representative of the interest factor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particular case. For the nine months ended September 30, 1996 and the years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December 31, 1994, 1992, and 1991, earnings are insufficient to cover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charges as evidenced by a less than one-to-one coverage ratio as shown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above. Additional earnings of $12,022,000, $17,855,000, $78,473,000,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$27,827,000 were necessary for the nine months ended September 30, 1996 and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1994, 1992, and 1991, respectively, to provide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one-to-one coverage ratio. Except for the year ended December 31, 1991,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nonrecurring costs, as discussed below, caused the less than one-to-one coverage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each of these periods.</w:t>
      </w:r>
    </w:p>
    <w:p>
      <w:pPr>
        <w:sectPr>
          <w:pgSz w:w="11900" w:h="16838" w:orient="portrait"/>
          <w:cols w:equalWidth="0" w:num="1">
            <w:col w:w="10219"/>
          </w:cols>
          <w:pgMar w:left="240" w:top="291" w:right="1440" w:bottom="1440" w:gutter="0" w:footer="0" w:header="0"/>
        </w:sectPr>
      </w:pPr>
    </w:p>
    <w:p>
      <w:pPr>
        <w:spacing w:after="0" w:line="178"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19"/>
          </w:cols>
          <w:pgMar w:left="240" w:top="291" w:right="1440"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following table sets forth the Company's consolidated ratios of earnings to fixed charges for the periods shown, on a pro forma basis excluding nonrecurring items.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1480" w:type="dxa"/>
            <w:vAlign w:val="bottom"/>
          </w:tcPr>
          <w:p>
            <w:pPr>
              <w:jc w:val="center"/>
              <w:ind w:right="45"/>
              <w:spacing w:after="0"/>
              <w:rPr>
                <w:sz w:val="20"/>
                <w:szCs w:val="20"/>
                <w:color w:val="auto"/>
              </w:rPr>
            </w:pPr>
            <w:r>
              <w:rPr>
                <w:rFonts w:ascii="Courier New" w:cs="Courier New" w:eastAsia="Courier New" w:hAnsi="Courier New"/>
                <w:sz w:val="15"/>
                <w:szCs w:val="15"/>
                <w:color w:val="auto"/>
              </w:rPr>
              <w:t>NINE MONTHS</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3"/>
        </w:trPr>
        <w:tc>
          <w:tcPr>
            <w:tcW w:w="3060" w:type="dxa"/>
            <w:vAlign w:val="bottom"/>
          </w:tcPr>
          <w:p>
            <w:pPr>
              <w:spacing w:after="0"/>
              <w:rPr>
                <w:sz w:val="15"/>
                <w:szCs w:val="15"/>
                <w:color w:val="auto"/>
              </w:rPr>
            </w:pPr>
          </w:p>
        </w:tc>
        <w:tc>
          <w:tcPr>
            <w:tcW w:w="148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ENDED</w:t>
            </w:r>
          </w:p>
        </w:tc>
        <w:tc>
          <w:tcPr>
            <w:tcW w:w="820" w:type="dxa"/>
            <w:vAlign w:val="bottom"/>
          </w:tcPr>
          <w:p>
            <w:pPr>
              <w:spacing w:after="0"/>
              <w:rPr>
                <w:sz w:val="15"/>
                <w:szCs w:val="15"/>
                <w:color w:val="auto"/>
              </w:rPr>
            </w:pPr>
          </w:p>
        </w:tc>
        <w:tc>
          <w:tcPr>
            <w:tcW w:w="25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YEAR ENDED DECEMBER 31,</w:t>
            </w:r>
          </w:p>
        </w:tc>
        <w:tc>
          <w:tcPr>
            <w:tcW w:w="580" w:type="dxa"/>
            <w:vAlign w:val="bottom"/>
          </w:tcPr>
          <w:p>
            <w:pPr>
              <w:spacing w:after="0"/>
              <w:rPr>
                <w:sz w:val="15"/>
                <w:szCs w:val="15"/>
                <w:color w:val="auto"/>
              </w:rPr>
            </w:pPr>
          </w:p>
        </w:tc>
      </w:tr>
      <w:tr>
        <w:trPr>
          <w:trHeight w:val="173"/>
        </w:trPr>
        <w:tc>
          <w:tcPr>
            <w:tcW w:w="3060" w:type="dxa"/>
            <w:vAlign w:val="bottom"/>
          </w:tcPr>
          <w:p>
            <w:pPr>
              <w:spacing w:after="0"/>
              <w:rPr>
                <w:sz w:val="15"/>
                <w:szCs w:val="15"/>
                <w:color w:val="auto"/>
              </w:rPr>
            </w:pPr>
          </w:p>
        </w:tc>
        <w:tc>
          <w:tcPr>
            <w:tcW w:w="148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SEPTEMBER 30,</w:t>
            </w:r>
          </w:p>
        </w:tc>
        <w:tc>
          <w:tcPr>
            <w:tcW w:w="39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060" w:type="dxa"/>
            <w:vAlign w:val="bottom"/>
          </w:tcPr>
          <w:p>
            <w:pPr>
              <w:spacing w:after="0"/>
              <w:rPr>
                <w:sz w:val="15"/>
                <w:szCs w:val="15"/>
                <w:color w:val="auto"/>
              </w:rPr>
            </w:pPr>
          </w:p>
        </w:tc>
        <w:tc>
          <w:tcPr>
            <w:tcW w:w="14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1995</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1994</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1993</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1991</w:t>
            </w:r>
          </w:p>
        </w:tc>
      </w:tr>
      <w:tr>
        <w:trPr>
          <w:trHeight w:val="173"/>
        </w:trPr>
        <w:tc>
          <w:tcPr>
            <w:tcW w:w="3060" w:type="dxa"/>
            <w:vAlign w:val="bottom"/>
          </w:tcPr>
          <w:p>
            <w:pPr>
              <w:spacing w:after="0"/>
              <w:rPr>
                <w:sz w:val="15"/>
                <w:szCs w:val="15"/>
                <w:color w:val="auto"/>
              </w:rPr>
            </w:pPr>
          </w:p>
        </w:tc>
        <w:tc>
          <w:tcPr>
            <w:tcW w:w="148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4.31</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2.88</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2.15</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1.81</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0.53</w:t>
            </w:r>
          </w:p>
        </w:tc>
      </w:tr>
    </w:tbl>
    <w:p>
      <w:pPr>
        <w:spacing w:after="0" w:line="200" w:lineRule="exact"/>
        <w:rPr>
          <w:sz w:val="20"/>
          <w:szCs w:val="20"/>
          <w:color w:val="auto"/>
        </w:rPr>
      </w:pPr>
    </w:p>
    <w:p>
      <w:pPr>
        <w:spacing w:after="0" w:line="32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Nonrecurring items for the nine months ended September 30, 1996, represent merger costs, primarily related to mergers with Sanifill, Inc. in August 1996 and Western Waste Industries ("Western") in May 1996, and unusual items, primarily related to operating losses and estimated losses associated with the disposition of certain non-core business assets. Nonrecurring items in 1995 primarily represent merger costs related to the merger with Chambers Development Company, Inc. ("Chambers") in June 1995 and nonrecurring interest related to extension fees and other charges associated with the refinancing of Chambers pre-merger debt. Nonrecurring items in 1994 primarily represent shareholder litigation costs incurred in connection with a settled class action of consolidated suits on similar claims alleging federal securities violations against Chambers, certain of its officers and directors, its former auditors, and the underwriters of its securities. Nonrecurring items in 1992 primarily represent various restructuring charges and charges to asset reserves by Western and Chambers. Nonrecurring items in 1993 and 1991 were not material.</w:t>
      </w:r>
    </w:p>
    <w:p>
      <w:pPr>
        <w:spacing w:after="0" w:line="182"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DESCRIPTION OF DEBT SECURITIES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Debt Securities will constitute either senior debt of the Company ("Senior Debt Securities"), or subordinated debt of the Company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 in each case between the Company and a trustee (a "Trustee"), which may be the same Trustee, and in the form that has been filed as an exhibit to the Registration Statement of which this Prospectus is a part, subject to such amendments or supplements as may be adopted form time to time. The Senior Debt Indenture and the Subordinated Debt Indenture, as amended or supplemented from time to time, are sometimes hereinafter referred to individually as an "Indenture" and collectively as the "Indentures." The following summaries of anticipated provisions of the Indentures and the Debt Securities do not purport to be complete and such summaries are subject to the detailed provisions of the applicable Indenture to which reference is hereby made for a full description of such provisions, including the definition of certain terms used herein. Section references in parentheses below are to sections in both Indentures unless otherwise indicated. Wherever particular sections or defined terms of the applicable Indenture are referred to, such sections or defined terms are incorporated herein by reference as part of the statement made, and the statement is qualified in its entirety by such reference. The Indentures are substantially identical, except for certain covenants of the Company and provisions relating to subordination and conversion.</w:t>
      </w:r>
    </w:p>
    <w:p>
      <w:pPr>
        <w:spacing w:after="0" w:line="18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Debt Securities may be issued from time to time in one or more series. The following description of the Debt Securities sets forth certain general terms and provisions of the Debt Securities of all series. The particular terms of each series of Debt Securities offered by any Prospectus Supplement (the "Offered Debt Securities") will be described therein.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APPLICABLE TO BOTH SENIOR AND SUBORDINATED DEBT SECURITIES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General. The Debt Securities will be unsecured senior or subordinated obligations of the Company and may be issued from time to time in one or more series. The Indentures do not limit the amount of Debt Securities, debentures, notes or other types of indebtedness that may be issued by the Company or any of its subsidiaries nor do they restrict transactions between the Company and its affiliates or the payment of dividends or other distributions by the Company to its stockholders. The rights of the Company's creditors, including holders of Debt Securities, will be limited to the assets of the Company and will not be an obligation</w:t>
      </w:r>
    </w:p>
    <w:p>
      <w:pPr>
        <w:sectPr>
          <w:pgSz w:w="11900" w:h="16838" w:orient="portrait"/>
          <w:cols w:equalWidth="0" w:num="1">
            <w:col w:w="10219"/>
          </w:cols>
          <w:pgMar w:left="240" w:top="291" w:right="1440" w:bottom="1440" w:gutter="0" w:footer="0" w:header="0"/>
        </w:sectPr>
      </w:pPr>
    </w:p>
    <w:p>
      <w:pPr>
        <w:spacing w:after="0" w:line="179"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91"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of any of its Subsidiaries. In addition, other than as may be set forth in any Prospectus Supplement, the Indentures do not and the Debt Securities will not contain any covenants or other provisions that are intended to afford holders of the Debt Securities special protection in the event of either a change of control of the Company or a highly leveraged transaction by the Company.</w:t>
      </w:r>
    </w:p>
    <w:p>
      <w:pPr>
        <w:spacing w:after="0" w:line="35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Reference is made to the Prospectus Supplement for the following terms of and information relating to the Offered Debt Securities (to the extent such terms are applicable to such Offered Debt Securities): (i) the title of the Offered Debt Securities; (ii) classification as either Senior Debt Securities or Subordinated Debt Securities; (iii) whether the Offered Debt Securities that constitute Subordinated Debt Securities are convertible into Common Stock and, if so, the terms and conditions upon which such conversion will be effected including the initial conversion price or conversion rate and any adjustments thereto in addition to or different from those described herein, the conversion period and other conversion provisions in addition to or in lieu of those described herein; (iv) any limit on the aggregate principal amount of the Offered Debt Securities; (v) whether the Offered Debt Securities are to be issuable as Registered Securities or Bearer Securities or both, whether any of the Offered Debt Securities are to be issuable initially in temporary global form and whether any of the Offered Debt Securities are to be in permanent global form; (vi) the price or prices (expressed as a percentage of the aggregate principal amount thereof) at which the Offered Debt Securities will be issued; (vii) the date or dates on which the Offered Debt Securities will mature; (viii) the rate or rates per annum (or the method by which such will be determined) at which the Offered Debt Securities will bear interest, if any, and the date from which any such interest will accrue; (ix) the Interest Payment Dates on which any such interest on the Offered Debt Securities will be payable, the date on which payment of such interest, if any, will commence and the Regular Record Dates for any interest payable on any Offered Debt Securities which are Registered Securities on any Interest Payment Date and the extent to which, or the manner in which, any interest payable on a temporary global Offered Debt Security on an Interest Payment Date will be paid; (x) any mandatory or optional sinking fund or analogous provisions; (xi) each office or agency where, subject to the terms of the Indentures as described below under "Payment and Paying Agents," the principal of and any premium and interest on the Offered Debt Securities will be payable and each office or agency where, subject to the terms of the Indentures as described below under "Form, Exchange, Registration and Transfer," the Offered Debt Securities may be presented for registration of transfer or exchange; (xii) the right, if any, or obligation, if any, of the Company to redeem the Offered Debt Securities at its option and the period or periods, if any, within which and the price or prices at which the Offered Debt Securities may, pursuant to any optional or mandatory redemption provisions, be redeemed, in whole or in part, and the other detailed terms and provisions of any such optional or mandatory redemption; (xiii) the denominations in which any Offered Debt Securities which are Registered Securities will be issuable, if other than denominations of $1,000 and any integral multiple thereof, and the denomination or denominations in which any Offered Debt Securities which are Bearer Securities will be issuable, if other than the denomination of $5,000; (xiv) the currency or currencies (including composite currencies) in which payment of principal of and any premium and interest on the Offered Debt Securities is payable if other than United States dollars; (xv) any index used to determine the amount of payments of principal of and any premium and interest on the Offered Debt Securities; (xvi) information with respect to book-entry procedures, if any; (xvii) any deletions from, modification of or additions to the Events of Default or covenants of the Company with respect to such Offered Debt Securities; and (xviii) any other terms of the Offered Debt Securities not inconsistent with the provisions of the Indentures. (Section 301) Any such Prospectus Supplement will also describe any special provisions for the payment of additional amounts with respect to the Offered Debt Securities.</w:t>
      </w:r>
    </w:p>
    <w:p>
      <w:pPr>
        <w:spacing w:after="0" w:line="38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Debt Securities may be issued as Original Issue Discount Securities. An Original Issue Discount Security is a Debt Security, including any Zero-Coupon Security, which is issued at a price lower than the amount payable upon the Stated Maturity thereof and which provides that upon redemption or acceleration of the maturity thereof an amount less than the amount payable upon the Stated Maturity thereof and determined in accordance with the terms of such Debt Security shall become due and payable. Special United States federal income tax considerations applicable to Debt Securities issued at an original issue discount, including Original Issue Discount Securities, and special United States tax considerations and other terms and restrictions applicable to any Debt Securities which are issued in bearer form, offered exclusively to United States Aliens</w:t>
      </w:r>
    </w:p>
    <w:p>
      <w:pPr>
        <w:sectPr>
          <w:pgSz w:w="11900" w:h="16838" w:orient="portrait"/>
          <w:cols w:equalWidth="0" w:num="1">
            <w:col w:w="10219"/>
          </w:cols>
          <w:pgMar w:left="240" w:top="291" w:right="1440" w:bottom="1440" w:gutter="0" w:footer="0" w:header="0"/>
        </w:sectPr>
      </w:pPr>
    </w:p>
    <w:p>
      <w:pPr>
        <w:spacing w:after="0" w:line="181"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19"/>
          </w:cols>
          <w:pgMar w:left="240" w:top="291"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8" w:lineRule="exact"/>
        <w:rPr>
          <w:sz w:val="20"/>
          <w:szCs w:val="20"/>
          <w:color w:val="auto"/>
        </w:rPr>
      </w:pPr>
    </w:p>
    <w:p>
      <w:pPr>
        <w:ind w:right="3559"/>
        <w:spacing w:after="0" w:line="243" w:lineRule="auto"/>
        <w:rPr>
          <w:sz w:val="20"/>
          <w:szCs w:val="20"/>
          <w:color w:val="auto"/>
        </w:rPr>
      </w:pPr>
      <w:r>
        <w:rPr>
          <w:rFonts w:ascii="Courier New" w:cs="Courier New" w:eastAsia="Courier New" w:hAnsi="Courier New"/>
          <w:sz w:val="15"/>
          <w:szCs w:val="15"/>
          <w:color w:val="auto"/>
        </w:rPr>
        <w:t>or denominated in other than United States dollars, will be set forth in a Prospectus Supplement relating thereto.</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(Section 201) The Indentures also provide that Debt Securities of a series may be issuable in temporary or permanent global form. (Section 201)</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 tenor. Bearer Securities surrendered in exchange for Registered Securities between a Regular Record Date or a Special Record Date and the relevant date for payment of interest shall be surrendered without the coupon relating to such date for payment of interest, and interest accrued as of such date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18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Debt Securities may be presented for exchange as provided above, and Registered Securities may be presented for registration of transfer (with the form of transfer endorsed thereon duly executed), at the office of the Security Registrar or at the office of any transfer agent designated by the Company for such purpose with respect to any series of Debt Securities and referred to in an applicable Prospectus Supplement,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The Company will serve initially as Security Registrar. (Section 305) If a Prospectus Supplement refers to any transfer agents (in addition to the Security Registrar) initially designated by the Company with respect to any series of Debt Securities, the Company may at any time rescind the designation of any such transfer agent or approve a change in the location through which any such transfer agent acts, except that, if Debt Securities of a series are issuable solely as Registered Securities, the Company will be required to maintain a transfer agent in each Place of Payment for such series and, if Debt Securities of a series are also issuable as Bearer Securities, the Company will be required to maintain (in addition to the Security Registrar) a transfer agent in a Place of Payment for such series located outside the United States. The Company may at any time designate additional transfer agents with respect to any series of Debt Securities. (Section 1002)</w:t>
      </w:r>
    </w:p>
    <w:p>
      <w:pPr>
        <w:spacing w:after="0" w:line="18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In the event of any redemption in part, the Company shall not be required to (i) issue, register the transfer of or exchange Debt Securities of any series during a period beginning at the opening of business 15 days prior to the selection of Debt Securities of that series for redemption and ending on the close of business on (A) if Debt Securities of the series are issuable only as Registered Securities, the day of mailing of the relevant notice of redemption and (B) 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 (ii) register the transfer of or exchange any Registered Security, or portion thereof, called for redemption, except the unredeemed portion of any Registered Security being redeemed in part, or (iii) exchange any Bearer Security called for redemption, except to exchange such Bearer Security for a Registered Security of that series and like tenor which is immediately surrendered for redemption. (Section 305)</w:t>
      </w:r>
    </w:p>
    <w:p>
      <w:pPr>
        <w:spacing w:after="0" w:line="16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the Company may designate from time to time, in the manner indicated in such Prospectus Supplement.</w:t>
      </w:r>
    </w:p>
    <w:p>
      <w:pPr>
        <w:sectPr>
          <w:pgSz w:w="11900" w:h="16838" w:orient="portrait"/>
          <w:cols w:equalWidth="0" w:num="1">
            <w:col w:w="10219"/>
          </w:cols>
          <w:pgMar w:left="240" w:top="291" w:right="1440" w:bottom="1440" w:gutter="0" w:footer="0" w:header="0"/>
        </w:sectPr>
      </w:pP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291"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(Section 1002) Unless otherwise indicated in an applicable Prospectus Supplement, payment of interest on Bearer Securities on any Interest Payment Date will be made only against surrender to the Paying Agent of the coupon relating to such Interest Payment Date. (Section 1001) No payment with respect to any Bearer Security will be made at any office or agency of the Company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the Company's Paying Agent in the Borough of Manhattan. The City of New York, if (but only if) payment of the full amount thereof in U.S. dollars at all offices or agencies outside the United States is illegal or effectively precluded by exchange controls or other similar restrictions. (Section 1002)</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Unless otherwise indicated in an applicable Prospectus Supplement, payment of principal of and any premium and interest on Registered Securities will be made at the office of such Paying Agent or Paying Agents as the Company may designate from time to time, except that at the option of the Company payment of any interest may be made by check mailed on or before the due date to the address of the Person entitled thereto as such address shall appear in the Security Register. (Sections 307, 1002) Unless otherwise indicated in an applicable Prospectus Supplement, payment of any installment of interest on Registered Securities will be made to the Person in whose name such Registered Security is registered at the close of business on the Regular Record Date for such interest. (Section 307)</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Unless otherwise indicated in an applicable Prospectus Supplement, the Company, at its principal executive offices in Houston, Texas will act as its own Paying Agent for payments with respect to Debt Securities which are issuable solely as Registered Securities and the Company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initially designated by Company for the Debt Securities will be named in an applicable Prospectus Supplement. The Company may at any time designate additional Paying Agents or rescind the designation of any Paying Agent or approve a change in the office through which any Paying Agent acts, except that, if Debt Securities of a series are issuable solely as Registered Securities, the Company will be required to maintain a Paying Agent in each Place of Payment for such series and, if Debt Securities of a series are issuable as Bearer Securities, the Company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of Payment located outside the United States where Debt Securities of such series and any coupons appertaining thereto may be presented and surrendered for payment. (Section 1002)</w:t>
      </w:r>
    </w:p>
    <w:p>
      <w:pPr>
        <w:spacing w:after="0" w:line="18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All moneys paid by the Company to a Paying Agent for the payment of principal of and any premium or interest on any Debt Security which remain unclaimed at the end of two years after such principal, premium or interest shall have become due and payable will (subject to applicable escheat laws) be repaid to the Company, and the Holder of such Debt Security or any coupon will thereafter look only to the Company for payment thereof. (Section 1003)</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in either registered or bearer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pacing w:after="0" w:line="18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1"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specific terms of the depository arrangement with respect to a series of Debt Securities and certain limitations and restrictions relating to a series of Bearer Securities in the form of one or more global Debt Securities will be described in the Prospectus Supplement relating to such series.</w:t>
      </w:r>
    </w:p>
    <w:p>
      <w:pPr>
        <w:spacing w:after="0" w:line="34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Events of Default. Any one of the following events constitutes an Event of Default under each Indenture with respect to Debt Securities of any series: (a) failure to pay any interest on any Debt Security of that series when due, continued for 30 days; (b) failure to pay principal of or any premium on any Debt Security of that series when due; (c) failure to deposit any sinking fund payment, when due, in respect of any Debt Security of that series; (d) failure to perform any other covenant of the Company in such Indenture (other than a covenant included in such Indenture solely for the benefit of any series of Debt Securities other than that series), continued for 90 days after written notice as provided in such Indenture; (e) certain events in bankruptcy, insolvency or reorganization involving the Company; and (f) any other Event of Default provided with respect to Debt Securities of that series. (Section 501)</w:t>
      </w:r>
    </w:p>
    <w:p>
      <w:pPr>
        <w:spacing w:after="0" w:line="35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an Event of Default with respect to Debt Securities of any series at the time Outstanding occurs and is continuing, either the Trustee or the Holders of at least 25% in aggregate principal amount of the Outstanding Securities of that series by notice as provided in the applicable Indenture may declare the principal amount (or, if the Debt Securities of that series are Original Issue Discount Securities, such portion of the principal amount as may be specified in the terms of that series) of all the Debt Securities of that series to be due and payable immediately. At any time after a declaration of acceleration with respect to Debt Securities of any series has been made, but before a judgment or decree for payment of money has been obtained by the Trustee, the Holders of a majority in aggregate principal amount of the Outstanding Securities of that series may, under certain circumstances, rescind and annul such acceleration. (Section 502)</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Each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Subject to such provisions for the indemnification of the Trustee, the Holders of a majority in aggregate principal amount of the Outstanding Securities of any series have the right to direct the time, method and place of conducting any proceeding for any remedy available to the Trustee, or exercising any trust or power conferred on the Trustee, with respect to the Debt Securities of that series; provided, however, that the Trustee is not obligated to take any action unduly prejudicial to Holders not joining in such direction or involving the Trustee in personal liability. (Section 512)</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is required to furnish to the Trustee annually a statement as to the performance by the Company of its obligations under each Indenture and as to any default in such performance. (Section 1007)</w:t>
      </w:r>
    </w:p>
    <w:p>
      <w:pPr>
        <w:spacing w:after="0" w:line="175" w:lineRule="exact"/>
        <w:rPr>
          <w:sz w:val="20"/>
          <w:szCs w:val="20"/>
          <w:color w:val="auto"/>
        </w:rPr>
      </w:pPr>
    </w:p>
    <w:p>
      <w:pPr>
        <w:ind w:right="3019" w:firstLine="451"/>
        <w:spacing w:after="0" w:line="266" w:lineRule="auto"/>
        <w:rPr>
          <w:sz w:val="20"/>
          <w:szCs w:val="20"/>
          <w:color w:val="auto"/>
        </w:rPr>
      </w:pPr>
      <w:r>
        <w:rPr>
          <w:rFonts w:ascii="Courier New" w:cs="Courier New" w:eastAsia="Courier New" w:hAnsi="Courier New"/>
          <w:sz w:val="14"/>
          <w:szCs w:val="14"/>
          <w:color w:val="auto"/>
        </w:rPr>
        <w:t>Defeasance. If so specified with respect to any particular series of Debt Securities issued under an Indenture, the Company may discharge its indebtedness and its obligations or certain of its obligations under such Indenture with respect to such series by depositing funds or obligations issued or guaranteed by the United States of America with the Trustee. (Sections 1301-1303)</w:t>
      </w:r>
    </w:p>
    <w:p>
      <w:pPr>
        <w:spacing w:after="0" w:line="161"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Defeasance and Discharge. Each Indenture provides that, if so specified with respect to the Debt Securities of any series issued under such Indenture (other than convertible Subordinated Debt Securities), the Company will be discharged from any and all obligations in respect of the Debt Securities of such series (except for certain obligations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 payment of additional amounts, if any, required in consequence of United States withholding taxes imposed on payments to non-United States persons)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(Sections 1302, 1304) Such a trust may only be established if, among other things, the Company has delivered to the Trustee</w:t>
      </w:r>
    </w:p>
    <w:p>
      <w:pPr>
        <w:spacing w:after="0" w:line="166"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an Opinion of Counsel to the effect that (i) the Company has received from, or there has been published by, the</w:t>
      </w:r>
    </w:p>
    <w:p>
      <w:pPr>
        <w:sectPr>
          <w:pgSz w:w="11900" w:h="16838" w:orient="portrait"/>
          <w:cols w:equalWidth="0" w:num="1">
            <w:col w:w="10219"/>
          </w:cols>
          <w:pgMar w:left="240" w:top="291" w:right="1440" w:bottom="1440" w:gutter="0" w:footer="0" w:header="0"/>
        </w:sectPr>
      </w:pP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19"/>
          </w:cols>
          <w:pgMar w:left="240" w:top="291"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Internal Revenue Service a ruling, or (ii) since the date of such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181"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Covenant Defeasance. Each Indenture also provides that, if so specified with respect to the Debt Securities of any series issued thereunder, the Company may omit to comply with certain restrictive covenants, including (in the case of the Senior Debt Indenture) the covenant described under "Limitation on Liens" below, but excluding (in the case of the Subordinated Debt Indenture) any applicable obligation of the Company respecting the conversion of Debt Securities of such series into Common Stock, and any such omission shall not be an Event of Default with respect to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The obligations of the Company under such Indenture and the Debt Securities of such series other than with respect to such covenants shall remain in full force and effect. (Section 1303) Such a trust may be established only if, among other things, the Company has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200" w:lineRule="exact"/>
        <w:rPr>
          <w:sz w:val="20"/>
          <w:szCs w:val="20"/>
          <w:color w:val="auto"/>
        </w:rPr>
      </w:pPr>
    </w:p>
    <w:p>
      <w:pPr>
        <w:spacing w:after="0" w:line="31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Although the amount of money and U.S. Government Obligations on deposit with the Trustee would be intended to be sufficient to pay amounts due on the Debt Securities of such series at the time of their Stated Maturity, in the event the Company exercises its option to omit compliance with the covenants defeased with respect to the Debt Securities of any series as described above, and the Debt Securities of such series are declared due and payable because of the occurrence of any Event of Default, such amount may not be sufficient to pay amounts due on the Debt Securities of such series at the time of the acceleration resulting from such Event of Default. The Company shall in any event remain liable for such payments as provided in the applicable Indenture.</w:t>
      </w:r>
    </w:p>
    <w:p>
      <w:pPr>
        <w:spacing w:after="0" w:line="35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w:t>
      </w:r>
    </w:p>
    <w:p>
      <w:pPr>
        <w:spacing w:after="0" w:line="4"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176"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Meetings, Modification and Waiver. Modifications and amendments of either Indenture may be made by the Company and the Trustee with the consent of the Holders of a majority in aggregate principal amount of the Outstanding Securities of each series affected by such modification or amendment; provided, however, that no such modification or amendment may, without consent of the Holder of each Outstanding Security affected thereby, (a) change the Stated Maturity of the principal of, or any installment of principal of or interest on, any Debt Security, (b) change the Redemption Date with respect to any Debt Security, (c) reduce the principal amount of, or premium or interest on, any Debt Security, (d) change any obligation of the Company to pay additional amounts, (e) reduce the amount of principal of an Original Issue Discount Security payable upon acceleration of the Maturity thereof, (f) change the coin or currency in which any Debt Security or any premium or interest thereon is payable, (g) change the redemption right of any Holder, (h) impair the right to institute suit for the enforcement of any payment on or with respect to any Debt</w:t>
      </w:r>
    </w:p>
    <w:p>
      <w:pPr>
        <w:sectPr>
          <w:pgSz w:w="11900" w:h="16838" w:orient="portrait"/>
          <w:cols w:equalWidth="0" w:num="1">
            <w:col w:w="10219"/>
          </w:cols>
          <w:pgMar w:left="240" w:top="291" w:right="1440" w:bottom="1440" w:gutter="0" w:footer="0" w:header="0"/>
        </w:sectPr>
      </w:pPr>
    </w:p>
    <w:p>
      <w:pPr>
        <w:spacing w:after="0" w:line="341"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19"/>
          </w:cols>
          <w:pgMar w:left="240" w:top="291"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351"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Security or any conversion right with respect thereto, (i) reduce the percentage in principal amount of Outstanding Securities of any series, the consent of whose Holders is required for modification or amendment of such Indenture or for waiver of compliance with certain provisions of such Indenture or for waiver of certain defaults, (j) reduce the requirements contained in such Indenture for quorum or voting, (k) change any obligation of the Company to maintain an office or agency in the places and for the purposes required by such Indenture, (l) adversely affect the right to convert Subordinated Debt Securities, if applicable, or (m) modify any of the above provisions. (Section 902)</w:t>
      </w:r>
    </w:p>
    <w:p>
      <w:pPr>
        <w:spacing w:after="0" w:line="337" w:lineRule="exact"/>
        <w:rPr>
          <w:sz w:val="20"/>
          <w:szCs w:val="20"/>
          <w:color w:val="auto"/>
        </w:rPr>
      </w:pPr>
    </w:p>
    <w:p>
      <w:pPr>
        <w:ind w:right="3639" w:firstLine="451"/>
        <w:spacing w:after="0" w:line="244" w:lineRule="auto"/>
        <w:rPr>
          <w:sz w:val="20"/>
          <w:szCs w:val="20"/>
          <w:color w:val="auto"/>
        </w:rPr>
      </w:pPr>
      <w:r>
        <w:rPr>
          <w:rFonts w:ascii="Courier New" w:cs="Courier New" w:eastAsia="Courier New" w:hAnsi="Courier New"/>
          <w:sz w:val="15"/>
          <w:szCs w:val="15"/>
          <w:color w:val="auto"/>
        </w:rPr>
        <w:t>The Subordinated Debt Indenture may not be amended to alter the subordination of any outstanding Subordinated Debt Securities without the consent of each holder of Senior Indebtedness (as defined below under "-- Provisions Applicable Solely to Subordinated Debt Securities") then outstanding that would be adversely affected thereby. (Section 907 of the Subordinated Debt Indenture)</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Holders of a majority in aggregate principal amount of the Outstanding Securities of each series may, on behalf of all Holders of that series, waive, insofar as that series is concerned, compliance by the Company with certain restrictive provisions of the Indenture under which such series has been issued. (Section 1008) The Holders of a majority in aggregate principal amount of the Outstanding Securities of each series may, on behalf of all Holders of that series, waive any past default under the applicable Indenture with respect to any Debt Securities of that series, except a default (a) in the payment of principal of, or premium, if any, or any interest on any Debt Security of such series or (b) in respect of a covenant or provision of such Indenture which cannot be modified or amended without the consent of the Holder of each Outstanding Security of such series affected. (Section 513)</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 (i) the principal amount of an Original Issue Discount Security that is deemed to be Outstanding will be the amount of the principal that would be due and payable as of the date of such determination upon acceleration of the Maturity thereof, and (ii) 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 Security, the U.S. dollar equivalent, determined on the date of original issuance of such Security, of the amount determined as provided in (i) above. (Section 101)</w:t>
      </w:r>
    </w:p>
    <w:p>
      <w:pPr>
        <w:spacing w:after="0" w:line="182"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Each Indenture contains provisions for convening meetings of the Holders of a series if Debt Securities of that series are issuable as Bearer Securities. (Section 1401) A meeting may be called at any time by the Trustee, and also, upon request, by the Company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any reconvened meeting, will be Persons holding or representing a majority in aggregate principal amount of the Outstanding Securities of a series. (Section 1404)</w:t>
      </w:r>
    </w:p>
    <w:p>
      <w:pPr>
        <w:spacing w:after="0" w:line="200" w:lineRule="exact"/>
        <w:rPr>
          <w:sz w:val="20"/>
          <w:szCs w:val="20"/>
          <w:color w:val="auto"/>
        </w:rPr>
      </w:pPr>
    </w:p>
    <w:p>
      <w:pPr>
        <w:spacing w:after="0" w:line="31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Consolidation, Merger and Sale of Assets. The Company, without the consent of the Holders of any of the outstanding Securities under either Indenture, may consolidate with or merge into, or convey, transfer or lease its assets substantially as an entirety to, any Person which is a corporation, partnership or trust organized</w:t>
      </w:r>
    </w:p>
    <w:p>
      <w:pPr>
        <w:sectPr>
          <w:pgSz w:w="11900" w:h="16838" w:orient="portrait"/>
          <w:cols w:equalWidth="0" w:num="1">
            <w:col w:w="10219"/>
          </w:cols>
          <w:pgMar w:left="240" w:top="291" w:right="1440" w:bottom="1440" w:gutter="0" w:footer="0" w:header="0"/>
        </w:sectPr>
      </w:pP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1"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and validly existing under the laws of any domestic jurisdiction, provided that any successor Person assumes the Company's obligations on the Securities and under such Indenture, and provided further that after giving effect to the transaction no Event of Default, and no event which, after notice or lapse of time, would become an Event of Default, shall have occurred and be continuing, and that certain other conditions are met. (Section 801)</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Notices. Except as otherwise provided in the Indentures, notices to Holders of Bearer Securities will be given by publication at least twice in a daily newspaper in The City of New York and in such other city or cities as may be specified in such Bearer Securities. Notices to Holders of Registered Securities will be given by mail to the addresses of such Holders as they appear in the Security Register. (Section 106)</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Title. Title to any Bearer Securities (including Bearer Securities in permanent global form) and any coupons appertaining thereto will pass by delivery. The Company, the Trustee and any agent of the Company or the Trustee may treat the bearer of any Bearer Security and the bearer of any coupon and the registered owner of any Registered Security as the owner thereof (whether or not such Debt Security or coupon shall be overdue and notwithstanding any notice to the contrary) for the purpose of making payment and for all other purposes. (Section 308)</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Replacement of Securities and Coupons. Any mutilated Debt Security or a Debt Security with a mutilated coupon appertaining thereto will be replaced by the Company at the expense of the Holder upon surrender of such Debt Security to the Trustee. Debt Securities or coupons that became destroyed, stolen or lost will be replaced by the Company at the expense of the Holder upon delivery to the Trustee of the Debt Security and coupons or evidence of destruction, loss or theft thereof satisfactory to the Company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 indemnity satisfactory to the Trustee and the Company may be required at the expense of the Holder of such Debt Security or coupon before a replacement Debt Security will be issued. (Section 306)</w:t>
      </w:r>
    </w:p>
    <w:p>
      <w:pPr>
        <w:spacing w:after="0" w:line="182" w:lineRule="exact"/>
        <w:rPr>
          <w:sz w:val="20"/>
          <w:szCs w:val="20"/>
          <w:color w:val="auto"/>
        </w:rPr>
      </w:pPr>
    </w:p>
    <w:p>
      <w:pPr>
        <w:jc w:val="both"/>
        <w:ind w:right="3459" w:firstLine="451"/>
        <w:spacing w:after="0" w:line="244" w:lineRule="auto"/>
        <w:rPr>
          <w:sz w:val="20"/>
          <w:szCs w:val="20"/>
          <w:color w:val="auto"/>
        </w:rPr>
      </w:pPr>
      <w:r>
        <w:rPr>
          <w:rFonts w:ascii="Courier New" w:cs="Courier New" w:eastAsia="Courier New" w:hAnsi="Courier New"/>
          <w:sz w:val="15"/>
          <w:szCs w:val="15"/>
          <w:color w:val="auto"/>
        </w:rPr>
        <w:t>Governing Law. The Indentures, the Debt Securities and coupons will be governed by, and construed in accordance with, the laws of the State of New York. (Section 113)</w:t>
      </w:r>
    </w:p>
    <w:p>
      <w:pPr>
        <w:spacing w:after="0" w:line="175"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Regarding the Trustee. The Trustee for each series of Debt Securities will be identified in the applicable Prospectus Supplement.</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Each Indenture contains certain limitations on the right of the Trustee, should it become a creditor of the Company,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(as described in the Indentures), it must eliminate such conflict or resign. (Section 608)</w:t>
      </w:r>
    </w:p>
    <w:p>
      <w:pPr>
        <w:spacing w:after="0" w:line="178" w:lineRule="exact"/>
        <w:rPr>
          <w:sz w:val="20"/>
          <w:szCs w:val="20"/>
          <w:color w:val="auto"/>
        </w:rPr>
      </w:pPr>
    </w:p>
    <w:p>
      <w:pPr>
        <w:ind w:right="3019" w:firstLine="451"/>
        <w:spacing w:after="0" w:line="266" w:lineRule="auto"/>
        <w:rPr>
          <w:sz w:val="20"/>
          <w:szCs w:val="20"/>
          <w:color w:val="auto"/>
        </w:rPr>
      </w:pPr>
      <w:r>
        <w:rPr>
          <w:rFonts w:ascii="Courier New" w:cs="Courier New" w:eastAsia="Courier New" w:hAnsi="Courier New"/>
          <w:sz w:val="14"/>
          <w:szCs w:val="14"/>
          <w:color w:val="auto"/>
        </w:rPr>
        <w:t>The holders of a majority in principal amount of all outstanding Debt Securities of a Series (or if more than one Series is affected thereby, all of Series so affected, voting as a single class) will have the right to direct the time, method and place of conducting any proceeding for exercising any remedy or power available to the Trustee for such Series or all such Series so affected.</w:t>
      </w:r>
    </w:p>
    <w:p>
      <w:pPr>
        <w:spacing w:after="0" w:line="16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case an Event of Default shall occur (and shall not be cured) under any Indenture relating to a Series of Debt Securities and is known to the Trustee for such Series,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1"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APPLICABLE SOLELY TO SENIOR DEBT SECURITIES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General. Senior Debt Securities will be issued under the Senior Debt Indenture, and each series will rank pari passu as to the right of payment of principal and any premium and interest with each other series issued thereunder and will rank senior to all series of Subordinated Debt Securities that may be issued.</w:t>
      </w:r>
    </w:p>
    <w:p>
      <w:pPr>
        <w:spacing w:after="0" w:line="177" w:lineRule="exact"/>
        <w:rPr>
          <w:sz w:val="20"/>
          <w:szCs w:val="20"/>
          <w:color w:val="auto"/>
        </w:rPr>
      </w:pPr>
    </w:p>
    <w:p>
      <w:pPr>
        <w:ind w:right="3019" w:firstLine="451"/>
        <w:spacing w:after="0" w:line="278" w:lineRule="auto"/>
        <w:rPr>
          <w:sz w:val="20"/>
          <w:szCs w:val="20"/>
          <w:color w:val="auto"/>
        </w:rPr>
      </w:pPr>
      <w:r>
        <w:rPr>
          <w:rFonts w:ascii="Courier New" w:cs="Courier New" w:eastAsia="Courier New" w:hAnsi="Courier New"/>
          <w:sz w:val="14"/>
          <w:szCs w:val="14"/>
          <w:color w:val="auto"/>
        </w:rPr>
        <w:t>Certain Definitions. For purposes of the following discussion, the following definitions are applicable (Section 101 of the Senior Debt Indenture).</w:t>
      </w:r>
    </w:p>
    <w:p>
      <w:pPr>
        <w:spacing w:after="0" w:line="15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"Net Tangible Assets" means the total amount of assets appearing on a consolidated balance sheet of the Company and its Subsidiaries less, without duplication: (a) total current liabilities (excluding current maturities of long-term debt and preferred stock); (b) all reserves for depreciation and other asset valuation reserves but excluding reserves for deferred federal and state income taxes; (c) all intangible assets such as goodwill, trademarks, trade names, patents and unamortized debt discount and expense carried as an asset; and (d) all appropriate adjustments on account of minority interests of other Persons holding common stock in any Subsidiary.</w:t>
      </w:r>
    </w:p>
    <w:p>
      <w:pPr>
        <w:spacing w:after="0" w:line="179"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"Person" means any individual, corporation, partnership, joint venture, trust, unincorporated organization or government or any agency or political subdivision thereof.</w:t>
      </w:r>
    </w:p>
    <w:p>
      <w:pPr>
        <w:spacing w:after="0" w:line="175"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"Subsidiary" means a corporation more than 50% of the outstanding stock of which is owned, directly or indirectly, by the Company or by one or more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APPLICABLE SOLELY TO SUBORDINATED DEBT SECURITIES</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Subordination. The Subordinated Debt Securities will be subordinate and junior in right of payment, to the extent set forth in the Subordinated Debt Indenture, to all Senior Indebtedness (as defined below) of the Company. If the Company should default in the payment of any principal of or premium or interest on any Senior Indebtedness when the same become due and payable, whether at maturity or a date fixed for prepayment or by declaration of acceleration or otherwise, then, upon written notice of such default to the Company by the holders of such Senior Indebtedness or any trustee therefor and subject to certain rights of the Company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capital stock of the Company (or cash in lieu of fractional shares thereof) pursuant to any conversion right of the Subordinated Debt Securities or otherwise made in capital stock of the Company. (Sections 1601, 1604 and 1605 of the Subordinated Debt Indenture)</w:t>
      </w:r>
    </w:p>
    <w:p>
      <w:pPr>
        <w:spacing w:after="0" w:line="35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"Senior Indebtedness" is defined in Section 101 of the Subordinated Debt Indenture as Indebtedness (as defined below) of the Company outstanding at any time except (a) any Indebtedness as to which, by the terms of the instrument creating or evidencing the same, it is provided that such Indebtedness is not senior in right of payment to the Subordinated Debt Securities, (b) the Subordinated Debt Securities, (c) any Indebtedness of the Company to a wholly-owned Subsidiary of the Company, (d) interest accruing after the filing of a petition initiating certain bankruptcy or insolvency proceedings unless such interest is an allowed claim enforceable against the Company in a proceeding under federal or state bankruptcy laws, (e) obligations under performance guarantees, support agreements and other agreements in the nature thereof relating to the obligations of any Subsidiary of the Company, and (f) trade accounts payable. "Indebtedness" is defined in Section 101 of the Subordinated Debt Indenture as, with respect to any Person, (a) (i) the principal of and premium and interest,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w:t>
      </w:r>
    </w:p>
    <w:p>
      <w:pPr>
        <w:sectPr>
          <w:pgSz w:w="11900" w:h="16838" w:orient="portrait"/>
          <w:cols w:equalWidth="0" w:num="1">
            <w:col w:w="10219"/>
          </w:cols>
          <w:pgMar w:left="240" w:top="291" w:right="1440" w:bottom="1440" w:gutter="0" w:footer="0" w:header="0"/>
        </w:sectPr>
      </w:pP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1"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Subordinated Debt Indenture or is thereafter created, assumed or incurred, (ii) the principal of and premium and interest, if any, on indebtedness for money borrowed, incurred, assumed or guaranteed by such Person in connection with the acquisition by it or any of its subsidiaries of any other business, properties or other assets and (iii) lease obligations which such Person capitalizes in accordance with Statement of Financial Accounting Standards No. 13 promulgated by the Financial Accounting Standards Board or such other generally accepted accounting principles as may be from time to time in effect, (b) any other indebtedness of such Person, including any indebtedness representing the balance deferred and unpaid of the purchase price of any property or interest therein,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 (c) any amendments, modifications, refundings, renewals or extensions of any indebtedness or obligation described as Indebtedness in clause (a) or (b) above.</w:t>
      </w:r>
    </w:p>
    <w:p>
      <w:pPr>
        <w:spacing w:after="0" w:line="184"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If (i) without the consent of the Company a court shall enter (A) an order for relief with respect to the Company under the United States federal bankruptcy laws, (B) a judgment, order or decree adjudging the Company a bankrupt or insolvent, or (C) an order for relief for reorganization, arrangement, adjustment or</w:t>
      </w:r>
    </w:p>
    <w:p>
      <w:pPr>
        <w:spacing w:after="0" w:line="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composition of or in respect of the Company under the United States federal bankruptcy laws or state insolvency laws or (ii) the Company shall institute proceedings for the entry of an order for relief with respect to the Company under the United States federal bankruptcy laws or for an adjudication of insolvency, or shall consent to the institution of bankruptcy or insolvency proceedings against it, or shall file a petition seeking, or seek or consent to reorganization, arrangement, composition or similar relief under any applicable law, or shall consent to the filing of such petition or to the appointment of a receiver, custodian, liquidator, assignee, trustee, sequestrator or similar official in respect of the Company or of substantially all of its property, or the Company shall make a general assignment for the benefit of creditors, then all Senior Indebtedness (including any interest thereon accruing after the commencement of any such proceedings) will first be paid in full before any payment or distribution, whether in cash, securities or other property, is made on account of the principal of, premium, if any, or interest, if any, on the Subordinated Debt Securities. In such event, any payment or distribution on account of the principal of, premium, if any, or interest, if any, on the Subordinated Debt Securities,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the Subordinated Debt Securities will be paid or delivered directly to the holders of Senior Indebtedness in accordance with the priorities then existing among such holders until all Senior Indebtedness (including any interest thereon accruing after the commencement of any such proceedings) has been paid in full. If any payment or distribution on account of the principal of, premium, if any, or interest, if any, on the Subordinated Debt Securities of any character,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any such proceeding, after payment in full of all sums owing with respect to Senior Indebtedness, the holders of Subordinated Debt Securities, together with the holders of any obligations of the Company ranking on a parity with the Subordinated Debt Securities, will be entitled to be repaid from the remaining assets of the Company the amounts at that time due and owing on account of unpaid principal of or any premium or interest on the Subordinated Debt Securities and such other obligations before any payment or other distribution, whether in cash, property or otherwise, shall</w:t>
      </w:r>
    </w:p>
    <w:p>
      <w:pPr>
        <w:sectPr>
          <w:pgSz w:w="11900" w:h="16838" w:orient="portrait"/>
          <w:cols w:equalWidth="0" w:num="1">
            <w:col w:w="10219"/>
          </w:cols>
          <w:pgMar w:left="240" w:top="291" w:right="1440" w:bottom="1440" w:gutter="0" w:footer="0" w:header="0"/>
        </w:sectPr>
      </w:pPr>
    </w:p>
    <w:p>
      <w:pPr>
        <w:spacing w:after="0" w:line="20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1" w:right="1440" w:bottom="1440" w:gutter="0" w:footer="0" w:header="0"/>
          <w:type w:val="continuous"/>
        </w:sectPr>
      </w:pPr>
    </w:p>
    <w:bookmarkStart w:id="14" w:name="page15"/>
    <w:bookmarkEnd w:id="14"/>
    <w:p>
      <w:pPr>
        <w:ind w:left="268"/>
        <w:spacing w:after="0"/>
        <w:rPr>
          <w:sz w:val="20"/>
          <w:szCs w:val="20"/>
          <w:color w:val="auto"/>
        </w:rPr>
      </w:pPr>
      <w:r>
        <w:rPr>
          <w:rFonts w:ascii="Courier New" w:cs="Courier New" w:eastAsia="Courier New" w:hAnsi="Courier New"/>
          <w:sz w:val="15"/>
          <w:szCs w:val="15"/>
          <w:color w:val="auto"/>
        </w:rPr>
        <w:t>15</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be made on account of any capital stock or obligations of the Company ranking junior to the Subordinated Debt Securities and such other obligations. (Section 1601 of the Subordinated Debt Indenture)</w:t>
      </w:r>
    </w:p>
    <w:p>
      <w:pPr>
        <w:spacing w:after="0" w:line="175"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Prospectus Supplement respecting any series of Subordinated Debt Securities will set forth any subordination provisions applicable to such series in addition to or different from those described above.</w:t>
      </w:r>
    </w:p>
    <w:p>
      <w:pPr>
        <w:spacing w:after="0" w:line="349"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By reason of such subordination, in the event of liquidation, bankruptcy, reorganization, insolvency receivorship or similar proceeding involving the Company or an assignment for the benefit of creditors of the Company or any of its Subsidiaries or a marshalling of assets or liabilities of the Company and its Subsidiaries, holders of Senior Indebtedness and holders of other obligations of the Company that are not subordinated to Senior Indebtedness may receive more, ratably, than holders of the Subordinated Debt Securities. Such subordination will not prevent the occurrence of any Default or Event of Default or limit the rights of the Trustee or any Holder, subject to the other provisions of the Indenture to pursue any other rights, any other rights or remedies with respect to acceleration in respect of the Subordinated Debt Securities.</w:t>
      </w:r>
    </w:p>
    <w:p>
      <w:pPr>
        <w:spacing w:after="0" w:line="200" w:lineRule="exact"/>
        <w:rPr>
          <w:sz w:val="20"/>
          <w:szCs w:val="20"/>
          <w:color w:val="auto"/>
        </w:rPr>
      </w:pPr>
    </w:p>
    <w:p>
      <w:pPr>
        <w:spacing w:after="0" w:line="328"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 Subordinated Debt Securities unless otherwise provided in the Prospectus Supplement for such Debt Securities.</w:t>
      </w:r>
    </w:p>
    <w:p>
      <w:pPr>
        <w:spacing w:after="0" w:line="351"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holder of any convertible Subordinated Debt Securities will have the right exercisable at any time prior to maturity, unless previously redeemed or otherwise purchased by the Company, to convert such Subordinated Debt Securities into shares of Common Stock at the conversion price or conversion rate set forth in the Prospectus Supplement, subject to adjustment. (Section 1502 of the Subordinated Debt Indenture) The holder of convertible Subordinated Debt Securities may convert any portion thereof which is $1,000 in principal amount or any integral multiple thereof. (Section 1502 of the Subordinated Debt Indenture)</w:t>
      </w:r>
    </w:p>
    <w:p>
      <w:pPr>
        <w:spacing w:after="0" w:line="352" w:lineRule="exact"/>
        <w:rPr>
          <w:sz w:val="20"/>
          <w:szCs w:val="20"/>
          <w:color w:val="auto"/>
        </w:rPr>
      </w:pPr>
    </w:p>
    <w:p>
      <w:pPr>
        <w:ind w:left="8" w:right="3019" w:firstLine="451"/>
        <w:spacing w:after="0" w:line="263" w:lineRule="auto"/>
        <w:rPr>
          <w:sz w:val="20"/>
          <w:szCs w:val="20"/>
          <w:color w:val="auto"/>
        </w:rPr>
      </w:pPr>
      <w:r>
        <w:rPr>
          <w:rFonts w:ascii="Courier New" w:cs="Courier New" w:eastAsia="Courier New" w:hAnsi="Courier New"/>
          <w:sz w:val="14"/>
          <w:szCs w:val="14"/>
          <w:color w:val="auto"/>
        </w:rPr>
        <w:t>In certain events, the conversion price or conversion rate will be subject to adjustment as set forth in the Subordinated Debt Indenture. Such events include the issuance of shares of Common Stock of the Company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the Company's Subsidiaries) other than 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The Company has been advised by its counsel, Vinson</w:t>
      </w:r>
    </w:p>
    <w:p>
      <w:pPr>
        <w:spacing w:after="0" w:line="167" w:lineRule="exact"/>
        <w:rPr>
          <w:sz w:val="20"/>
          <w:szCs w:val="20"/>
          <w:color w:val="auto"/>
        </w:rPr>
      </w:pPr>
    </w:p>
    <w:p>
      <w:pPr>
        <w:ind w:left="8" w:right="3099" w:hanging="8"/>
        <w:spacing w:after="0" w:line="244" w:lineRule="auto"/>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Elkins L.L.P.,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352"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Fractional shares of Common Stock will not be issued upon conversion, but, in lieu thereof, the Company will pay a cash adjustment based on the then current market price for the Common Stock. (Section 1503 of the Subordinated Debt Indenture) Upon conversion, no adjustments will be made for accrued interest or dividends, and therefore convertible Subordinated Debt Securities surrendered for conversion between the record date for an interest payment and the interest payment date (except convertible Subordinated Debt Securities called for redemption on a redemption date during such period) must be accompanied by payment of an amount equal to the interest thereon which the registered holder is to receive. (Sections 1504 and 1502 of the Subordinated Debt Indenture)</w:t>
      </w:r>
    </w:p>
    <w:p>
      <w:pPr>
        <w:sectPr>
          <w:pgSz w:w="11900" w:h="16838" w:orient="portrait"/>
          <w:cols w:equalWidth="0" w:num="1">
            <w:col w:w="10227"/>
          </w:cols>
          <w:pgMar w:left="232" w:top="291" w:right="1440" w:bottom="1075" w:gutter="0" w:footer="0" w:header="0"/>
        </w:sectPr>
      </w:pPr>
    </w:p>
    <w:p>
      <w:pPr>
        <w:spacing w:after="0" w:line="18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291" w:right="1440" w:bottom="1075"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the case of any consolidation or merger of the Company (with certain exceptions) or any conveyance, transfer or lease of the properties and assets of the Company substantially as an entirety to any Person, each holder of convertible Subordinated Debt Securities, after the consolidation, merger, conveyance, transfer or lease, will have the right to convert such convertible Subordinated Debt Securities only into the kind and amount of securities, cash and other property which the holder would have been entitled to receive upon or in connection with such consolidation, merger, conveyance, transfer or lease, if the holder had held the Common Stock issuable upon conversion of such convertible Subordinated Debt Securities immediately prior to such consolidation, merger, conveyance, transfer or lease. (Section 1505 of the Subordinated Debt Indenture)</w:t>
      </w:r>
    </w:p>
    <w:p>
      <w:pPr>
        <w:spacing w:after="0" w:line="354"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DESCRIPTION OF CAPITAL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 is currently authorized to issue 300,000,000 shares of its Common Stock, par value $.01 per share, of which 138,343,184 shares were outstanding on September 30, 1996 and 10,000,000 shares of Preferred Stock, par value $.01 per share, none of which were outstanding on such date.</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Each holder of Common Stock is entitled to one vote per share held of record on each matter submitted to stockholders. Cumulative voting for the election of directors is not permitted, and the holders of a majority of shares voting for the election of directors can elect all members of the Board of Directors.</w:t>
      </w:r>
    </w:p>
    <w:p>
      <w:pPr>
        <w:spacing w:after="0" w:line="35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Subject to the rights of any holders of Preferred Stock, holders of record of shares of Common Stock are entitled to receive ratably dividends when and if declared by the Board of Directors out of funds legally available therefor. In the event of 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Holders of Common Stock have no conversion, redemption or preemptive rights. All outstanding shares of Common Stock are, and the Common Stock to be issued hereunder will be, validly issued, fully paid and nonassessable.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without stockholder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BUT UNISSUED SHARES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Authorized but unissued shares of Common Stock or Preferred Stock can be reserved for issuance by the Board of Directors from time to time without further stockholder action for proper corporate purposes, including stock dividends or stock splits, raising equity capital and structuring future corporate transactions, including acquisitions.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The transfer agent and registrar for the Common Stock is Boston EquiServe, Boston, Massachusetts.</w:t>
      </w:r>
    </w:p>
    <w:p>
      <w:pPr>
        <w:sectPr>
          <w:pgSz w:w="11900" w:h="16838" w:orient="portrait"/>
          <w:cols w:equalWidth="0" w:num="1">
            <w:col w:w="10219"/>
          </w:cols>
          <w:pgMar w:left="240" w:top="291" w:right="1440" w:bottom="1440" w:gutter="0" w:footer="0" w:header="0"/>
        </w:sectPr>
      </w:pP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1" w:right="1440" w:bottom="1440" w:gutter="0" w:footer="0" w:header="0"/>
          <w:type w:val="continuous"/>
        </w:sectPr>
      </w:pPr>
    </w:p>
    <w:bookmarkStart w:id="16" w:name="page17"/>
    <w:bookmarkEnd w:id="16"/>
    <w:p>
      <w:pPr>
        <w:ind w:left="268"/>
        <w:spacing w:after="0"/>
        <w:rPr>
          <w:sz w:val="20"/>
          <w:szCs w:val="20"/>
          <w:color w:val="auto"/>
        </w:rPr>
      </w:pPr>
      <w:r>
        <w:rPr>
          <w:rFonts w:ascii="Courier New" w:cs="Courier New" w:eastAsia="Courier New" w:hAnsi="Courier New"/>
          <w:sz w:val="15"/>
          <w:szCs w:val="15"/>
          <w:color w:val="auto"/>
        </w:rPr>
        <w:t>17</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DELAWARE ANTI-TAKEOVER LAW</w:t>
      </w:r>
    </w:p>
    <w:p>
      <w:pPr>
        <w:spacing w:after="0" w:line="351"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Section 203 of the DGCL ("Section 203") generally provides that a person who, together with affiliates and associates owns, or within three years did own, at least 15% but less than 85% of the outstanding voting stock of a corporation subject to the statute (an "Interested Stockholder") may not engage in certain business combinations with the corporation for a period of three years after the date on which the person became an Interested Stockholder unless</w:t>
      </w:r>
    </w:p>
    <w:p>
      <w:pPr>
        <w:spacing w:after="0" w:line="1" w:lineRule="exact"/>
        <w:rPr>
          <w:sz w:val="20"/>
          <w:szCs w:val="20"/>
          <w:color w:val="auto"/>
        </w:rPr>
      </w:pPr>
    </w:p>
    <w:p>
      <w:pPr>
        <w:ind w:left="8" w:right="3019" w:hanging="8"/>
        <w:spacing w:after="0" w:line="244" w:lineRule="auto"/>
        <w:tabs>
          <w:tab w:leader="none" w:pos="36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such date, the corporation's board of directors approved either the business combination or the transaction in which the stockholder became an Interested Stockholder or (ii) subsequent to such date, the business combination is approved by the corporation's board of directors and authorized at a stockholders' meeting by a vote of at least two-thirds of the corporation's outstanding voting stock not owned by the Interested Stockholder. Section 203 defines the term "business combination" to encompass a wide variety of transactions with or caused by an Interested Stockholder, including mergers, asset sales, and other transactions in which the Interested Stockholder receives or could receive a benefit on other than a pro rata basis with other stockholders.</w:t>
      </w:r>
    </w:p>
    <w:p>
      <w:pPr>
        <w:spacing w:after="0" w:line="200" w:lineRule="exact"/>
        <w:rPr>
          <w:sz w:val="20"/>
          <w:szCs w:val="20"/>
          <w:color w:val="auto"/>
        </w:rPr>
      </w:pPr>
    </w:p>
    <w:p>
      <w:pPr>
        <w:spacing w:after="0" w:line="327" w:lineRule="exact"/>
        <w:rPr>
          <w:sz w:val="20"/>
          <w:szCs w:val="20"/>
          <w:color w:val="auto"/>
        </w:rPr>
      </w:pPr>
    </w:p>
    <w:p>
      <w:pPr>
        <w:ind w:left="8" w:right="3019" w:firstLine="451"/>
        <w:spacing w:after="0" w:line="264" w:lineRule="auto"/>
        <w:rPr>
          <w:sz w:val="20"/>
          <w:szCs w:val="20"/>
          <w:color w:val="auto"/>
        </w:rPr>
      </w:pPr>
      <w:r>
        <w:rPr>
          <w:rFonts w:ascii="Courier New" w:cs="Courier New" w:eastAsia="Courier New" w:hAnsi="Courier New"/>
          <w:sz w:val="14"/>
          <w:szCs w:val="14"/>
          <w:color w:val="auto"/>
        </w:rPr>
        <w:t>The provisions of Section 203, combined with the Board's authority to issue Preferred Stock without further stockholder action, could delay or frustrate a change in control of the Company. The provisions also could discourage, impede or prevent a merger, tender offer or proxy contest, even if such event would be favorable to the interests of stockholders. The Company's stockholders, by adopting an amendment to the Restated Certificate of Incorporation, may elect not to be governed by Section 203 which election would be effective 12 months after such adoption. Neither the Company's Restated Certificate of Incorporation nor its Bylaws exclude the Company from the restrictions imposed by Section 203.</w:t>
      </w:r>
    </w:p>
    <w:p>
      <w:pPr>
        <w:spacing w:after="0" w:line="336"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PLAN OF DISTRIBUTION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left="8" w:right="3099" w:firstLine="451"/>
        <w:spacing w:after="0" w:line="243" w:lineRule="auto"/>
        <w:rPr>
          <w:sz w:val="20"/>
          <w:szCs w:val="20"/>
          <w:color w:val="auto"/>
        </w:rPr>
      </w:pPr>
      <w:r>
        <w:rPr>
          <w:rFonts w:ascii="Courier New" w:cs="Courier New" w:eastAsia="Courier New" w:hAnsi="Courier New"/>
          <w:sz w:val="15"/>
          <w:szCs w:val="15"/>
          <w:color w:val="auto"/>
        </w:rPr>
        <w:t>The Company may sell Securities to or through underwriters or dealers, and also may sell Securities directly to other purchasers or through agents.</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349" w:lineRule="exact"/>
        <w:rPr>
          <w:sz w:val="20"/>
          <w:szCs w:val="20"/>
          <w:color w:val="auto"/>
        </w:rPr>
      </w:pPr>
    </w:p>
    <w:p>
      <w:pPr>
        <w:ind w:left="8" w:right="3019" w:firstLine="451"/>
        <w:spacing w:after="0" w:line="264" w:lineRule="auto"/>
        <w:rPr>
          <w:sz w:val="20"/>
          <w:szCs w:val="20"/>
          <w:color w:val="auto"/>
        </w:rPr>
      </w:pPr>
      <w:r>
        <w:rPr>
          <w:rFonts w:ascii="Courier New" w:cs="Courier New" w:eastAsia="Courier New" w:hAnsi="Courier New"/>
          <w:sz w:val="14"/>
          <w:szCs w:val="14"/>
          <w:color w:val="auto"/>
        </w:rPr>
        <w:t>In connection with the sale of Securities, underwriters may receive compensation from the Company, or purchasers of Securities for whom they may act as agents in the form of discounts, concessions or commissions. Underwriters, dealers and agents that participate in the distribution of Securities may be deemed to be underwriters, and any discounts or commissions received by them from the Company or the Purchasers of Securities, as the case may be, and any profit on the resale of Securities by them may be deemed to be underwriting discounts and commissions under the Securities Act. Any such person who may be deemed to be an underwriter will be identified, and any such compensation received from the Company will be described, in the Prospectus Supplement.</w:t>
      </w:r>
    </w:p>
    <w:p>
      <w:pPr>
        <w:spacing w:after="0" w:line="336" w:lineRule="exact"/>
        <w:rPr>
          <w:sz w:val="20"/>
          <w:szCs w:val="20"/>
          <w:color w:val="auto"/>
        </w:rPr>
      </w:pPr>
    </w:p>
    <w:p>
      <w:pPr>
        <w:ind w:left="8" w:right="3199" w:firstLine="451"/>
        <w:spacing w:after="0" w:line="265" w:lineRule="auto"/>
        <w:rPr>
          <w:sz w:val="20"/>
          <w:szCs w:val="20"/>
          <w:color w:val="auto"/>
        </w:rPr>
      </w:pPr>
      <w:r>
        <w:rPr>
          <w:rFonts w:ascii="Courier New" w:cs="Courier New" w:eastAsia="Courier New" w:hAnsi="Courier New"/>
          <w:sz w:val="14"/>
          <w:szCs w:val="14"/>
          <w:color w:val="auto"/>
        </w:rPr>
        <w:t>Debt Securities, when first issued, will have no established trading market. Any underwriters or agents to or through whom Debt Securities are sold by the Company for public offering and sale may make a market in such Debt Securities, but such underwriters or agents will not be obligated to do so and may discontinue any market making at any time without notice. No assurance can be given as to the liquidity of the trading market for any Debt Securities.</w:t>
      </w:r>
    </w:p>
    <w:p>
      <w:pPr>
        <w:spacing w:after="0" w:line="163"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Under agreements which may be entered into by the Company, underwriters, dealers and agents who participate in the distribution of Securities may be entitled to indemnification by the Company against or contribution toward certain liabilities, including liabilities under the Securities Act.</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7"/>
          </w:cols>
          <w:pgMar w:left="232" w:top="291"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DELAYED DELIVERY ARRANGEMENT</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If so indicated in the Prospectus Supplement, the Company will authorize underwriters or other persons acting as the Company's agents to solicit offers by certain institutions to purchase Debt Securities from the Company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will be subject to the approval of the Company.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have any responsibility in respect of the validity or performance of such contracts.</w:t>
      </w:r>
    </w:p>
    <w:p>
      <w:pPr>
        <w:spacing w:after="0" w:line="168"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VALIDITY OF SECURITIES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validity of the Offered Securities, as well as certain tax matters in connection therewith, will be passed upon for the Company by Vinson &amp; Elkins L.L.P., Houston, Texas and will be passed upon for any agents, dealers or underwriters by counsel named in the applicable Prospectus Supplement.</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EXPERTS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consolidated financial statements of the Company and subsidiaries as of December 31, 1994 and 1995, and for each of the three years in the period ended December 31, 1995, which are included in the Company's Annual Report on Form 10-K for the year ended December 31, 1995, and the supplemental consolidated balance sheets of the Company as of December 31, 1994 and 1995, and the supplemental consolidated statements of operations, stockholders' equity, and cash flows for each of the years in the three-year period ended December 31, 1995, appearing in the Company's Current Report on Form 8-K/A filed July 1, 1996, and Current Report on Form 8-K filed November 12, 1996, incorporated by reference in this Prospectus, have been incorporated herein in reliance on the report of Coopers &amp; Lybrand L.L.P., independent accountants, given on the authority of that firm as experts in accounting and auditing.</w:t>
      </w:r>
    </w:p>
    <w:p>
      <w:pPr>
        <w:spacing w:after="0" w:line="18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consolidated financial statements of Sanifill, Inc. appearing in the Company's Current Report on Form 8-K dated September 18, 1996 and the financial statements of various companies acquired by Sanifill appearing in the Company's Current Report on Form 8-K dated September 12, 1996, and amended by its Form</w:t>
      </w:r>
    </w:p>
    <w:p>
      <w:pPr>
        <w:spacing w:after="0" w:line="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8-K/A (Amendment No. 1) filed November 14, 1996 and as amended by its Form 8-K/A (Amendment No. 2) filed November 15, 1996, incorporated by reference in this Prospectus have been audited by Arthur Andersen LLP, independent public accountants, as indicated in their reports with respect thereto, and are incorporated herein by reference in reliance upon the authority of such firm as experts in accounting and auditing in giving said reports.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consolidated financial statements of Western Waste Industries at June 30, 1995 and 1994, and for each of the three years in the period ended June 30, 1995, included in the Company's Current Report on Form 8-K dated January 9, 1996, have been audited by Ernst &amp; Young LLP, independent auditors, as set forth in their report thereon and included therein and incorporated herein by reference. Such consolidated financial statements are incorporated herein by reference in reliance upon such report given upon the authority of such firm as experts in accounting and auditing.</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1"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77"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5"/>
          <w:szCs w:val="15"/>
          <w:color w:val="auto"/>
        </w:rPr>
        <w:t>OTHER EXPENSES OF ISSUANCE AND DISTRIBUTION</w:t>
      </w:r>
    </w:p>
    <w:p>
      <w:pPr>
        <w:spacing w:after="0" w:line="351" w:lineRule="exact"/>
        <w:rPr>
          <w:sz w:val="20"/>
          <w:szCs w:val="20"/>
          <w:color w:val="auto"/>
        </w:rPr>
      </w:pPr>
    </w:p>
    <w:p>
      <w:pPr>
        <w:ind w:right="3960" w:firstLine="361"/>
        <w:spacing w:after="0" w:line="244" w:lineRule="auto"/>
        <w:rPr>
          <w:sz w:val="20"/>
          <w:szCs w:val="20"/>
          <w:color w:val="auto"/>
        </w:rPr>
      </w:pPr>
      <w:r>
        <w:rPr>
          <w:rFonts w:ascii="Courier New" w:cs="Courier New" w:eastAsia="Courier New" w:hAnsi="Courier New"/>
          <w:sz w:val="15"/>
          <w:szCs w:val="15"/>
          <w:color w:val="auto"/>
        </w:rPr>
        <w:t>The following table sets forth all expenses payable by the Company in connection with the issuance and distribution of the Securities, other than underwriting discounts and commissions. All the amounts shown are estimates, except the registration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60" w:type="dxa"/>
            <w:vAlign w:val="bottom"/>
          </w:tcPr>
          <w:p>
            <w:pPr>
              <w:jc w:val="right"/>
              <w:spacing w:after="0"/>
              <w:rPr>
                <w:sz w:val="20"/>
                <w:szCs w:val="20"/>
                <w:color w:val="auto"/>
              </w:rPr>
            </w:pPr>
            <w:r>
              <w:rPr>
                <w:rFonts w:ascii="Courier New" w:cs="Courier New" w:eastAsia="Courier New" w:hAnsi="Courier New"/>
                <w:sz w:val="15"/>
                <w:szCs w:val="15"/>
                <w:color w:val="auto"/>
                <w:w w:val="99"/>
              </w:rPr>
              <w:t>Registration fee  . . . . . . . . . . . . . . . . . . . . . . . . . . . . . . . . . . . . . . . . . . . . . .</w:t>
            </w:r>
          </w:p>
        </w:tc>
        <w:tc>
          <w:tcPr>
            <w:tcW w:w="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257,576</w:t>
            </w:r>
          </w:p>
        </w:tc>
      </w:tr>
      <w:tr>
        <w:trPr>
          <w:trHeight w:val="173"/>
        </w:trPr>
        <w:tc>
          <w:tcPr>
            <w:tcW w:w="9860" w:type="dxa"/>
            <w:vAlign w:val="bottom"/>
          </w:tcPr>
          <w:p>
            <w:pPr>
              <w:jc w:val="right"/>
              <w:spacing w:after="0"/>
              <w:rPr>
                <w:sz w:val="20"/>
                <w:szCs w:val="20"/>
                <w:color w:val="auto"/>
              </w:rPr>
            </w:pPr>
            <w:r>
              <w:rPr>
                <w:rFonts w:ascii="Courier New" w:cs="Courier New" w:eastAsia="Courier New" w:hAnsi="Courier New"/>
                <w:sz w:val="15"/>
                <w:szCs w:val="15"/>
                <w:color w:val="auto"/>
                <w:w w:val="99"/>
              </w:rPr>
              <w:t>Fees and expenses of accountants  . . . . . . . . . . . . . . . . . . . . . . . . . . . . . . . . . . . . . .</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r>
      <w:tr>
        <w:trPr>
          <w:trHeight w:val="173"/>
        </w:trPr>
        <w:tc>
          <w:tcPr>
            <w:tcW w:w="9860" w:type="dxa"/>
            <w:vAlign w:val="bottom"/>
          </w:tcPr>
          <w:p>
            <w:pPr>
              <w:jc w:val="right"/>
              <w:spacing w:after="0"/>
              <w:rPr>
                <w:sz w:val="20"/>
                <w:szCs w:val="20"/>
                <w:color w:val="auto"/>
              </w:rPr>
            </w:pPr>
            <w:r>
              <w:rPr>
                <w:rFonts w:ascii="Courier New" w:cs="Courier New" w:eastAsia="Courier New" w:hAnsi="Courier New"/>
                <w:sz w:val="15"/>
                <w:szCs w:val="15"/>
                <w:color w:val="auto"/>
                <w:w w:val="99"/>
              </w:rPr>
              <w:t>Fees and expenses of legal counsel  . . . . . . . . . . . . . . . . . . . . . . . . . . . . . . . . . . . . .</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75,000</w:t>
            </w:r>
          </w:p>
        </w:tc>
      </w:tr>
      <w:tr>
        <w:trPr>
          <w:trHeight w:val="173"/>
        </w:trPr>
        <w:tc>
          <w:tcPr>
            <w:tcW w:w="9860" w:type="dxa"/>
            <w:vAlign w:val="bottom"/>
          </w:tcPr>
          <w:p>
            <w:pPr>
              <w:jc w:val="right"/>
              <w:spacing w:after="0"/>
              <w:rPr>
                <w:sz w:val="20"/>
                <w:szCs w:val="20"/>
                <w:color w:val="auto"/>
              </w:rPr>
            </w:pPr>
            <w:r>
              <w:rPr>
                <w:rFonts w:ascii="Courier New" w:cs="Courier New" w:eastAsia="Courier New" w:hAnsi="Courier New"/>
                <w:sz w:val="15"/>
                <w:szCs w:val="15"/>
                <w:color w:val="auto"/>
                <w:w w:val="99"/>
              </w:rPr>
              <w:t>Fees and expenses of Trustee and counsel  . . . . . . . . . . . . . . . . . . . . . . . . . . . . . . . . . .</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3"/>
        </w:trPr>
        <w:tc>
          <w:tcPr>
            <w:tcW w:w="9860" w:type="dxa"/>
            <w:vAlign w:val="bottom"/>
          </w:tcPr>
          <w:p>
            <w:pPr>
              <w:jc w:val="right"/>
              <w:spacing w:after="0"/>
              <w:rPr>
                <w:sz w:val="20"/>
                <w:szCs w:val="20"/>
                <w:color w:val="auto"/>
              </w:rPr>
            </w:pPr>
            <w:r>
              <w:rPr>
                <w:rFonts w:ascii="Courier New" w:cs="Courier New" w:eastAsia="Courier New" w:hAnsi="Courier New"/>
                <w:sz w:val="15"/>
                <w:szCs w:val="15"/>
                <w:color w:val="auto"/>
                <w:w w:val="99"/>
              </w:rPr>
              <w:t>Fees of Rating Agencies . . . . . . . . . . . . . . . . . . . . . . . . . . . . . . . . . . . . . . . . . . .</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70,000</w:t>
            </w:r>
          </w:p>
        </w:tc>
      </w:tr>
      <w:tr>
        <w:trPr>
          <w:trHeight w:val="173"/>
        </w:trPr>
        <w:tc>
          <w:tcPr>
            <w:tcW w:w="9860" w:type="dxa"/>
            <w:vAlign w:val="bottom"/>
          </w:tcPr>
          <w:p>
            <w:pPr>
              <w:jc w:val="right"/>
              <w:spacing w:after="0"/>
              <w:rPr>
                <w:sz w:val="20"/>
                <w:szCs w:val="20"/>
                <w:color w:val="auto"/>
              </w:rPr>
            </w:pPr>
            <w:r>
              <w:rPr>
                <w:rFonts w:ascii="Courier New" w:cs="Courier New" w:eastAsia="Courier New" w:hAnsi="Courier New"/>
                <w:sz w:val="15"/>
                <w:szCs w:val="15"/>
                <w:color w:val="auto"/>
                <w:w w:val="99"/>
              </w:rPr>
              <w:t>Printing and engraving expenses . . . . . . . . . . . . . . . . . . . . . . . . . . . . . . . . . . . . . . .</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r>
      <w:tr>
        <w:trPr>
          <w:trHeight w:val="173"/>
        </w:trPr>
        <w:tc>
          <w:tcPr>
            <w:tcW w:w="9860" w:type="dxa"/>
            <w:vAlign w:val="bottom"/>
          </w:tcPr>
          <w:p>
            <w:pPr>
              <w:jc w:val="right"/>
              <w:spacing w:after="0"/>
              <w:rPr>
                <w:sz w:val="20"/>
                <w:szCs w:val="20"/>
                <w:color w:val="auto"/>
              </w:rPr>
            </w:pPr>
            <w:r>
              <w:rPr>
                <w:rFonts w:ascii="Courier New" w:cs="Courier New" w:eastAsia="Courier New" w:hAnsi="Courier New"/>
                <w:sz w:val="15"/>
                <w:szCs w:val="15"/>
                <w:color w:val="auto"/>
                <w:w w:val="99"/>
              </w:rPr>
              <w:t>Blue Sky fee and expenses (including counsel) . . . . . . . . . . . . . . . . . . . . . . . . . . . . . . . .</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73"/>
        </w:trPr>
        <w:tc>
          <w:tcPr>
            <w:tcW w:w="9860" w:type="dxa"/>
            <w:vAlign w:val="bottom"/>
          </w:tcPr>
          <w:p>
            <w:pPr>
              <w:jc w:val="right"/>
              <w:spacing w:after="0"/>
              <w:rPr>
                <w:sz w:val="20"/>
                <w:szCs w:val="20"/>
                <w:color w:val="auto"/>
              </w:rPr>
            </w:pPr>
            <w:r>
              <w:rPr>
                <w:rFonts w:ascii="Courier New" w:cs="Courier New" w:eastAsia="Courier New" w:hAnsi="Courier New"/>
                <w:sz w:val="15"/>
                <w:szCs w:val="15"/>
                <w:color w:val="auto"/>
                <w:w w:val="99"/>
              </w:rPr>
              <w:t>Miscellaneous . . . . . . . . . . . . . . . . . . . . . . . . . . . . . . . . . . . . . . . . . . . . . . . .</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r>
        <w:trPr>
          <w:trHeight w:val="173"/>
        </w:trPr>
        <w:tc>
          <w:tcPr>
            <w:tcW w:w="98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9860" w:type="dxa"/>
            <w:vAlign w:val="bottom"/>
          </w:tcPr>
          <w:p>
            <w:pPr>
              <w:jc w:val="right"/>
              <w:spacing w:after="0"/>
              <w:rPr>
                <w:sz w:val="20"/>
                <w:szCs w:val="20"/>
                <w:color w:val="auto"/>
              </w:rPr>
            </w:pPr>
            <w:r>
              <w:rPr>
                <w:rFonts w:ascii="Courier New" w:cs="Courier New" w:eastAsia="Courier New" w:hAnsi="Courier New"/>
                <w:sz w:val="15"/>
                <w:szCs w:val="15"/>
                <w:color w:val="auto"/>
              </w:rPr>
              <w:t>Total   . . . . . . . . . . . . . . . . . . . . . . . . . . . . . . . . . . . . . . . . . . . . . . . . .</w:t>
            </w:r>
          </w:p>
        </w:tc>
        <w:tc>
          <w:tcPr>
            <w:tcW w:w="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777,576</w:t>
            </w:r>
          </w:p>
        </w:tc>
      </w:tr>
      <w:tr>
        <w:trPr>
          <w:trHeight w:val="173"/>
        </w:trPr>
        <w:tc>
          <w:tcPr>
            <w:tcW w:w="98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78" w:lineRule="exact"/>
        <w:rPr>
          <w:sz w:val="20"/>
          <w:szCs w:val="20"/>
          <w:color w:val="auto"/>
        </w:rPr>
      </w:pPr>
    </w:p>
    <w:p>
      <w:pPr>
        <w:ind w:right="3780" w:firstLine="361"/>
        <w:spacing w:after="0" w:line="244" w:lineRule="auto"/>
        <w:rPr>
          <w:sz w:val="20"/>
          <w:szCs w:val="20"/>
          <w:color w:val="auto"/>
        </w:rPr>
      </w:pPr>
      <w:r>
        <w:rPr>
          <w:rFonts w:ascii="Courier New" w:cs="Courier New" w:eastAsia="Courier New" w:hAnsi="Courier New"/>
          <w:sz w:val="15"/>
          <w:szCs w:val="15"/>
          <w:color w:val="auto"/>
        </w:rPr>
        <w:t>Under Delaware law, a corporation may include provisions in its certificate of incorporation that will relieve its directors of monetary liability for breaches of their fiduciary duty to the corporation, except under certain circumstances, including a breach of the directors's duty of loyalty, acts or omissions of the director not in good faith or which involve intentional misconduct or a knowing violation of law, the approval of an improper payment of a dividend or an improper purchase by the corporation of stock or any transaction from which the director derived an improper personal benefit. The Company's Restated Certificate of Incorporation provides that the Company's directors are not liable to the Company or its stockholders for monetary damages for breach of their fiduciary duty, subject to the described exceptions specified by Delaware law.</w:t>
      </w:r>
    </w:p>
    <w:p>
      <w:pPr>
        <w:spacing w:after="0" w:line="181" w:lineRule="exact"/>
        <w:rPr>
          <w:sz w:val="20"/>
          <w:szCs w:val="20"/>
          <w:color w:val="auto"/>
        </w:rPr>
      </w:pPr>
    </w:p>
    <w:p>
      <w:pPr>
        <w:ind w:right="3780" w:firstLine="361"/>
        <w:spacing w:after="0" w:line="244" w:lineRule="auto"/>
        <w:rPr>
          <w:sz w:val="20"/>
          <w:szCs w:val="20"/>
          <w:color w:val="auto"/>
        </w:rPr>
      </w:pPr>
      <w:r>
        <w:rPr>
          <w:rFonts w:ascii="Courier New" w:cs="Courier New" w:eastAsia="Courier New" w:hAnsi="Courier New"/>
          <w:sz w:val="15"/>
          <w:szCs w:val="15"/>
          <w:color w:val="auto"/>
        </w:rPr>
        <w:t>Section 145 of the Delaware General Corporation Law grants to the Company the power to indemnify each officer and director of the Company against liabilities and expenses incurred by reason of the fact that he is or was an officer or director of the Company if he acted in good faith and in a manner he reasonably believed to be in or not opposed to the best interests of the Company and, with respect to any criminal action or proceeding, had no reasonable cause to believe his conduct was unlawful. The By-laws of the Company provide for indemnification of each officer and director of the Company to the fullest extent permitted by Delaware law.</w:t>
      </w:r>
    </w:p>
    <w:p>
      <w:pPr>
        <w:spacing w:after="0" w:line="179" w:lineRule="exact"/>
        <w:rPr>
          <w:sz w:val="20"/>
          <w:szCs w:val="20"/>
          <w:color w:val="auto"/>
        </w:rPr>
      </w:pPr>
    </w:p>
    <w:p>
      <w:pPr>
        <w:ind w:right="3780" w:firstLine="361"/>
        <w:spacing w:after="0" w:line="244" w:lineRule="auto"/>
        <w:rPr>
          <w:sz w:val="20"/>
          <w:szCs w:val="20"/>
          <w:color w:val="auto"/>
        </w:rPr>
      </w:pPr>
      <w:r>
        <w:rPr>
          <w:rFonts w:ascii="Courier New" w:cs="Courier New" w:eastAsia="Courier New" w:hAnsi="Courier New"/>
          <w:sz w:val="15"/>
          <w:szCs w:val="15"/>
          <w:color w:val="auto"/>
        </w:rPr>
        <w:t>Section 145 of the Delaware General Corporation Law also empowers the Company to purchase and maintain insurance on behalf of any person who is or was an officer or director of the Company against liability asserted against or incurred by him in any such capacity, whether or not the Company would have the power to indemnify such officer or director against such liability under the provisions of Section 145. The Company has purchased and maintains a directors' and officers' liability policy for such purposes.</w:t>
      </w:r>
    </w:p>
    <w:p>
      <w:pPr>
        <w:spacing w:after="0" w:line="178" w:lineRule="exact"/>
        <w:rPr>
          <w:sz w:val="20"/>
          <w:szCs w:val="20"/>
          <w:color w:val="auto"/>
        </w:rPr>
      </w:pPr>
    </w:p>
    <w:p>
      <w:pPr>
        <w:ind w:right="3780" w:firstLine="361"/>
        <w:spacing w:after="0" w:line="244" w:lineRule="auto"/>
        <w:rPr>
          <w:sz w:val="20"/>
          <w:szCs w:val="20"/>
          <w:color w:val="auto"/>
        </w:rPr>
      </w:pPr>
      <w:r>
        <w:rPr>
          <w:rFonts w:ascii="Courier New" w:cs="Courier New" w:eastAsia="Courier New" w:hAnsi="Courier New"/>
          <w:sz w:val="15"/>
          <w:szCs w:val="15"/>
          <w:color w:val="auto"/>
        </w:rPr>
        <w:t>The Company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Company), suit or proceeding (whether formal or informal, or civil, criminal, administrative, legislative, arbitrative or investigative) in respect of which such Indemnitee is, was or at any time becomes, or is threatened to be</w:t>
      </w:r>
    </w:p>
    <w:p>
      <w:pPr>
        <w:sectPr>
          <w:pgSz w:w="11900" w:h="16838" w:orient="portrait"/>
          <w:cols w:equalWidth="0" w:num="1">
            <w:col w:w="10900"/>
          </w:cols>
          <w:pgMar w:left="240" w:top="291"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900"/>
          </w:cols>
          <w:pgMar w:left="240" w:top="291" w:right="759"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made, a party, witness, subject or target, by reason of the fact that such Indemnitee is or was a director, officer, agent or fiduciary of the Company or serving at the request of the Company as a director, officer, employee, fiduciary or representative or another enterprise. Such Indemnification Agreements also provide that the Company,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91"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5"/>
          <w:szCs w:val="15"/>
          <w:color w:val="auto"/>
        </w:rPr>
        <w:t>EXHIBITS.</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following documents are filed as exhibits to this Registration Statement, including those exhibits incorporated herein by reference to a prior filing of the Company under the Securities Act or the Exchange Act as indicated in parentheses: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9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920" w:type="dxa"/>
            <w:vAlign w:val="bottom"/>
            <w:gridSpan w:val="2"/>
          </w:tcPr>
          <w:p>
            <w:pPr>
              <w:ind w:left="1180"/>
              <w:spacing w:after="0"/>
              <w:rPr>
                <w:sz w:val="20"/>
                <w:szCs w:val="20"/>
                <w:color w:val="auto"/>
              </w:rPr>
            </w:pPr>
            <w:r>
              <w:rPr>
                <w:rFonts w:ascii="Courier New" w:cs="Courier New" w:eastAsia="Courier New" w:hAnsi="Courier New"/>
                <w:sz w:val="15"/>
                <w:szCs w:val="15"/>
                <w:color w:val="auto"/>
              </w:rPr>
              <w:t>EXHIBITS</w:t>
            </w:r>
          </w:p>
        </w:tc>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920" w:type="dxa"/>
            <w:vAlign w:val="bottom"/>
            <w:gridSpan w:val="2"/>
          </w:tcPr>
          <w:p>
            <w:pPr>
              <w:ind w:left="1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47"/>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1.1*</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rPr>
              <w:t>Form of</w:t>
            </w:r>
          </w:p>
        </w:tc>
        <w:tc>
          <w:tcPr>
            <w:tcW w:w="4360" w:type="dxa"/>
            <w:vAlign w:val="bottom"/>
            <w:gridSpan w:val="5"/>
          </w:tcPr>
          <w:p>
            <w:pPr>
              <w:spacing w:after="0"/>
              <w:rPr>
                <w:sz w:val="20"/>
                <w:szCs w:val="20"/>
                <w:color w:val="auto"/>
              </w:rPr>
            </w:pPr>
            <w:r>
              <w:rPr>
                <w:rFonts w:ascii="Courier New" w:cs="Courier New" w:eastAsia="Courier New" w:hAnsi="Courier New"/>
                <w:sz w:val="15"/>
                <w:szCs w:val="15"/>
                <w:color w:val="auto"/>
              </w:rPr>
              <w:t>Underwriting Agreement (Debt Securities).</w:t>
            </w: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47"/>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1.2*</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rPr>
              <w:t>Form of</w:t>
            </w:r>
          </w:p>
        </w:tc>
        <w:tc>
          <w:tcPr>
            <w:tcW w:w="4360" w:type="dxa"/>
            <w:vAlign w:val="bottom"/>
            <w:gridSpan w:val="5"/>
          </w:tcPr>
          <w:p>
            <w:pPr>
              <w:spacing w:after="0"/>
              <w:rPr>
                <w:sz w:val="20"/>
                <w:szCs w:val="20"/>
                <w:color w:val="auto"/>
              </w:rPr>
            </w:pPr>
            <w:r>
              <w:rPr>
                <w:rFonts w:ascii="Courier New" w:cs="Courier New" w:eastAsia="Courier New" w:hAnsi="Courier New"/>
                <w:sz w:val="15"/>
                <w:szCs w:val="15"/>
                <w:color w:val="auto"/>
              </w:rPr>
              <w:t>Underwriting Agreement (Common Stock).</w:t>
            </w: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47"/>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4.1**</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rPr>
              <w:t>Form of</w:t>
            </w:r>
          </w:p>
        </w:tc>
        <w:tc>
          <w:tcPr>
            <w:tcW w:w="4360" w:type="dxa"/>
            <w:vAlign w:val="bottom"/>
            <w:gridSpan w:val="5"/>
          </w:tcPr>
          <w:p>
            <w:pPr>
              <w:spacing w:after="0"/>
              <w:rPr>
                <w:sz w:val="20"/>
                <w:szCs w:val="20"/>
                <w:color w:val="auto"/>
              </w:rPr>
            </w:pPr>
            <w:r>
              <w:rPr>
                <w:rFonts w:ascii="Courier New" w:cs="Courier New" w:eastAsia="Courier New" w:hAnsi="Courier New"/>
                <w:sz w:val="15"/>
                <w:szCs w:val="15"/>
                <w:color w:val="auto"/>
              </w:rPr>
              <w:t>Indenture for Senior Debt Securities.</w:t>
            </w: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47"/>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4.2**</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rPr>
              <w:t>Form of</w:t>
            </w:r>
          </w:p>
        </w:tc>
        <w:tc>
          <w:tcPr>
            <w:tcW w:w="4360" w:type="dxa"/>
            <w:vAlign w:val="bottom"/>
            <w:gridSpan w:val="5"/>
          </w:tcPr>
          <w:p>
            <w:pPr>
              <w:spacing w:after="0"/>
              <w:rPr>
                <w:sz w:val="20"/>
                <w:szCs w:val="20"/>
                <w:color w:val="auto"/>
              </w:rPr>
            </w:pPr>
            <w:r>
              <w:rPr>
                <w:rFonts w:ascii="Courier New" w:cs="Courier New" w:eastAsia="Courier New" w:hAnsi="Courier New"/>
                <w:sz w:val="15"/>
                <w:szCs w:val="15"/>
                <w:color w:val="auto"/>
              </w:rPr>
              <w:t>Indenture for Subordinated Debt Securities.</w:t>
            </w: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47"/>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4.3***</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rPr>
              <w:t>Form of</w:t>
            </w:r>
          </w:p>
        </w:tc>
        <w:tc>
          <w:tcPr>
            <w:tcW w:w="1440" w:type="dxa"/>
            <w:vAlign w:val="bottom"/>
            <w:gridSpan w:val="3"/>
          </w:tcPr>
          <w:p>
            <w:pPr>
              <w:spacing w:after="0"/>
              <w:rPr>
                <w:sz w:val="20"/>
                <w:szCs w:val="20"/>
                <w:color w:val="auto"/>
              </w:rPr>
            </w:pPr>
            <w:r>
              <w:rPr>
                <w:rFonts w:ascii="Courier New" w:cs="Courier New" w:eastAsia="Courier New" w:hAnsi="Courier New"/>
                <w:sz w:val="15"/>
                <w:szCs w:val="15"/>
                <w:color w:val="auto"/>
                <w:w w:val="98"/>
              </w:rPr>
              <w:t>Debt Securities.</w:t>
            </w:r>
          </w:p>
        </w:tc>
        <w:tc>
          <w:tcPr>
            <w:tcW w:w="1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47"/>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4.4</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w w:val="97"/>
              </w:rPr>
              <w:t>Restated</w:t>
            </w:r>
          </w:p>
        </w:tc>
        <w:tc>
          <w:tcPr>
            <w:tcW w:w="1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Certificate of</w:t>
            </w: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w w:val="98"/>
              </w:rPr>
              <w:t>Incorporation of</w:t>
            </w:r>
          </w:p>
        </w:tc>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the Company</w:t>
            </w:r>
          </w:p>
        </w:tc>
        <w:tc>
          <w:tcPr>
            <w:tcW w:w="2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(incorporated by  reference to</w:t>
            </w:r>
          </w:p>
        </w:tc>
      </w:tr>
      <w:tr>
        <w:trPr>
          <w:trHeight w:val="173"/>
        </w:trPr>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rPr>
              <w:t>Exhibit</w:t>
            </w:r>
          </w:p>
        </w:tc>
        <w:tc>
          <w:tcPr>
            <w:tcW w:w="6300" w:type="dxa"/>
            <w:vAlign w:val="bottom"/>
            <w:gridSpan w:val="7"/>
          </w:tcPr>
          <w:p>
            <w:pPr>
              <w:spacing w:after="0"/>
              <w:rPr>
                <w:sz w:val="20"/>
                <w:szCs w:val="20"/>
                <w:color w:val="auto"/>
              </w:rPr>
            </w:pPr>
            <w:r>
              <w:rPr>
                <w:rFonts w:ascii="Courier New" w:cs="Courier New" w:eastAsia="Courier New" w:hAnsi="Courier New"/>
                <w:sz w:val="15"/>
                <w:szCs w:val="15"/>
                <w:color w:val="auto"/>
              </w:rPr>
              <w:t>3.1 to Post-Effective  Amendment No. 1 to the Company's Registration</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Statement</w:t>
            </w:r>
          </w:p>
        </w:tc>
      </w:tr>
      <w:tr>
        <w:trPr>
          <w:trHeight w:val="173"/>
        </w:trPr>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rPr>
              <w:t>on Form</w:t>
            </w:r>
          </w:p>
        </w:tc>
        <w:tc>
          <w:tcPr>
            <w:tcW w:w="3060" w:type="dxa"/>
            <w:vAlign w:val="bottom"/>
            <w:gridSpan w:val="4"/>
          </w:tcPr>
          <w:p>
            <w:pPr>
              <w:spacing w:after="0"/>
              <w:rPr>
                <w:sz w:val="20"/>
                <w:szCs w:val="20"/>
                <w:color w:val="auto"/>
              </w:rPr>
            </w:pPr>
            <w:r>
              <w:rPr>
                <w:rFonts w:ascii="Courier New" w:cs="Courier New" w:eastAsia="Courier New" w:hAnsi="Courier New"/>
                <w:sz w:val="15"/>
                <w:szCs w:val="15"/>
                <w:color w:val="auto"/>
              </w:rPr>
              <w:t>S-4 (File No. 33-60103)).</w:t>
            </w: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47"/>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4.5</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Amendment</w:t>
            </w:r>
          </w:p>
        </w:tc>
        <w:tc>
          <w:tcPr>
            <w:tcW w:w="13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to Restated</w:t>
            </w:r>
          </w:p>
        </w:tc>
        <w:tc>
          <w:tcPr>
            <w:tcW w:w="2920" w:type="dxa"/>
            <w:vAlign w:val="bottom"/>
            <w:gridSpan w:val="2"/>
          </w:tcPr>
          <w:p>
            <w:pPr>
              <w:spacing w:after="0"/>
              <w:rPr>
                <w:sz w:val="20"/>
                <w:szCs w:val="20"/>
                <w:color w:val="auto"/>
              </w:rPr>
            </w:pPr>
            <w:r>
              <w:rPr>
                <w:rFonts w:ascii="Courier New" w:cs="Courier New" w:eastAsia="Courier New" w:hAnsi="Courier New"/>
                <w:sz w:val="15"/>
                <w:szCs w:val="15"/>
                <w:color w:val="auto"/>
              </w:rPr>
              <w:t>Certificate of  Incorporation of</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the Company</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(incorporated by</w:t>
            </w:r>
          </w:p>
        </w:tc>
      </w:tr>
      <w:tr>
        <w:trPr>
          <w:trHeight w:val="173"/>
        </w:trPr>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reference</w:t>
            </w:r>
          </w:p>
        </w:tc>
        <w:tc>
          <w:tcPr>
            <w:tcW w:w="61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to Exhibit  3.1(a) to the Company's  Quarterly Report  on Form 10-Q</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for the</w:t>
            </w:r>
          </w:p>
        </w:tc>
      </w:tr>
      <w:tr>
        <w:trPr>
          <w:trHeight w:val="173"/>
        </w:trPr>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920" w:type="dxa"/>
            <w:vAlign w:val="bottom"/>
            <w:gridSpan w:val="5"/>
          </w:tcPr>
          <w:p>
            <w:pPr>
              <w:ind w:left="140"/>
              <w:spacing w:after="0"/>
              <w:rPr>
                <w:sz w:val="20"/>
                <w:szCs w:val="20"/>
                <w:color w:val="auto"/>
              </w:rPr>
            </w:pPr>
            <w:r>
              <w:rPr>
                <w:rFonts w:ascii="Courier New" w:cs="Courier New" w:eastAsia="Courier New" w:hAnsi="Courier New"/>
                <w:sz w:val="15"/>
                <w:szCs w:val="15"/>
                <w:color w:val="auto"/>
              </w:rPr>
              <w:t>three months ended March 31, 1996).</w:t>
            </w: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47"/>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4.6</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Conformed Copy</w:t>
            </w:r>
          </w:p>
        </w:tc>
        <w:tc>
          <w:tcPr>
            <w:tcW w:w="2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of  Restated Certificate</w:t>
            </w:r>
          </w:p>
        </w:tc>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of Incorporation  as amended</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of the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Company</w:t>
            </w:r>
          </w:p>
        </w:tc>
      </w:tr>
      <w:tr>
        <w:trPr>
          <w:trHeight w:val="173"/>
        </w:trPr>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(incorporated</w:t>
            </w:r>
          </w:p>
        </w:tc>
        <w:tc>
          <w:tcPr>
            <w:tcW w:w="6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by reference to Exhibit 3.1(b) to the Company's Quarterly Report on Form</w:t>
            </w:r>
          </w:p>
        </w:tc>
      </w:tr>
    </w:tbl>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10-Q for the three months ended March 31, 1996).</w:t>
      </w:r>
    </w:p>
    <w:p>
      <w:pPr>
        <w:sectPr>
          <w:pgSz w:w="11900" w:h="16838" w:orient="portrait"/>
          <w:cols w:equalWidth="0" w:num="1">
            <w:col w:w="10219"/>
          </w:cols>
          <w:pgMar w:left="240" w:top="291" w:right="1440" w:bottom="1440" w:gutter="0" w:footer="0" w:header="0"/>
        </w:sectPr>
      </w:pP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58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4.7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w w:val="96"/>
              </w:rPr>
              <w:t>Bylaws of</w:t>
            </w:r>
          </w:p>
        </w:tc>
      </w:tr>
      <w:tr>
        <w:trPr>
          <w:trHeight w:val="173"/>
        </w:trPr>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w w:val="96"/>
              </w:rPr>
              <w:t>Amendment</w:t>
            </w:r>
          </w:p>
        </w:tc>
      </w:tr>
      <w:tr>
        <w:trPr>
          <w:trHeight w:val="173"/>
        </w:trPr>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60103)).</w:t>
            </w:r>
          </w:p>
        </w:tc>
      </w:tr>
    </w:tbl>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399"/>
        <w:spacing w:after="0" w:line="243" w:lineRule="auto"/>
        <w:rPr>
          <w:sz w:val="20"/>
          <w:szCs w:val="20"/>
          <w:color w:val="auto"/>
        </w:rPr>
      </w:pPr>
      <w:r>
        <w:rPr>
          <w:rFonts w:ascii="Courier New" w:cs="Courier New" w:eastAsia="Courier New" w:hAnsi="Courier New"/>
          <w:sz w:val="15"/>
          <w:szCs w:val="15"/>
          <w:color w:val="auto"/>
        </w:rPr>
        <w:t>the Company (Incorporated by reference to Exhibit 3.2 to Post-Effective No. 1 to the Company's Registration Statement on Form S-4 (File No. 33-</w:t>
      </w:r>
    </w:p>
    <w:p>
      <w:pPr>
        <w:spacing w:after="0" w:line="348" w:lineRule="exact"/>
        <w:rPr>
          <w:sz w:val="20"/>
          <w:szCs w:val="20"/>
          <w:color w:val="auto"/>
        </w:rPr>
      </w:pPr>
    </w:p>
    <w:p>
      <w:pPr>
        <w:sectPr>
          <w:pgSz w:w="11900" w:h="16838" w:orient="portrait"/>
          <w:cols w:equalWidth="0" w:num="2">
            <w:col w:w="2780" w:space="180"/>
            <w:col w:w="7259"/>
          </w:cols>
          <w:pgMar w:left="240" w:top="291" w:right="1440" w:bottom="1440" w:gutter="0" w:footer="0" w:header="0"/>
          <w:type w:val="continuous"/>
        </w:sectPr>
      </w:pPr>
    </w:p>
    <w:tbl>
      <w:tblPr>
        <w:tblLayout w:type="fixed"/>
        <w:tblInd w:w="540" w:type="dxa"/>
        <w:tblCellMar>
          <w:top w:w="0" w:type="dxa"/>
          <w:left w:w="0" w:type="dxa"/>
          <w:bottom w:w="0" w:type="dxa"/>
          <w:right w:w="0" w:type="dxa"/>
        </w:tblCellMar>
      </w:tblPr>
      <w:tr>
        <w:trPr>
          <w:trHeight w:val="170"/>
        </w:trPr>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4.8</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980" w:type="dxa"/>
            <w:vAlign w:val="bottom"/>
          </w:tcPr>
          <w:p>
            <w:pPr>
              <w:ind w:left="140"/>
              <w:spacing w:after="0"/>
              <w:rPr>
                <w:sz w:val="20"/>
                <w:szCs w:val="20"/>
                <w:color w:val="auto"/>
              </w:rPr>
            </w:pPr>
            <w:r>
              <w:rPr>
                <w:rFonts w:ascii="Courier New" w:cs="Courier New" w:eastAsia="Courier New" w:hAnsi="Courier New"/>
                <w:sz w:val="15"/>
                <w:szCs w:val="15"/>
                <w:color w:val="auto"/>
                <w:w w:val="99"/>
              </w:rPr>
              <w:t>Specimen  Common Stock  Certificate (incorporated  by reference to  Exhibit 4.3  to the</w:t>
            </w:r>
          </w:p>
        </w:tc>
      </w:tr>
      <w:tr>
        <w:trPr>
          <w:trHeight w:val="17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980" w:type="dxa"/>
            <w:vAlign w:val="bottom"/>
          </w:tcPr>
          <w:p>
            <w:pPr>
              <w:ind w:left="140"/>
              <w:spacing w:after="0"/>
              <w:rPr>
                <w:sz w:val="20"/>
                <w:szCs w:val="20"/>
                <w:color w:val="auto"/>
              </w:rPr>
            </w:pPr>
            <w:r>
              <w:rPr>
                <w:rFonts w:ascii="Courier New" w:cs="Courier New" w:eastAsia="Courier New" w:hAnsi="Courier New"/>
                <w:sz w:val="15"/>
                <w:szCs w:val="15"/>
                <w:color w:val="auto"/>
              </w:rPr>
              <w:t>Company's Registration Statement on Form S-3 (File No. 33-76224)).</w:t>
            </w:r>
          </w:p>
        </w:tc>
      </w:tr>
      <w:tr>
        <w:trPr>
          <w:trHeight w:val="347"/>
        </w:trPr>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980" w:type="dxa"/>
            <w:vAlign w:val="bottom"/>
          </w:tcPr>
          <w:p>
            <w:pPr>
              <w:ind w:left="140"/>
              <w:spacing w:after="0"/>
              <w:rPr>
                <w:sz w:val="20"/>
                <w:szCs w:val="20"/>
                <w:color w:val="auto"/>
              </w:rPr>
            </w:pPr>
            <w:r>
              <w:rPr>
                <w:rFonts w:ascii="Courier New" w:cs="Courier New" w:eastAsia="Courier New" w:hAnsi="Courier New"/>
                <w:sz w:val="15"/>
                <w:szCs w:val="15"/>
                <w:color w:val="auto"/>
                <w:w w:val="99"/>
              </w:rPr>
              <w:t>Opinion  of Vinson  &amp;  Elkins  L.L.P.  as  to  the  legality of  the  Securities  being</w:t>
            </w:r>
          </w:p>
        </w:tc>
      </w:tr>
      <w:tr>
        <w:trPr>
          <w:trHeight w:val="17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980" w:type="dxa"/>
            <w:vAlign w:val="bottom"/>
          </w:tcPr>
          <w:p>
            <w:pPr>
              <w:ind w:left="140"/>
              <w:spacing w:after="0"/>
              <w:rPr>
                <w:sz w:val="20"/>
                <w:szCs w:val="20"/>
                <w:color w:val="auto"/>
              </w:rPr>
            </w:pPr>
            <w:r>
              <w:rPr>
                <w:rFonts w:ascii="Courier New" w:cs="Courier New" w:eastAsia="Courier New" w:hAnsi="Courier New"/>
                <w:sz w:val="15"/>
                <w:szCs w:val="15"/>
                <w:color w:val="auto"/>
              </w:rPr>
              <w:t>registered.</w:t>
            </w:r>
          </w:p>
        </w:tc>
      </w:tr>
      <w:tr>
        <w:trPr>
          <w:trHeight w:val="347"/>
        </w:trPr>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12.1**</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980" w:type="dxa"/>
            <w:vAlign w:val="bottom"/>
          </w:tcPr>
          <w:p>
            <w:pPr>
              <w:ind w:left="140"/>
              <w:spacing w:after="0"/>
              <w:rPr>
                <w:sz w:val="20"/>
                <w:szCs w:val="20"/>
                <w:color w:val="auto"/>
              </w:rPr>
            </w:pPr>
            <w:r>
              <w:rPr>
                <w:rFonts w:ascii="Courier New" w:cs="Courier New" w:eastAsia="Courier New" w:hAnsi="Courier New"/>
                <w:sz w:val="15"/>
                <w:szCs w:val="15"/>
                <w:color w:val="auto"/>
              </w:rPr>
              <w:t>Computation of ratios of earnings to fixed charges.</w:t>
            </w:r>
          </w:p>
        </w:tc>
      </w:tr>
      <w:tr>
        <w:trPr>
          <w:trHeight w:val="347"/>
        </w:trPr>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23.1****</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980" w:type="dxa"/>
            <w:vAlign w:val="bottom"/>
          </w:tcPr>
          <w:p>
            <w:pPr>
              <w:ind w:left="140"/>
              <w:spacing w:after="0"/>
              <w:rPr>
                <w:sz w:val="20"/>
                <w:szCs w:val="20"/>
                <w:color w:val="auto"/>
              </w:rPr>
            </w:pPr>
            <w:r>
              <w:rPr>
                <w:rFonts w:ascii="Courier New" w:cs="Courier New" w:eastAsia="Courier New" w:hAnsi="Courier New"/>
                <w:sz w:val="15"/>
                <w:szCs w:val="15"/>
                <w:color w:val="auto"/>
              </w:rPr>
              <w:t>Consent of Vinson &amp; Elkins L.L.P. (included in Exhibit 5.1).</w:t>
            </w:r>
          </w:p>
        </w:tc>
      </w:tr>
      <w:tr>
        <w:trPr>
          <w:trHeight w:val="347"/>
        </w:trPr>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23.2****</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980" w:type="dxa"/>
            <w:vAlign w:val="bottom"/>
          </w:tcPr>
          <w:p>
            <w:pPr>
              <w:ind w:left="140"/>
              <w:spacing w:after="0"/>
              <w:rPr>
                <w:sz w:val="20"/>
                <w:szCs w:val="20"/>
                <w:color w:val="auto"/>
              </w:rPr>
            </w:pPr>
            <w:r>
              <w:rPr>
                <w:rFonts w:ascii="Courier New" w:cs="Courier New" w:eastAsia="Courier New" w:hAnsi="Courier New"/>
                <w:sz w:val="15"/>
                <w:szCs w:val="15"/>
                <w:color w:val="auto"/>
              </w:rPr>
              <w:t>Consent of Coopers &amp; Lybrand L.L.P.</w:t>
            </w:r>
          </w:p>
        </w:tc>
      </w:tr>
      <w:tr>
        <w:trPr>
          <w:trHeight w:val="347"/>
        </w:trPr>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23.3****</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980" w:type="dxa"/>
            <w:vAlign w:val="bottom"/>
          </w:tcPr>
          <w:p>
            <w:pPr>
              <w:ind w:left="140"/>
              <w:spacing w:after="0"/>
              <w:rPr>
                <w:sz w:val="20"/>
                <w:szCs w:val="20"/>
                <w:color w:val="auto"/>
              </w:rPr>
            </w:pPr>
            <w:r>
              <w:rPr>
                <w:rFonts w:ascii="Courier New" w:cs="Courier New" w:eastAsia="Courier New" w:hAnsi="Courier New"/>
                <w:sz w:val="15"/>
                <w:szCs w:val="15"/>
                <w:color w:val="auto"/>
              </w:rPr>
              <w:t>Consent of Arthur Andersen LLP.</w:t>
            </w:r>
          </w:p>
        </w:tc>
      </w:tr>
      <w:tr>
        <w:trPr>
          <w:trHeight w:val="347"/>
        </w:trPr>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23.4****</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980" w:type="dxa"/>
            <w:vAlign w:val="bottom"/>
          </w:tcPr>
          <w:p>
            <w:pPr>
              <w:ind w:left="140"/>
              <w:spacing w:after="0"/>
              <w:rPr>
                <w:sz w:val="20"/>
                <w:szCs w:val="20"/>
                <w:color w:val="auto"/>
              </w:rPr>
            </w:pPr>
            <w:r>
              <w:rPr>
                <w:rFonts w:ascii="Courier New" w:cs="Courier New" w:eastAsia="Courier New" w:hAnsi="Courier New"/>
                <w:sz w:val="15"/>
                <w:szCs w:val="15"/>
                <w:color w:val="auto"/>
              </w:rPr>
              <w:t>Consent of Ernst &amp; Young LLP.</w:t>
            </w:r>
          </w:p>
        </w:tc>
      </w:tr>
      <w:tr>
        <w:trPr>
          <w:trHeight w:val="347"/>
        </w:trPr>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23.5****</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980" w:type="dxa"/>
            <w:vAlign w:val="bottom"/>
          </w:tcPr>
          <w:p>
            <w:pPr>
              <w:ind w:left="140"/>
              <w:spacing w:after="0"/>
              <w:rPr>
                <w:sz w:val="20"/>
                <w:szCs w:val="20"/>
                <w:color w:val="auto"/>
              </w:rPr>
            </w:pPr>
            <w:r>
              <w:rPr>
                <w:rFonts w:ascii="Courier New" w:cs="Courier New" w:eastAsia="Courier New" w:hAnsi="Courier New"/>
                <w:sz w:val="15"/>
                <w:szCs w:val="15"/>
                <w:color w:val="auto"/>
              </w:rPr>
              <w:t>Consent of Deloitte &amp; Touche LLP.</w:t>
            </w:r>
          </w:p>
        </w:tc>
      </w:tr>
      <w:tr>
        <w:trPr>
          <w:trHeight w:val="347"/>
        </w:trPr>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23.6****</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980" w:type="dxa"/>
            <w:vAlign w:val="bottom"/>
          </w:tcPr>
          <w:p>
            <w:pPr>
              <w:ind w:left="140"/>
              <w:spacing w:after="0"/>
              <w:rPr>
                <w:sz w:val="20"/>
                <w:szCs w:val="20"/>
                <w:color w:val="auto"/>
              </w:rPr>
            </w:pPr>
            <w:r>
              <w:rPr>
                <w:rFonts w:ascii="Courier New" w:cs="Courier New" w:eastAsia="Courier New" w:hAnsi="Courier New"/>
                <w:sz w:val="15"/>
                <w:szCs w:val="15"/>
                <w:color w:val="auto"/>
              </w:rPr>
              <w:t>Consent of Deloitte &amp; Touche, Chartered Accountants.</w:t>
            </w:r>
          </w:p>
        </w:tc>
      </w:tr>
      <w:tr>
        <w:trPr>
          <w:trHeight w:val="347"/>
        </w:trPr>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23.7****</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980" w:type="dxa"/>
            <w:vAlign w:val="bottom"/>
          </w:tcPr>
          <w:p>
            <w:pPr>
              <w:ind w:left="140"/>
              <w:spacing w:after="0"/>
              <w:rPr>
                <w:sz w:val="20"/>
                <w:szCs w:val="20"/>
                <w:color w:val="auto"/>
              </w:rPr>
            </w:pPr>
            <w:r>
              <w:rPr>
                <w:rFonts w:ascii="Courier New" w:cs="Courier New" w:eastAsia="Courier New" w:hAnsi="Courier New"/>
                <w:sz w:val="15"/>
                <w:szCs w:val="15"/>
                <w:color w:val="auto"/>
              </w:rPr>
              <w:t>Consent of Coopers &amp; Lybrand L.L.P.</w:t>
            </w:r>
          </w:p>
        </w:tc>
      </w:tr>
      <w:tr>
        <w:trPr>
          <w:trHeight w:val="347"/>
        </w:trPr>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23.8****</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980" w:type="dxa"/>
            <w:vAlign w:val="bottom"/>
          </w:tcPr>
          <w:p>
            <w:pPr>
              <w:ind w:left="140"/>
              <w:spacing w:after="0"/>
              <w:rPr>
                <w:sz w:val="20"/>
                <w:szCs w:val="20"/>
                <w:color w:val="auto"/>
              </w:rPr>
            </w:pPr>
            <w:r>
              <w:rPr>
                <w:rFonts w:ascii="Courier New" w:cs="Courier New" w:eastAsia="Courier New" w:hAnsi="Courier New"/>
                <w:sz w:val="15"/>
                <w:szCs w:val="15"/>
                <w:color w:val="auto"/>
              </w:rPr>
              <w:t>Consent of Kaplan Sipos &amp; Associates Certified Public Accountants.</w:t>
            </w:r>
          </w:p>
        </w:tc>
      </w:tr>
      <w:tr>
        <w:trPr>
          <w:trHeight w:val="347"/>
        </w:trPr>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23.9****</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980" w:type="dxa"/>
            <w:vAlign w:val="bottom"/>
          </w:tcPr>
          <w:p>
            <w:pPr>
              <w:ind w:left="140"/>
              <w:spacing w:after="0"/>
              <w:rPr>
                <w:sz w:val="20"/>
                <w:szCs w:val="20"/>
                <w:color w:val="auto"/>
              </w:rPr>
            </w:pPr>
            <w:r>
              <w:rPr>
                <w:rFonts w:ascii="Courier New" w:cs="Courier New" w:eastAsia="Courier New" w:hAnsi="Courier New"/>
                <w:sz w:val="15"/>
                <w:szCs w:val="15"/>
                <w:color w:val="auto"/>
              </w:rPr>
              <w:t>Consent of Blake, Kuehler, Babione &amp; Pool.</w:t>
            </w:r>
          </w:p>
        </w:tc>
      </w:tr>
      <w:tr>
        <w:trPr>
          <w:trHeight w:val="347"/>
        </w:trPr>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23.10****</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980" w:type="dxa"/>
            <w:vAlign w:val="bottom"/>
          </w:tcPr>
          <w:p>
            <w:pPr>
              <w:ind w:left="140"/>
              <w:spacing w:after="0"/>
              <w:rPr>
                <w:sz w:val="20"/>
                <w:szCs w:val="20"/>
                <w:color w:val="auto"/>
              </w:rPr>
            </w:pPr>
            <w:r>
              <w:rPr>
                <w:rFonts w:ascii="Courier New" w:cs="Courier New" w:eastAsia="Courier New" w:hAnsi="Courier New"/>
                <w:sz w:val="15"/>
                <w:szCs w:val="15"/>
                <w:color w:val="auto"/>
              </w:rPr>
              <w:t>Consent of Buckno Lisicky &amp;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91" w:right="1440" w:bottom="1440" w:gutter="0" w:footer="0" w:header="0"/>
          <w:type w:val="continuous"/>
        </w:sectPr>
      </w:pPr>
    </w:p>
    <w:bookmarkStart w:id="21" w:name="page22"/>
    <w:bookmarkEnd w:id="21"/>
    <w:p>
      <w:pPr>
        <w:ind w:left="268"/>
        <w:spacing w:after="0"/>
        <w:rPr>
          <w:sz w:val="20"/>
          <w:szCs w:val="20"/>
          <w:color w:val="auto"/>
        </w:rPr>
      </w:pPr>
      <w:r>
        <w:rPr>
          <w:rFonts w:ascii="Courier New" w:cs="Courier New" w:eastAsia="Courier New" w:hAnsi="Courier New"/>
          <w:sz w:val="15"/>
          <w:szCs w:val="15"/>
          <w:color w:val="auto"/>
        </w:rPr>
        <w:t>22</w:t>
      </w:r>
    </w:p>
    <w:p>
      <w:pPr>
        <w:spacing w:after="0" w:line="200" w:lineRule="exact"/>
        <w:rPr>
          <w:sz w:val="20"/>
          <w:szCs w:val="20"/>
          <w:color w:val="auto"/>
        </w:rPr>
      </w:pPr>
    </w:p>
    <w:p>
      <w:pPr>
        <w:spacing w:after="0" w:line="324" w:lineRule="exact"/>
        <w:rPr>
          <w:sz w:val="20"/>
          <w:szCs w:val="20"/>
          <w:color w:val="auto"/>
        </w:rPr>
      </w:pPr>
    </w:p>
    <w:tbl>
      <w:tblPr>
        <w:tblLayout w:type="fixed"/>
        <w:tblInd w:w="548" w:type="dxa"/>
        <w:tblCellMar>
          <w:top w:w="0" w:type="dxa"/>
          <w:left w:w="0" w:type="dxa"/>
          <w:bottom w:w="0" w:type="dxa"/>
          <w:right w:w="0" w:type="dxa"/>
        </w:tblCellMar>
      </w:tblPr>
      <w:tr>
        <w:trPr>
          <w:trHeight w:val="170"/>
        </w:trPr>
        <w:tc>
          <w:tcPr>
            <w:tcW w:w="900" w:type="dxa"/>
            <w:vAlign w:val="bottom"/>
          </w:tcPr>
          <w:p>
            <w:pPr>
              <w:spacing w:after="0"/>
              <w:rPr>
                <w:sz w:val="20"/>
                <w:szCs w:val="20"/>
                <w:color w:val="auto"/>
              </w:rPr>
            </w:pPr>
            <w:r>
              <w:rPr>
                <w:rFonts w:ascii="Courier New" w:cs="Courier New" w:eastAsia="Courier New" w:hAnsi="Courier New"/>
                <w:sz w:val="15"/>
                <w:szCs w:val="15"/>
                <w:color w:val="auto"/>
              </w:rPr>
              <w:t>23.11****</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w w:val="99"/>
              </w:rPr>
              <w:t>Consent of Osburn, Henning and Company.</w:t>
            </w:r>
          </w:p>
        </w:tc>
      </w:tr>
      <w:tr>
        <w:trPr>
          <w:trHeight w:val="347"/>
        </w:trPr>
        <w:tc>
          <w:tcPr>
            <w:tcW w:w="90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Powers of Attorney.</w:t>
            </w:r>
          </w:p>
        </w:tc>
      </w:tr>
      <w:tr>
        <w:trPr>
          <w:trHeight w:val="347"/>
        </w:trPr>
        <w:tc>
          <w:tcPr>
            <w:tcW w:w="900" w:type="dxa"/>
            <w:vAlign w:val="bottom"/>
          </w:tcPr>
          <w:p>
            <w:pPr>
              <w:spacing w:after="0"/>
              <w:rPr>
                <w:sz w:val="20"/>
                <w:szCs w:val="20"/>
                <w:color w:val="auto"/>
              </w:rPr>
            </w:pPr>
            <w:r>
              <w:rPr>
                <w:rFonts w:ascii="Courier New" w:cs="Courier New" w:eastAsia="Courier New" w:hAnsi="Courier New"/>
                <w:sz w:val="15"/>
                <w:szCs w:val="15"/>
                <w:color w:val="auto"/>
              </w:rPr>
              <w:t>25.1***</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660" w:type="dxa"/>
            <w:vAlign w:val="bottom"/>
          </w:tcPr>
          <w:p>
            <w:pPr>
              <w:ind w:left="140"/>
              <w:spacing w:after="0"/>
              <w:rPr>
                <w:sz w:val="20"/>
                <w:szCs w:val="20"/>
                <w:color w:val="auto"/>
              </w:rPr>
            </w:pPr>
            <w:r>
              <w:rPr>
                <w:rFonts w:ascii="Courier New" w:cs="Courier New" w:eastAsia="Courier New" w:hAnsi="Courier New"/>
                <w:sz w:val="15"/>
                <w:szCs w:val="15"/>
                <w:color w:val="auto"/>
              </w:rPr>
              <w:t>Statements of Eligibility of Trustees.</w:t>
            </w:r>
          </w:p>
        </w:tc>
      </w:tr>
    </w:tbl>
    <w:p>
      <w:pPr>
        <w:spacing w:after="0" w:line="3" w:lineRule="exact"/>
        <w:rPr>
          <w:sz w:val="20"/>
          <w:szCs w:val="20"/>
          <w:color w:val="auto"/>
        </w:rPr>
      </w:pPr>
    </w:p>
    <w:p>
      <w:pPr>
        <w:ind w:left="188" w:hanging="188"/>
        <w:spacing w:after="0"/>
        <w:tabs>
          <w:tab w:leader="none" w:pos="18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0" w:lineRule="exact"/>
        <w:rPr>
          <w:rFonts w:ascii="Courier New" w:cs="Courier New" w:eastAsia="Courier New" w:hAnsi="Courier New"/>
          <w:sz w:val="15"/>
          <w:szCs w:val="15"/>
          <w:color w:val="auto"/>
        </w:rPr>
      </w:pPr>
    </w:p>
    <w:p>
      <w:pPr>
        <w:ind w:left="1168" w:right="3099" w:hanging="812"/>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file any underwriting agreement relating to Debt Securities or Common Stock that it may enter into as an exhibit to a Current Report on Form 8-K.</w:t>
      </w:r>
    </w:p>
    <w:p>
      <w:pPr>
        <w:spacing w:after="0" w:line="174" w:lineRule="exact"/>
        <w:rPr>
          <w:rFonts w:ascii="Courier New" w:cs="Courier New" w:eastAsia="Courier New" w:hAnsi="Courier New"/>
          <w:sz w:val="15"/>
          <w:szCs w:val="15"/>
          <w:color w:val="auto"/>
        </w:rPr>
      </w:pPr>
    </w:p>
    <w:p>
      <w:pPr>
        <w:ind w:left="1168" w:hanging="807"/>
        <w:spacing w:after="0"/>
        <w:tabs>
          <w:tab w:leader="none" w:pos="1168"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pacing w:after="0" w:line="350" w:lineRule="exact"/>
        <w:rPr>
          <w:rFonts w:ascii="Courier New" w:cs="Courier New" w:eastAsia="Courier New" w:hAnsi="Courier New"/>
          <w:sz w:val="15"/>
          <w:szCs w:val="15"/>
          <w:color w:val="auto"/>
        </w:rPr>
      </w:pPr>
    </w:p>
    <w:p>
      <w:pPr>
        <w:ind w:left="1168" w:right="3199" w:hanging="807"/>
        <w:spacing w:after="0" w:line="244" w:lineRule="auto"/>
        <w:tabs>
          <w:tab w:leader="none" w:pos="1168"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file any form of Debt Securities and any Statement of Eligibility of Trustee not previously so filed as an exhibit to a Current Report on Form 8-K.</w:t>
      </w:r>
    </w:p>
    <w:p>
      <w:pPr>
        <w:spacing w:after="0" w:line="347" w:lineRule="exact"/>
        <w:rPr>
          <w:rFonts w:ascii="Courier New" w:cs="Courier New" w:eastAsia="Courier New" w:hAnsi="Courier New"/>
          <w:sz w:val="15"/>
          <w:szCs w:val="15"/>
          <w:color w:val="auto"/>
        </w:rPr>
      </w:pPr>
    </w:p>
    <w:p>
      <w:pPr>
        <w:ind w:left="1168" w:hanging="807"/>
        <w:spacing w:after="0"/>
        <w:tabs>
          <w:tab w:leader="none" w:pos="1168"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200" w:lineRule="exact"/>
        <w:rPr>
          <w:sz w:val="20"/>
          <w:szCs w:val="20"/>
          <w:color w:val="auto"/>
        </w:rPr>
      </w:pPr>
    </w:p>
    <w:p>
      <w:pPr>
        <w:spacing w:after="0" w:line="324" w:lineRule="exact"/>
        <w:rPr>
          <w:sz w:val="20"/>
          <w:szCs w:val="20"/>
          <w:color w:val="auto"/>
        </w:rPr>
      </w:pPr>
    </w:p>
    <w:p>
      <w:pPr>
        <w:ind w:left="8"/>
        <w:spacing w:after="0"/>
        <w:tabs>
          <w:tab w:leader="none" w:pos="1147"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5"/>
          <w:szCs w:val="15"/>
          <w:color w:val="auto"/>
        </w:rPr>
        <w:t>UNDERTAKINGS.</w:t>
      </w:r>
    </w:p>
    <w:p>
      <w:pPr>
        <w:spacing w:after="0" w:line="177" w:lineRule="exact"/>
        <w:rPr>
          <w:sz w:val="20"/>
          <w:szCs w:val="20"/>
          <w:color w:val="auto"/>
        </w:rPr>
      </w:pPr>
    </w:p>
    <w:p>
      <w:pPr>
        <w:ind w:left="808" w:hanging="447"/>
        <w:spacing w:after="0"/>
        <w:tabs>
          <w:tab w:leader="none" w:pos="80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7" w:lineRule="exact"/>
        <w:rPr>
          <w:rFonts w:ascii="Courier New" w:cs="Courier New" w:eastAsia="Courier New" w:hAnsi="Courier New"/>
          <w:sz w:val="15"/>
          <w:szCs w:val="15"/>
          <w:color w:val="auto"/>
        </w:rPr>
      </w:pPr>
    </w:p>
    <w:p>
      <w:pPr>
        <w:ind w:left="368" w:right="3559" w:firstLine="444"/>
        <w:spacing w:after="0" w:line="278" w:lineRule="auto"/>
        <w:tabs>
          <w:tab w:leader="none" w:pos="1179"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2" w:lineRule="exact"/>
        <w:rPr>
          <w:rFonts w:ascii="Courier New" w:cs="Courier New" w:eastAsia="Courier New" w:hAnsi="Courier New"/>
          <w:sz w:val="14"/>
          <w:szCs w:val="14"/>
          <w:color w:val="auto"/>
        </w:rPr>
      </w:pPr>
    </w:p>
    <w:p>
      <w:pPr>
        <w:ind w:left="808" w:right="3199" w:firstLine="365"/>
        <w:spacing w:after="0" w:line="243" w:lineRule="auto"/>
        <w:tabs>
          <w:tab w:leader="none" w:pos="1890" w:val="left"/>
        </w:tabs>
        <w:numPr>
          <w:ilvl w:val="2"/>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w:t>
      </w:r>
    </w:p>
    <w:p>
      <w:pPr>
        <w:spacing w:after="0" w:line="176" w:lineRule="exact"/>
        <w:rPr>
          <w:rFonts w:ascii="Courier New" w:cs="Courier New" w:eastAsia="Courier New" w:hAnsi="Courier New"/>
          <w:sz w:val="15"/>
          <w:szCs w:val="15"/>
          <w:color w:val="auto"/>
        </w:rPr>
      </w:pPr>
    </w:p>
    <w:p>
      <w:pPr>
        <w:ind w:left="808" w:right="3099" w:firstLine="365"/>
        <w:spacing w:after="0" w:line="244" w:lineRule="auto"/>
        <w:tabs>
          <w:tab w:leader="none" w:pos="1890" w:val="left"/>
        </w:tabs>
        <w:numPr>
          <w:ilvl w:val="2"/>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82" w:lineRule="exact"/>
        <w:rPr>
          <w:rFonts w:ascii="Courier New" w:cs="Courier New" w:eastAsia="Courier New" w:hAnsi="Courier New"/>
          <w:sz w:val="15"/>
          <w:szCs w:val="15"/>
          <w:color w:val="auto"/>
        </w:rPr>
      </w:pPr>
    </w:p>
    <w:p>
      <w:pPr>
        <w:ind w:left="808" w:right="3379" w:firstLine="365"/>
        <w:spacing w:after="0" w:line="244" w:lineRule="auto"/>
        <w:tabs>
          <w:tab w:leader="none" w:pos="1890" w:val="left"/>
        </w:tabs>
        <w:numPr>
          <w:ilvl w:val="2"/>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6" w:lineRule="exact"/>
        <w:rPr>
          <w:sz w:val="20"/>
          <w:szCs w:val="20"/>
          <w:color w:val="auto"/>
        </w:rPr>
      </w:pPr>
    </w:p>
    <w:p>
      <w:pPr>
        <w:ind w:left="368" w:right="3099"/>
        <w:spacing w:after="0" w:line="244" w:lineRule="auto"/>
        <w:rPr>
          <w:sz w:val="20"/>
          <w:szCs w:val="20"/>
          <w:color w:val="auto"/>
        </w:rPr>
      </w:pPr>
      <w:r>
        <w:rPr>
          <w:rFonts w:ascii="Courier New" w:cs="Courier New" w:eastAsia="Courier New" w:hAnsi="Courier New"/>
          <w:sz w:val="15"/>
          <w:szCs w:val="15"/>
          <w:color w:val="auto"/>
        </w:rPr>
        <w:t>provided however, that paragraphs (a)(l)(i) and (a)(l)(ii)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the registration statement.</w:t>
      </w:r>
    </w:p>
    <w:p>
      <w:pPr>
        <w:spacing w:after="0" w:line="177" w:lineRule="exact"/>
        <w:rPr>
          <w:sz w:val="20"/>
          <w:szCs w:val="20"/>
          <w:color w:val="auto"/>
        </w:rPr>
      </w:pPr>
    </w:p>
    <w:p>
      <w:pPr>
        <w:jc w:val="both"/>
        <w:ind w:left="368" w:right="3199" w:firstLine="444"/>
        <w:spacing w:after="0" w:line="244" w:lineRule="auto"/>
        <w:tabs>
          <w:tab w:leader="none" w:pos="1179"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such post- amendment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Courier New" w:cs="Courier New" w:eastAsia="Courier New" w:hAnsi="Courier New"/>
          <w:sz w:val="15"/>
          <w:szCs w:val="15"/>
          <w:color w:val="auto"/>
        </w:rPr>
      </w:pPr>
    </w:p>
    <w:p>
      <w:pPr>
        <w:ind w:left="368" w:right="3099" w:firstLine="444"/>
        <w:spacing w:after="0" w:line="244" w:lineRule="auto"/>
        <w:tabs>
          <w:tab w:leader="none" w:pos="1179"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4" w:lineRule="exact"/>
        <w:rPr>
          <w:rFonts w:ascii="Courier New" w:cs="Courier New" w:eastAsia="Courier New" w:hAnsi="Courier New"/>
          <w:sz w:val="15"/>
          <w:szCs w:val="15"/>
          <w:color w:val="auto"/>
        </w:rPr>
      </w:pPr>
    </w:p>
    <w:p>
      <w:pPr>
        <w:ind w:left="808" w:hanging="447"/>
        <w:spacing w:after="0"/>
        <w:tabs>
          <w:tab w:leader="none" w:pos="80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w:t>
      </w:r>
    </w:p>
    <w:p>
      <w:pPr>
        <w:spacing w:after="0" w:line="177" w:lineRule="exact"/>
        <w:rPr>
          <w:rFonts w:ascii="Courier New" w:cs="Courier New" w:eastAsia="Courier New" w:hAnsi="Courier New"/>
          <w:sz w:val="15"/>
          <w:szCs w:val="15"/>
          <w:color w:val="auto"/>
        </w:rPr>
      </w:pPr>
    </w:p>
    <w:p>
      <w:pPr>
        <w:ind w:left="368" w:right="3279" w:firstLine="444"/>
        <w:spacing w:after="0" w:line="244" w:lineRule="auto"/>
        <w:tabs>
          <w:tab w:leader="none" w:pos="1179"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spacing w:after="0" w:line="2" w:lineRule="exact"/>
        <w:rPr>
          <w:rFonts w:ascii="Courier New" w:cs="Courier New" w:eastAsia="Courier New" w:hAnsi="Courier New"/>
          <w:sz w:val="15"/>
          <w:szCs w:val="15"/>
          <w:color w:val="auto"/>
        </w:rPr>
      </w:pPr>
    </w:p>
    <w:p>
      <w:pPr>
        <w:ind w:left="368" w:right="327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 or 497(h) under the Securities Act shall be deemed to be part of this registration statement as of the time it was declared effective.</w:t>
      </w:r>
    </w:p>
    <w:p>
      <w:pPr>
        <w:sectPr>
          <w:pgSz w:w="11900" w:h="16838" w:orient="portrait"/>
          <w:cols w:equalWidth="0" w:num="1">
            <w:col w:w="10227"/>
          </w:cols>
          <w:pgMar w:left="232" w:top="291" w:right="1440" w:bottom="5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28"/>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27"/>
          </w:cols>
          <w:pgMar w:left="232" w:top="291" w:right="1440" w:bottom="566"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4" w:lineRule="exact"/>
        <w:rPr>
          <w:sz w:val="20"/>
          <w:szCs w:val="20"/>
          <w:color w:val="auto"/>
        </w:rPr>
      </w:pPr>
    </w:p>
    <w:p>
      <w:pPr>
        <w:ind w:left="360" w:right="3099" w:firstLine="444"/>
        <w:spacing w:after="0" w:line="244" w:lineRule="auto"/>
        <w:tabs>
          <w:tab w:leader="none" w:pos="1172"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Courier New" w:cs="Courier New" w:eastAsia="Courier New" w:hAnsi="Courier New"/>
          <w:sz w:val="15"/>
          <w:szCs w:val="15"/>
          <w:color w:val="auto"/>
        </w:rPr>
      </w:pPr>
    </w:p>
    <w:p>
      <w:pPr>
        <w:ind w:right="3099" w:firstLine="353"/>
        <w:spacing w:after="0" w:line="244" w:lineRule="auto"/>
        <w:tabs>
          <w:tab w:leader="none" w:pos="81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benefits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800" w:hanging="447"/>
        <w:spacing w:after="0"/>
        <w:tabs>
          <w:tab w:leader="none" w:pos="8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w:t>
      </w:r>
    </w:p>
    <w:p>
      <w:pPr>
        <w:spacing w:after="0" w:line="4" w:lineRule="exact"/>
        <w:rPr>
          <w:rFonts w:ascii="Courier New" w:cs="Courier New" w:eastAsia="Courier New" w:hAnsi="Courier New"/>
          <w:sz w:val="15"/>
          <w:szCs w:val="15"/>
          <w:color w:val="auto"/>
        </w:rPr>
      </w:pPr>
    </w:p>
    <w:p>
      <w:pPr>
        <w:ind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may be permitted to directors, officers and controlling persons of the registrant pursuant to any charter provision, by-law, contract, arrangement, statute, or otherwise, the Company has been advised that in the opinion of the Commission such indemnification is against public policy as expressed in the Securities Act and is, therefore, unenforceable. In the event that a claim for indemnification against such labilities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291"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351" w:lineRule="exact"/>
        <w:rPr>
          <w:sz w:val="20"/>
          <w:szCs w:val="20"/>
          <w:color w:val="auto"/>
        </w:rPr>
      </w:pPr>
    </w:p>
    <w:p>
      <w:pPr>
        <w:ind w:right="4400" w:firstLine="36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S-3 and has duly caused this Amendment No. 1 to the Registration Statement to be signed on its behalf by the undersigned, thereunto duly authorized, in the City of Houston, State of Texas on the 14th day of January, 1997.</w:t>
      </w:r>
    </w:p>
    <w:p>
      <w:pPr>
        <w:spacing w:after="0" w:line="35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USA WASTE SERVICES, INC.</w:t>
      </w:r>
    </w:p>
    <w:p>
      <w:pPr>
        <w:spacing w:after="0" w:line="350" w:lineRule="exact"/>
        <w:rPr>
          <w:sz w:val="20"/>
          <w:szCs w:val="20"/>
          <w:color w:val="auto"/>
        </w:rPr>
      </w:pPr>
    </w:p>
    <w:p>
      <w:pPr>
        <w:ind w:left="3320"/>
        <w:spacing w:after="0"/>
        <w:tabs>
          <w:tab w:leader="none" w:pos="3840" w:val="left"/>
        </w:tabs>
        <w:rPr>
          <w:sz w:val="20"/>
          <w:szCs w:val="20"/>
          <w:color w:val="auto"/>
        </w:rPr>
      </w:pPr>
      <w:r>
        <w:rPr>
          <w:rFonts w:ascii="Courier New" w:cs="Courier New" w:eastAsia="Courier New" w:hAnsi="Courier New"/>
          <w:sz w:val="15"/>
          <w:szCs w:val="15"/>
          <w:color w:val="auto"/>
        </w:rPr>
        <w:t>By:</w:t>
        <w:tab/>
        <w:t>/s/ JOHN E. DRURY</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Chairman of the Board and</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Chief Executive Officer</w:t>
      </w:r>
    </w:p>
    <w:p>
      <w:pPr>
        <w:spacing w:after="0" w:line="351" w:lineRule="exact"/>
        <w:rPr>
          <w:sz w:val="20"/>
          <w:szCs w:val="20"/>
          <w:color w:val="auto"/>
        </w:rPr>
      </w:pPr>
    </w:p>
    <w:p>
      <w:pPr>
        <w:ind w:right="4940" w:firstLine="81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indicated on January 14, 1997.</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600"/>
        <w:spacing w:after="0"/>
        <w:tabs>
          <w:tab w:leader="none" w:pos="818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3" w:lineRule="exact"/>
        <w:rPr>
          <w:sz w:val="20"/>
          <w:szCs w:val="20"/>
          <w:color w:val="auto"/>
        </w:rPr>
      </w:pPr>
    </w:p>
    <w:p>
      <w:pPr>
        <w:ind w:left="2600"/>
        <w:spacing w:after="0"/>
        <w:tabs>
          <w:tab w:leader="none" w:pos="81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7" w:lineRule="exact"/>
        <w:rPr>
          <w:sz w:val="20"/>
          <w:szCs w:val="20"/>
          <w:color w:val="auto"/>
        </w:rPr>
      </w:pPr>
    </w:p>
    <w:p>
      <w:pPr>
        <w:ind w:left="80"/>
        <w:spacing w:after="0"/>
        <w:tabs>
          <w:tab w:leader="none" w:pos="520" w:val="left"/>
        </w:tabs>
        <w:rPr>
          <w:sz w:val="20"/>
          <w:szCs w:val="20"/>
          <w:color w:val="auto"/>
        </w:rPr>
      </w:pPr>
      <w:r>
        <w:rPr>
          <w:rFonts w:ascii="Courier New" w:cs="Courier New" w:eastAsia="Courier New" w:hAnsi="Courier New"/>
          <w:sz w:val="15"/>
          <w:szCs w:val="15"/>
          <w:color w:val="auto"/>
        </w:rPr>
        <w:t>(i)</w:t>
        <w:tab/>
        <w:t>Principal executive officer:</w:t>
      </w:r>
    </w:p>
    <w:p>
      <w:pPr>
        <w:spacing w:after="0" w:line="177" w:lineRule="exact"/>
        <w:rPr>
          <w:sz w:val="20"/>
          <w:szCs w:val="20"/>
          <w:color w:val="auto"/>
        </w:rPr>
      </w:pPr>
    </w:p>
    <w:p>
      <w:pPr>
        <w:ind w:left="360"/>
        <w:spacing w:after="0"/>
        <w:tabs>
          <w:tab w:leader="none" w:pos="6200" w:val="left"/>
        </w:tabs>
        <w:rPr>
          <w:sz w:val="20"/>
          <w:szCs w:val="20"/>
          <w:color w:val="auto"/>
        </w:rPr>
      </w:pPr>
      <w:r>
        <w:rPr>
          <w:rFonts w:ascii="Courier New" w:cs="Courier New" w:eastAsia="Courier New" w:hAnsi="Courier New"/>
          <w:sz w:val="15"/>
          <w:szCs w:val="15"/>
          <w:color w:val="auto"/>
        </w:rPr>
        <w:t>/s/ JOHN E. DRURY</w:t>
      </w:r>
      <w:r>
        <w:rPr>
          <w:sz w:val="20"/>
          <w:szCs w:val="20"/>
          <w:color w:val="auto"/>
        </w:rPr>
        <w:tab/>
      </w:r>
      <w:r>
        <w:rPr>
          <w:rFonts w:ascii="Courier New" w:cs="Courier New" w:eastAsia="Courier New" w:hAnsi="Courier New"/>
          <w:sz w:val="15"/>
          <w:szCs w:val="15"/>
          <w:color w:val="auto"/>
        </w:rPr>
        <w:t>Chairman of the Board and Chief Executive Officer</w:t>
      </w:r>
    </w:p>
    <w:p>
      <w:pPr>
        <w:spacing w:after="0" w:line="3" w:lineRule="exact"/>
        <w:rPr>
          <w:sz w:val="20"/>
          <w:szCs w:val="20"/>
          <w:color w:val="auto"/>
        </w:rPr>
      </w:pPr>
    </w:p>
    <w:p>
      <w:pPr>
        <w:ind w:left="80"/>
        <w:spacing w:after="0"/>
        <w:tabs>
          <w:tab w:leader="none" w:pos="62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and Director</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John E. Drury</w:t>
      </w:r>
    </w:p>
    <w:p>
      <w:pPr>
        <w:spacing w:after="0" w:line="177" w:lineRule="exact"/>
        <w:rPr>
          <w:sz w:val="20"/>
          <w:szCs w:val="20"/>
          <w:color w:val="auto"/>
        </w:rPr>
      </w:pPr>
    </w:p>
    <w:p>
      <w:pPr>
        <w:ind w:left="80"/>
        <w:spacing w:after="0"/>
        <w:tabs>
          <w:tab w:leader="none" w:pos="600" w:val="left"/>
        </w:tabs>
        <w:rPr>
          <w:sz w:val="20"/>
          <w:szCs w:val="20"/>
          <w:color w:val="auto"/>
        </w:rPr>
      </w:pPr>
      <w:r>
        <w:rPr>
          <w:rFonts w:ascii="Courier New" w:cs="Courier New" w:eastAsia="Courier New" w:hAnsi="Courier New"/>
          <w:sz w:val="15"/>
          <w:szCs w:val="15"/>
          <w:color w:val="auto"/>
        </w:rPr>
        <w:t>(ii)</w:t>
        <w:tab/>
        <w:t>Principal financial and accounting officer:</w:t>
      </w:r>
    </w:p>
    <w:p>
      <w:pPr>
        <w:spacing w:after="0" w:line="177" w:lineRule="exact"/>
        <w:rPr>
          <w:sz w:val="20"/>
          <w:szCs w:val="20"/>
          <w:color w:val="auto"/>
        </w:rPr>
      </w:pPr>
    </w:p>
    <w:p>
      <w:pPr>
        <w:ind w:left="360"/>
        <w:spacing w:after="0"/>
        <w:tabs>
          <w:tab w:leader="none" w:pos="6200" w:val="left"/>
        </w:tabs>
        <w:rPr>
          <w:sz w:val="20"/>
          <w:szCs w:val="20"/>
          <w:color w:val="auto"/>
        </w:rPr>
      </w:pPr>
      <w:r>
        <w:rPr>
          <w:rFonts w:ascii="Courier New" w:cs="Courier New" w:eastAsia="Courier New" w:hAnsi="Courier New"/>
          <w:sz w:val="15"/>
          <w:szCs w:val="15"/>
          <w:color w:val="auto"/>
        </w:rPr>
        <w:t>/s/ EARL E. DeFRATES</w:t>
      </w:r>
      <w:r>
        <w:rPr>
          <w:sz w:val="20"/>
          <w:szCs w:val="20"/>
          <w:color w:val="auto"/>
        </w:rPr>
        <w:tab/>
      </w:r>
      <w:r>
        <w:rPr>
          <w:rFonts w:ascii="Courier New" w:cs="Courier New" w:eastAsia="Courier New" w:hAnsi="Courier New"/>
          <w:sz w:val="14"/>
          <w:szCs w:val="14"/>
          <w:color w:val="auto"/>
        </w:rPr>
        <w:t>Executive Vice President and Chief Financial Officer</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Earl E. DeFrates</w:t>
      </w:r>
    </w:p>
    <w:p>
      <w:pPr>
        <w:spacing w:after="0" w:line="177" w:lineRule="exact"/>
        <w:rPr>
          <w:sz w:val="20"/>
          <w:szCs w:val="20"/>
          <w:color w:val="auto"/>
        </w:rPr>
      </w:pPr>
    </w:p>
    <w:p>
      <w:pPr>
        <w:ind w:left="360"/>
        <w:spacing w:after="0"/>
        <w:tabs>
          <w:tab w:leader="none" w:pos="6200" w:val="left"/>
        </w:tabs>
        <w:rPr>
          <w:sz w:val="20"/>
          <w:szCs w:val="20"/>
          <w:color w:val="auto"/>
        </w:rPr>
      </w:pPr>
      <w:r>
        <w:rPr>
          <w:rFonts w:ascii="Courier New" w:cs="Courier New" w:eastAsia="Courier New" w:hAnsi="Courier New"/>
          <w:sz w:val="15"/>
          <w:szCs w:val="15"/>
          <w:color w:val="auto"/>
        </w:rPr>
        <w:t>/s/ BRUCE E. SNYDER</w:t>
      </w:r>
      <w:r>
        <w:rPr>
          <w:sz w:val="20"/>
          <w:szCs w:val="20"/>
          <w:color w:val="auto"/>
        </w:rPr>
        <w:tab/>
      </w:r>
      <w:r>
        <w:rPr>
          <w:rFonts w:ascii="Courier New" w:cs="Courier New" w:eastAsia="Courier New" w:hAnsi="Courier New"/>
          <w:sz w:val="14"/>
          <w:szCs w:val="14"/>
          <w:color w:val="auto"/>
        </w:rPr>
        <w:t>Vice President, Controller and Principal Accounting Officer</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Bruce E. Snyder</w:t>
      </w:r>
    </w:p>
    <w:p>
      <w:pPr>
        <w:spacing w:after="0" w:line="177" w:lineRule="exact"/>
        <w:rPr>
          <w:sz w:val="20"/>
          <w:szCs w:val="20"/>
          <w:color w:val="auto"/>
        </w:rPr>
      </w:pPr>
    </w:p>
    <w:p>
      <w:pPr>
        <w:ind w:left="80"/>
        <w:spacing w:after="0"/>
        <w:tabs>
          <w:tab w:leader="none" w:pos="700" w:val="left"/>
        </w:tabs>
        <w:rPr>
          <w:sz w:val="20"/>
          <w:szCs w:val="20"/>
          <w:color w:val="auto"/>
        </w:rPr>
      </w:pPr>
      <w:r>
        <w:rPr>
          <w:rFonts w:ascii="Courier New" w:cs="Courier New" w:eastAsia="Courier New" w:hAnsi="Courier New"/>
          <w:sz w:val="15"/>
          <w:szCs w:val="15"/>
          <w:color w:val="auto"/>
        </w:rPr>
        <w:t>(iii)</w:t>
        <w:tab/>
        <w:t>Directors:</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Ralph F. Cox</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Richard J. Heckmann</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7560"/>
        <w:spacing w:after="0"/>
        <w:rPr>
          <w:sz w:val="20"/>
          <w:szCs w:val="20"/>
          <w:color w:val="auto"/>
        </w:rPr>
      </w:pPr>
      <w:r>
        <w:rPr>
          <w:rFonts w:ascii="Courier New" w:cs="Courier New" w:eastAsia="Courier New" w:hAnsi="Courier New"/>
          <w:sz w:val="15"/>
          <w:szCs w:val="15"/>
          <w:color w:val="auto"/>
        </w:rPr>
        <w:t>Donald F. Moorehead, Jr.</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David Sutherland-Yoest</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Larry J. Martin</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Rodney R. Proto</w:t>
      </w:r>
    </w:p>
    <w:p>
      <w:pPr>
        <w:sectPr>
          <w:pgSz w:w="11900" w:h="16838" w:orient="portrait"/>
          <w:cols w:equalWidth="0" w:num="1">
            <w:col w:w="11520"/>
          </w:cols>
          <w:pgMar w:left="240" w:top="291"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1520"/>
          </w:cols>
          <w:pgMar w:left="240" w:top="291" w:right="139" w:bottom="1440" w:gutter="0" w:footer="0" w:header="0"/>
          <w:type w:val="continuous"/>
        </w:sectPr>
      </w:pPr>
    </w:p>
    <w:bookmarkStart w:id="24" w:name="page25"/>
    <w:bookmarkEnd w:id="24"/>
    <w:p>
      <w:pPr>
        <w:ind w:left="180"/>
        <w:spacing w:after="0"/>
        <w:rPr>
          <w:sz w:val="20"/>
          <w:szCs w:val="20"/>
          <w:color w:val="auto"/>
        </w:rPr>
      </w:pPr>
      <w:r>
        <w:rPr>
          <w:rFonts w:ascii="Courier New" w:cs="Courier New" w:eastAsia="Courier New" w:hAnsi="Courier New"/>
          <w:sz w:val="15"/>
          <w:szCs w:val="15"/>
          <w:color w:val="auto"/>
        </w:rPr>
        <w:t>25</w:t>
      </w:r>
    </w:p>
    <w:p>
      <w:pPr>
        <w:spacing w:after="0" w:line="35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William E. Moffett</w:t>
      </w:r>
    </w:p>
    <w:p>
      <w:pPr>
        <w:spacing w:after="0" w:line="35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Alexander W. Rangos</w:t>
      </w:r>
    </w:p>
    <w:p>
      <w:pPr>
        <w:spacing w:after="0" w:line="35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John G. Rangos, Sr.</w:t>
      </w:r>
    </w:p>
    <w:p>
      <w:pPr>
        <w:spacing w:after="0" w:line="177"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Kosti Shirvanian</w:t>
      </w:r>
    </w:p>
    <w:p>
      <w:pPr>
        <w:spacing w:after="0" w:line="35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Savey Tufenkian</w:t>
      </w:r>
    </w:p>
    <w:p>
      <w:pPr>
        <w:spacing w:after="0" w:line="35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GREGORY T. SANGALIS</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Gregory T. Sangalis,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139"/>
          </w:cols>
          <w:pgMar w:left="320" w:top="291"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26</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60" w:type="dxa"/>
            <w:vAlign w:val="bottom"/>
            <w:gridSpan w:val="5"/>
          </w:tcPr>
          <w:p>
            <w:pPr>
              <w:ind w:left="840"/>
              <w:spacing w:after="0"/>
              <w:rPr>
                <w:sz w:val="20"/>
                <w:szCs w:val="20"/>
                <w:color w:val="auto"/>
              </w:rPr>
            </w:pPr>
            <w:r>
              <w:rPr>
                <w:rFonts w:ascii="Courier New" w:cs="Courier New" w:eastAsia="Courier New" w:hAnsi="Courier New"/>
                <w:sz w:val="15"/>
                <w:szCs w:val="15"/>
                <w:color w:val="auto"/>
              </w:rPr>
              <w:t>INDEX TO EXHIBITS</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694"/>
        </w:trPr>
        <w:tc>
          <w:tcPr>
            <w:tcW w:w="9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EXHIBITS</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173"/>
        </w:trPr>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6"/>
              </w:rPr>
              <w:t>------</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000" w:type="dxa"/>
            <w:vAlign w:val="bottom"/>
            <w:gridSpan w:val="12"/>
          </w:tcPr>
          <w:p>
            <w:pPr>
              <w:ind w:left="300"/>
              <w:spacing w:after="0"/>
              <w:rPr>
                <w:sz w:val="20"/>
                <w:szCs w:val="20"/>
                <w:color w:val="auto"/>
              </w:rPr>
            </w:pPr>
            <w:r>
              <w:rPr>
                <w:rFonts w:ascii="Courier New" w:cs="Courier New" w:eastAsia="Courier New" w:hAnsi="Courier New"/>
                <w:sz w:val="15"/>
                <w:szCs w:val="15"/>
                <w:color w:val="auto"/>
              </w:rPr>
              <w:t>Form of Underwriting Agreement (Debt Securities).</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7"/>
        </w:trPr>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580" w:type="dxa"/>
            <w:vAlign w:val="bottom"/>
            <w:gridSpan w:val="11"/>
          </w:tcPr>
          <w:p>
            <w:pPr>
              <w:ind w:left="300"/>
              <w:spacing w:after="0"/>
              <w:rPr>
                <w:sz w:val="20"/>
                <w:szCs w:val="20"/>
                <w:color w:val="auto"/>
              </w:rPr>
            </w:pPr>
            <w:r>
              <w:rPr>
                <w:rFonts w:ascii="Courier New" w:cs="Courier New" w:eastAsia="Courier New" w:hAnsi="Courier New"/>
                <w:sz w:val="15"/>
                <w:szCs w:val="15"/>
                <w:color w:val="auto"/>
              </w:rPr>
              <w:t>Form of Underwriting Agreement (Common Stock).</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7"/>
        </w:trPr>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580" w:type="dxa"/>
            <w:vAlign w:val="bottom"/>
            <w:gridSpan w:val="11"/>
          </w:tcPr>
          <w:p>
            <w:pPr>
              <w:ind w:left="300"/>
              <w:spacing w:after="0"/>
              <w:rPr>
                <w:sz w:val="20"/>
                <w:szCs w:val="20"/>
                <w:color w:val="auto"/>
              </w:rPr>
            </w:pPr>
            <w:r>
              <w:rPr>
                <w:rFonts w:ascii="Courier New" w:cs="Courier New" w:eastAsia="Courier New" w:hAnsi="Courier New"/>
                <w:sz w:val="15"/>
                <w:szCs w:val="15"/>
                <w:color w:val="auto"/>
              </w:rPr>
              <w:t>Form of Indenture for Senior Debt Securities.</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7"/>
        </w:trPr>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000" w:type="dxa"/>
            <w:vAlign w:val="bottom"/>
            <w:gridSpan w:val="12"/>
          </w:tcPr>
          <w:p>
            <w:pPr>
              <w:ind w:left="300"/>
              <w:spacing w:after="0"/>
              <w:rPr>
                <w:sz w:val="20"/>
                <w:szCs w:val="20"/>
                <w:color w:val="auto"/>
              </w:rPr>
            </w:pPr>
            <w:r>
              <w:rPr>
                <w:rFonts w:ascii="Courier New" w:cs="Courier New" w:eastAsia="Courier New" w:hAnsi="Courier New"/>
                <w:sz w:val="15"/>
                <w:szCs w:val="15"/>
                <w:color w:val="auto"/>
              </w:rPr>
              <w:t>Form of Indenture for Subordinated Debt Securities.</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7"/>
        </w:trPr>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560" w:type="dxa"/>
            <w:vAlign w:val="bottom"/>
            <w:gridSpan w:val="5"/>
          </w:tcPr>
          <w:p>
            <w:pPr>
              <w:ind w:left="300"/>
              <w:spacing w:after="0"/>
              <w:rPr>
                <w:sz w:val="20"/>
                <w:szCs w:val="20"/>
                <w:color w:val="auto"/>
              </w:rPr>
            </w:pPr>
            <w:r>
              <w:rPr>
                <w:rFonts w:ascii="Courier New" w:cs="Courier New" w:eastAsia="Courier New" w:hAnsi="Courier New"/>
                <w:sz w:val="15"/>
                <w:szCs w:val="15"/>
                <w:color w:val="auto"/>
              </w:rPr>
              <w:t>Form of Debt Securities.</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7"/>
        </w:trPr>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4.4</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300"/>
              <w:spacing w:after="0"/>
              <w:rPr>
                <w:sz w:val="20"/>
                <w:szCs w:val="20"/>
                <w:color w:val="auto"/>
              </w:rPr>
            </w:pPr>
            <w:r>
              <w:rPr>
                <w:rFonts w:ascii="Courier New" w:cs="Courier New" w:eastAsia="Courier New" w:hAnsi="Courier New"/>
                <w:sz w:val="15"/>
                <w:szCs w:val="15"/>
                <w:color w:val="auto"/>
                <w:w w:val="97"/>
              </w:rPr>
              <w:t>Restated</w:t>
            </w:r>
          </w:p>
        </w:tc>
        <w:tc>
          <w:tcPr>
            <w:tcW w:w="180" w:type="dxa"/>
            <w:vAlign w:val="bottom"/>
          </w:tcPr>
          <w:p>
            <w:pPr>
              <w:spacing w:after="0"/>
              <w:rPr>
                <w:sz w:val="24"/>
                <w:szCs w:val="24"/>
                <w:color w:val="auto"/>
              </w:rPr>
            </w:pP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Certificate</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w:t>
            </w:r>
          </w:p>
        </w:tc>
        <w:tc>
          <w:tcPr>
            <w:tcW w:w="136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9"/>
              </w:rPr>
              <w:t>Incorporation</w:t>
            </w:r>
          </w:p>
        </w:tc>
        <w:tc>
          <w:tcPr>
            <w:tcW w:w="300" w:type="dxa"/>
            <w:vAlign w:val="bottom"/>
          </w:tcPr>
          <w:p>
            <w:pPr>
              <w:spacing w:after="0"/>
              <w:rPr>
                <w:sz w:val="24"/>
                <w:szCs w:val="24"/>
                <w:color w:val="auto"/>
              </w:rPr>
            </w:pPr>
          </w:p>
        </w:tc>
        <w:tc>
          <w:tcPr>
            <w:tcW w:w="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of</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the</w:t>
            </w:r>
          </w:p>
        </w:tc>
        <w:tc>
          <w:tcPr>
            <w:tcW w:w="180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Company</w:t>
            </w:r>
          </w:p>
        </w:tc>
      </w:tr>
      <w:tr>
        <w:trPr>
          <w:trHeight w:val="173"/>
        </w:trPr>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340" w:type="dxa"/>
            <w:vAlign w:val="bottom"/>
            <w:gridSpan w:val="15"/>
          </w:tcPr>
          <w:p>
            <w:pPr>
              <w:ind w:left="300"/>
              <w:spacing w:after="0"/>
              <w:rPr>
                <w:sz w:val="20"/>
                <w:szCs w:val="20"/>
                <w:color w:val="auto"/>
              </w:rPr>
            </w:pPr>
            <w:r>
              <w:rPr>
                <w:rFonts w:ascii="Courier New" w:cs="Courier New" w:eastAsia="Courier New" w:hAnsi="Courier New"/>
                <w:sz w:val="15"/>
                <w:szCs w:val="15"/>
                <w:color w:val="auto"/>
              </w:rPr>
              <w:t>(incorporated  by  reference  to  Exhibit  3.1  to  Post-Effective</w:t>
            </w:r>
          </w:p>
        </w:tc>
      </w:tr>
      <w:tr>
        <w:trPr>
          <w:trHeight w:val="173"/>
        </w:trPr>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Amendment</w:t>
            </w:r>
          </w:p>
        </w:tc>
        <w:tc>
          <w:tcPr>
            <w:tcW w:w="13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No. 1 to the</w:t>
            </w:r>
          </w:p>
        </w:tc>
        <w:tc>
          <w:tcPr>
            <w:tcW w:w="2980" w:type="dxa"/>
            <w:vAlign w:val="bottom"/>
            <w:gridSpan w:val="8"/>
          </w:tcPr>
          <w:p>
            <w:pPr>
              <w:jc w:val="right"/>
              <w:ind w:right="25"/>
              <w:spacing w:after="0"/>
              <w:rPr>
                <w:sz w:val="20"/>
                <w:szCs w:val="20"/>
                <w:color w:val="auto"/>
              </w:rPr>
            </w:pPr>
            <w:r>
              <w:rPr>
                <w:rFonts w:ascii="Courier New" w:cs="Courier New" w:eastAsia="Courier New" w:hAnsi="Courier New"/>
                <w:sz w:val="15"/>
                <w:szCs w:val="15"/>
                <w:color w:val="auto"/>
                <w:w w:val="99"/>
              </w:rPr>
              <w:t>Company's Registration Statement</w:t>
            </w:r>
          </w:p>
        </w:tc>
        <w:tc>
          <w:tcPr>
            <w:tcW w:w="180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on Form</w:t>
            </w:r>
          </w:p>
        </w:tc>
      </w:tr>
      <w:tr>
        <w:trPr>
          <w:trHeight w:val="173"/>
        </w:trPr>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560" w:type="dxa"/>
            <w:vAlign w:val="bottom"/>
            <w:gridSpan w:val="5"/>
          </w:tcPr>
          <w:p>
            <w:pPr>
              <w:ind w:left="300"/>
              <w:spacing w:after="0"/>
              <w:rPr>
                <w:sz w:val="20"/>
                <w:szCs w:val="20"/>
                <w:color w:val="auto"/>
              </w:rPr>
            </w:pPr>
            <w:r>
              <w:rPr>
                <w:rFonts w:ascii="Courier New" w:cs="Courier New" w:eastAsia="Courier New" w:hAnsi="Courier New"/>
                <w:sz w:val="15"/>
                <w:szCs w:val="15"/>
                <w:color w:val="auto"/>
                <w:w w:val="99"/>
              </w:rPr>
              <w:t>S-4 (File No. 33-60103)).</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47"/>
        </w:trPr>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4.5</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80" w:type="dxa"/>
            <w:vAlign w:val="bottom"/>
            <w:gridSpan w:val="7"/>
          </w:tcPr>
          <w:p>
            <w:pPr>
              <w:ind w:left="300"/>
              <w:spacing w:after="0"/>
              <w:rPr>
                <w:sz w:val="20"/>
                <w:szCs w:val="20"/>
                <w:color w:val="auto"/>
              </w:rPr>
            </w:pPr>
            <w:r>
              <w:rPr>
                <w:rFonts w:ascii="Courier New" w:cs="Courier New" w:eastAsia="Courier New" w:hAnsi="Courier New"/>
                <w:sz w:val="15"/>
                <w:szCs w:val="15"/>
                <w:color w:val="auto"/>
                <w:w w:val="99"/>
              </w:rPr>
              <w:t>Amendment to Restated Certificate</w:t>
            </w:r>
          </w:p>
        </w:tc>
        <w:tc>
          <w:tcPr>
            <w:tcW w:w="180" w:type="dxa"/>
            <w:vAlign w:val="bottom"/>
          </w:tcPr>
          <w:p>
            <w:pPr>
              <w:spacing w:after="0"/>
              <w:rPr>
                <w:sz w:val="24"/>
                <w:szCs w:val="24"/>
                <w:color w:val="auto"/>
              </w:rPr>
            </w:pPr>
          </w:p>
        </w:tc>
        <w:tc>
          <w:tcPr>
            <w:tcW w:w="3880" w:type="dxa"/>
            <w:vAlign w:val="bottom"/>
            <w:gridSpan w:val="7"/>
          </w:tcPr>
          <w:p>
            <w:pPr>
              <w:jc w:val="right"/>
              <w:ind w:right="1005"/>
              <w:spacing w:after="0"/>
              <w:rPr>
                <w:sz w:val="20"/>
                <w:szCs w:val="20"/>
                <w:color w:val="auto"/>
              </w:rPr>
            </w:pPr>
            <w:r>
              <w:rPr>
                <w:rFonts w:ascii="Courier New" w:cs="Courier New" w:eastAsia="Courier New" w:hAnsi="Courier New"/>
                <w:sz w:val="15"/>
                <w:szCs w:val="15"/>
                <w:color w:val="auto"/>
                <w:w w:val="99"/>
              </w:rPr>
              <w:t>of Incorporation of the Company</w:t>
            </w:r>
          </w:p>
        </w:tc>
      </w:tr>
      <w:tr>
        <w:trPr>
          <w:trHeight w:val="173"/>
        </w:trPr>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6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(incorporated</w:t>
            </w:r>
          </w:p>
        </w:tc>
        <w:tc>
          <w:tcPr>
            <w:tcW w:w="126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w w:val="98"/>
              </w:rPr>
              <w:t>by reference</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130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9"/>
              </w:rPr>
              <w:t>Exhibit 3.1(a)</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w:t>
            </w:r>
          </w:p>
        </w:tc>
        <w:tc>
          <w:tcPr>
            <w:tcW w:w="2340" w:type="dxa"/>
            <w:vAlign w:val="bottom"/>
            <w:gridSpan w:val="3"/>
          </w:tcPr>
          <w:p>
            <w:pPr>
              <w:jc w:val="right"/>
              <w:ind w:right="1005"/>
              <w:spacing w:after="0"/>
              <w:rPr>
                <w:sz w:val="20"/>
                <w:szCs w:val="20"/>
                <w:color w:val="auto"/>
              </w:rPr>
            </w:pPr>
            <w:r>
              <w:rPr>
                <w:rFonts w:ascii="Courier New" w:cs="Courier New" w:eastAsia="Courier New" w:hAnsi="Courier New"/>
                <w:sz w:val="15"/>
                <w:szCs w:val="15"/>
                <w:color w:val="auto"/>
              </w:rPr>
              <w:t>the Company's</w:t>
            </w:r>
          </w:p>
        </w:tc>
      </w:tr>
      <w:tr>
        <w:trPr>
          <w:trHeight w:val="173"/>
        </w:trPr>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Quarterly</w:t>
            </w:r>
          </w:p>
        </w:tc>
        <w:tc>
          <w:tcPr>
            <w:tcW w:w="136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8"/>
              </w:rPr>
              <w:t>Report on Form</w:t>
            </w:r>
          </w:p>
        </w:tc>
        <w:tc>
          <w:tcPr>
            <w:tcW w:w="9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7"/>
              </w:rPr>
              <w:t>10-Q for</w:t>
            </w:r>
          </w:p>
        </w:tc>
        <w:tc>
          <w:tcPr>
            <w:tcW w:w="11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the three</w:t>
            </w:r>
          </w:p>
        </w:tc>
        <w:tc>
          <w:tcPr>
            <w:tcW w:w="2760" w:type="dxa"/>
            <w:vAlign w:val="bottom"/>
            <w:gridSpan w:val="4"/>
          </w:tcPr>
          <w:p>
            <w:pPr>
              <w:jc w:val="right"/>
              <w:ind w:right="1005"/>
              <w:spacing w:after="0"/>
              <w:rPr>
                <w:sz w:val="20"/>
                <w:szCs w:val="20"/>
                <w:color w:val="auto"/>
              </w:rPr>
            </w:pPr>
            <w:r>
              <w:rPr>
                <w:rFonts w:ascii="Courier New" w:cs="Courier New" w:eastAsia="Courier New" w:hAnsi="Courier New"/>
                <w:sz w:val="15"/>
                <w:szCs w:val="15"/>
                <w:color w:val="auto"/>
              </w:rPr>
              <w:t>months ended March</w:t>
            </w:r>
          </w:p>
        </w:tc>
      </w:tr>
      <w:tr>
        <w:trPr>
          <w:trHeight w:val="173"/>
        </w:trPr>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7"/>
              </w:rPr>
              <w:t>31, 1996).</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47"/>
        </w:trPr>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4.6</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Conformed</w:t>
            </w:r>
          </w:p>
        </w:tc>
        <w:tc>
          <w:tcPr>
            <w:tcW w:w="3380" w:type="dxa"/>
            <w:vAlign w:val="bottom"/>
            <w:gridSpan w:val="9"/>
          </w:tcPr>
          <w:p>
            <w:pPr>
              <w:ind w:left="100"/>
              <w:spacing w:after="0"/>
              <w:rPr>
                <w:sz w:val="20"/>
                <w:szCs w:val="20"/>
                <w:color w:val="auto"/>
              </w:rPr>
            </w:pPr>
            <w:r>
              <w:rPr>
                <w:rFonts w:ascii="Courier New" w:cs="Courier New" w:eastAsia="Courier New" w:hAnsi="Courier New"/>
                <w:sz w:val="15"/>
                <w:szCs w:val="15"/>
                <w:color w:val="auto"/>
              </w:rPr>
              <w:t>Copy  of  Restated  Certificate  of</w:t>
            </w:r>
          </w:p>
        </w:tc>
        <w:tc>
          <w:tcPr>
            <w:tcW w:w="13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Incorporation</w:t>
            </w:r>
          </w:p>
        </w:tc>
        <w:tc>
          <w:tcPr>
            <w:tcW w:w="144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as</w:t>
            </w:r>
          </w:p>
        </w:tc>
      </w:tr>
      <w:tr>
        <w:trPr>
          <w:trHeight w:val="173"/>
        </w:trPr>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ind w:left="300"/>
              <w:spacing w:after="0"/>
              <w:rPr>
                <w:sz w:val="20"/>
                <w:szCs w:val="20"/>
                <w:color w:val="auto"/>
              </w:rPr>
            </w:pPr>
            <w:r>
              <w:rPr>
                <w:rFonts w:ascii="Courier New" w:cs="Courier New" w:eastAsia="Courier New" w:hAnsi="Courier New"/>
                <w:sz w:val="15"/>
                <w:szCs w:val="15"/>
                <w:color w:val="auto"/>
              </w:rPr>
              <w:t>amended</w:t>
            </w:r>
          </w:p>
        </w:tc>
        <w:tc>
          <w:tcPr>
            <w:tcW w:w="15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of  the Company</w:t>
            </w:r>
          </w:p>
        </w:tc>
        <w:tc>
          <w:tcPr>
            <w:tcW w:w="136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(incorporated</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by</w:t>
            </w:r>
          </w:p>
        </w:tc>
        <w:tc>
          <w:tcPr>
            <w:tcW w:w="126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reference to</w:t>
            </w:r>
          </w:p>
        </w:tc>
        <w:tc>
          <w:tcPr>
            <w:tcW w:w="180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Exhibit</w:t>
            </w:r>
          </w:p>
        </w:tc>
      </w:tr>
      <w:tr>
        <w:trPr>
          <w:trHeight w:val="173"/>
        </w:trPr>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ind w:left="300"/>
              <w:spacing w:after="0"/>
              <w:rPr>
                <w:sz w:val="20"/>
                <w:szCs w:val="20"/>
                <w:color w:val="auto"/>
              </w:rPr>
            </w:pPr>
            <w:r>
              <w:rPr>
                <w:rFonts w:ascii="Courier New" w:cs="Courier New" w:eastAsia="Courier New" w:hAnsi="Courier New"/>
                <w:sz w:val="15"/>
                <w:szCs w:val="15"/>
                <w:color w:val="auto"/>
              </w:rPr>
              <w:t>3.1(b)</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to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the</w:t>
            </w:r>
          </w:p>
        </w:tc>
        <w:tc>
          <w:tcPr>
            <w:tcW w:w="1800" w:type="dxa"/>
            <w:vAlign w:val="bottom"/>
            <w:gridSpan w:val="5"/>
          </w:tcPr>
          <w:p>
            <w:pPr>
              <w:jc w:val="center"/>
              <w:ind w:left="5"/>
              <w:spacing w:after="0"/>
              <w:rPr>
                <w:sz w:val="20"/>
                <w:szCs w:val="20"/>
                <w:color w:val="auto"/>
              </w:rPr>
            </w:pPr>
            <w:r>
              <w:rPr>
                <w:rFonts w:ascii="Courier New" w:cs="Courier New" w:eastAsia="Courier New" w:hAnsi="Courier New"/>
                <w:sz w:val="15"/>
                <w:szCs w:val="15"/>
                <w:color w:val="auto"/>
              </w:rPr>
              <w:t>Company's Quarterly</w:t>
            </w:r>
          </w:p>
        </w:tc>
        <w:tc>
          <w:tcPr>
            <w:tcW w:w="11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Report on</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Form 10-Q</w:t>
            </w:r>
          </w:p>
        </w:tc>
        <w:tc>
          <w:tcPr>
            <w:tcW w:w="180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for the</w:t>
            </w:r>
          </w:p>
        </w:tc>
      </w:tr>
      <w:tr>
        <w:trPr>
          <w:trHeight w:val="173"/>
        </w:trPr>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60" w:type="dxa"/>
            <w:vAlign w:val="bottom"/>
            <w:gridSpan w:val="8"/>
          </w:tcPr>
          <w:p>
            <w:pPr>
              <w:ind w:left="300"/>
              <w:spacing w:after="0"/>
              <w:rPr>
                <w:sz w:val="20"/>
                <w:szCs w:val="20"/>
                <w:color w:val="auto"/>
              </w:rPr>
            </w:pPr>
            <w:r>
              <w:rPr>
                <w:rFonts w:ascii="Courier New" w:cs="Courier New" w:eastAsia="Courier New" w:hAnsi="Courier New"/>
                <w:sz w:val="15"/>
                <w:szCs w:val="15"/>
                <w:color w:val="auto"/>
                <w:w w:val="99"/>
              </w:rPr>
              <w:t>three months ended March 31, 1996).</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47"/>
        </w:trPr>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4.7</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Bylaws of</w:t>
            </w:r>
          </w:p>
        </w:tc>
        <w:tc>
          <w:tcPr>
            <w:tcW w:w="3800" w:type="dxa"/>
            <w:vAlign w:val="bottom"/>
            <w:gridSpan w:val="10"/>
          </w:tcPr>
          <w:p>
            <w:pPr>
              <w:ind w:left="100"/>
              <w:spacing w:after="0"/>
              <w:rPr>
                <w:sz w:val="20"/>
                <w:szCs w:val="20"/>
                <w:color w:val="auto"/>
              </w:rPr>
            </w:pPr>
            <w:r>
              <w:rPr>
                <w:rFonts w:ascii="Courier New" w:cs="Courier New" w:eastAsia="Courier New" w:hAnsi="Courier New"/>
                <w:sz w:val="15"/>
                <w:szCs w:val="15"/>
                <w:color w:val="auto"/>
              </w:rPr>
              <w:t>the Company (Incorporated  by reference</w:t>
            </w:r>
          </w:p>
        </w:tc>
        <w:tc>
          <w:tcPr>
            <w:tcW w:w="2340" w:type="dxa"/>
            <w:vAlign w:val="bottom"/>
            <w:gridSpan w:val="3"/>
          </w:tcPr>
          <w:p>
            <w:pPr>
              <w:jc w:val="right"/>
              <w:ind w:right="1005"/>
              <w:spacing w:after="0"/>
              <w:rPr>
                <w:sz w:val="20"/>
                <w:szCs w:val="20"/>
                <w:color w:val="auto"/>
              </w:rPr>
            </w:pPr>
            <w:r>
              <w:rPr>
                <w:rFonts w:ascii="Courier New" w:cs="Courier New" w:eastAsia="Courier New" w:hAnsi="Courier New"/>
                <w:sz w:val="15"/>
                <w:szCs w:val="15"/>
                <w:color w:val="auto"/>
                <w:w w:val="98"/>
              </w:rPr>
              <w:t>to Exhibit 3.2</w:t>
            </w:r>
          </w:p>
        </w:tc>
      </w:tr>
      <w:tr>
        <w:trPr>
          <w:trHeight w:val="173"/>
        </w:trPr>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80" w:type="dxa"/>
            <w:vAlign w:val="bottom"/>
            <w:gridSpan w:val="4"/>
          </w:tcPr>
          <w:p>
            <w:pPr>
              <w:ind w:left="300"/>
              <w:spacing w:after="0"/>
              <w:rPr>
                <w:sz w:val="20"/>
                <w:szCs w:val="20"/>
                <w:color w:val="auto"/>
              </w:rPr>
            </w:pPr>
            <w:r>
              <w:rPr>
                <w:rFonts w:ascii="Courier New" w:cs="Courier New" w:eastAsia="Courier New" w:hAnsi="Courier New"/>
                <w:sz w:val="15"/>
                <w:szCs w:val="15"/>
                <w:color w:val="auto"/>
              </w:rPr>
              <w:t>to Post-Effective</w:t>
            </w:r>
          </w:p>
        </w:tc>
        <w:tc>
          <w:tcPr>
            <w:tcW w:w="130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Amendment No.</w:t>
            </w:r>
          </w:p>
        </w:tc>
        <w:tc>
          <w:tcPr>
            <w:tcW w:w="10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1 to the</w:t>
            </w:r>
          </w:p>
        </w:tc>
        <w:tc>
          <w:tcPr>
            <w:tcW w:w="3060" w:type="dxa"/>
            <w:vAlign w:val="bottom"/>
            <w:gridSpan w:val="5"/>
          </w:tcPr>
          <w:p>
            <w:pPr>
              <w:jc w:val="right"/>
              <w:ind w:right="1005"/>
              <w:spacing w:after="0"/>
              <w:rPr>
                <w:sz w:val="20"/>
                <w:szCs w:val="20"/>
                <w:color w:val="auto"/>
              </w:rPr>
            </w:pPr>
            <w:r>
              <w:rPr>
                <w:rFonts w:ascii="Courier New" w:cs="Courier New" w:eastAsia="Courier New" w:hAnsi="Courier New"/>
                <w:sz w:val="15"/>
                <w:szCs w:val="15"/>
                <w:color w:val="auto"/>
                <w:w w:val="98"/>
              </w:rPr>
              <w:t>Company's Registration</w:t>
            </w:r>
          </w:p>
        </w:tc>
      </w:tr>
      <w:tr>
        <w:trPr>
          <w:trHeight w:val="173"/>
        </w:trPr>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80" w:type="dxa"/>
            <w:vAlign w:val="bottom"/>
            <w:gridSpan w:val="10"/>
          </w:tcPr>
          <w:p>
            <w:pPr>
              <w:ind w:left="300"/>
              <w:spacing w:after="0"/>
              <w:rPr>
                <w:sz w:val="20"/>
                <w:szCs w:val="20"/>
                <w:color w:val="auto"/>
              </w:rPr>
            </w:pPr>
            <w:r>
              <w:rPr>
                <w:rFonts w:ascii="Courier New" w:cs="Courier New" w:eastAsia="Courier New" w:hAnsi="Courier New"/>
                <w:sz w:val="15"/>
                <w:szCs w:val="15"/>
                <w:color w:val="auto"/>
              </w:rPr>
              <w:t>Statement on Form S-4 (File No. 33-60103)).</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47"/>
        </w:trPr>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4.8</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3"/>
          </w:tcPr>
          <w:p>
            <w:pPr>
              <w:ind w:left="300"/>
              <w:spacing w:after="0"/>
              <w:rPr>
                <w:sz w:val="20"/>
                <w:szCs w:val="20"/>
                <w:color w:val="auto"/>
              </w:rPr>
            </w:pPr>
            <w:r>
              <w:rPr>
                <w:rFonts w:ascii="Courier New" w:cs="Courier New" w:eastAsia="Courier New" w:hAnsi="Courier New"/>
                <w:sz w:val="15"/>
                <w:szCs w:val="15"/>
                <w:color w:val="auto"/>
                <w:w w:val="99"/>
              </w:rPr>
              <w:t>Specimen Common</w:t>
            </w:r>
          </w:p>
        </w:tc>
        <w:tc>
          <w:tcPr>
            <w:tcW w:w="1800" w:type="dxa"/>
            <w:vAlign w:val="bottom"/>
            <w:gridSpan w:val="5"/>
          </w:tcPr>
          <w:p>
            <w:pPr>
              <w:jc w:val="center"/>
              <w:ind w:left="25"/>
              <w:spacing w:after="0"/>
              <w:rPr>
                <w:sz w:val="20"/>
                <w:szCs w:val="20"/>
                <w:color w:val="auto"/>
              </w:rPr>
            </w:pPr>
            <w:r>
              <w:rPr>
                <w:rFonts w:ascii="Courier New" w:cs="Courier New" w:eastAsia="Courier New" w:hAnsi="Courier New"/>
                <w:sz w:val="15"/>
                <w:szCs w:val="15"/>
                <w:color w:val="auto"/>
              </w:rPr>
              <w:t>Stock Certificate</w:t>
            </w:r>
          </w:p>
        </w:tc>
        <w:tc>
          <w:tcPr>
            <w:tcW w:w="15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(incorporated by</w:t>
            </w:r>
          </w:p>
        </w:tc>
        <w:tc>
          <w:tcPr>
            <w:tcW w:w="2340" w:type="dxa"/>
            <w:vAlign w:val="bottom"/>
            <w:gridSpan w:val="3"/>
          </w:tcPr>
          <w:p>
            <w:pPr>
              <w:jc w:val="right"/>
              <w:ind w:right="1005"/>
              <w:spacing w:after="0"/>
              <w:rPr>
                <w:sz w:val="20"/>
                <w:szCs w:val="20"/>
                <w:color w:val="auto"/>
              </w:rPr>
            </w:pPr>
            <w:r>
              <w:rPr>
                <w:rFonts w:ascii="Courier New" w:cs="Courier New" w:eastAsia="Courier New" w:hAnsi="Courier New"/>
                <w:sz w:val="15"/>
                <w:szCs w:val="15"/>
                <w:color w:val="auto"/>
              </w:rPr>
              <w:t>reference to</w:t>
            </w:r>
          </w:p>
        </w:tc>
      </w:tr>
      <w:tr>
        <w:trPr>
          <w:trHeight w:val="173"/>
        </w:trPr>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80" w:type="dxa"/>
            <w:vAlign w:val="bottom"/>
            <w:gridSpan w:val="4"/>
          </w:tcPr>
          <w:p>
            <w:pPr>
              <w:ind w:left="300"/>
              <w:spacing w:after="0"/>
              <w:rPr>
                <w:sz w:val="20"/>
                <w:szCs w:val="20"/>
                <w:color w:val="auto"/>
              </w:rPr>
            </w:pPr>
            <w:r>
              <w:rPr>
                <w:rFonts w:ascii="Courier New" w:cs="Courier New" w:eastAsia="Courier New" w:hAnsi="Courier New"/>
                <w:sz w:val="15"/>
                <w:szCs w:val="15"/>
                <w:color w:val="auto"/>
              </w:rPr>
              <w:t>Exhibit 4.3 to the</w:t>
            </w:r>
          </w:p>
        </w:tc>
        <w:tc>
          <w:tcPr>
            <w:tcW w:w="302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Company's Registration Statement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on Form</w:t>
            </w:r>
          </w:p>
        </w:tc>
        <w:tc>
          <w:tcPr>
            <w:tcW w:w="144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S-3</w:t>
            </w:r>
          </w:p>
        </w:tc>
      </w:tr>
      <w:tr>
        <w:trPr>
          <w:trHeight w:val="173"/>
        </w:trPr>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560" w:type="dxa"/>
            <w:vAlign w:val="bottom"/>
            <w:gridSpan w:val="5"/>
          </w:tcPr>
          <w:p>
            <w:pPr>
              <w:ind w:left="300"/>
              <w:spacing w:after="0"/>
              <w:rPr>
                <w:sz w:val="20"/>
                <w:szCs w:val="20"/>
                <w:color w:val="auto"/>
              </w:rPr>
            </w:pPr>
            <w:r>
              <w:rPr>
                <w:rFonts w:ascii="Courier New" w:cs="Courier New" w:eastAsia="Courier New" w:hAnsi="Courier New"/>
                <w:sz w:val="15"/>
                <w:szCs w:val="15"/>
                <w:color w:val="auto"/>
              </w:rPr>
              <w:t>(File No. 33-76224)).</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7"/>
              </w:rPr>
              <w:t>Opinion of</w:t>
            </w:r>
          </w:p>
        </w:tc>
        <w:tc>
          <w:tcPr>
            <w:tcW w:w="7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Vinson</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&amp; Elkins</w:t>
            </w:r>
          </w:p>
        </w:tc>
        <w:tc>
          <w:tcPr>
            <w:tcW w:w="100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L.L.P. as</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to</w:t>
            </w:r>
          </w:p>
        </w:tc>
        <w:tc>
          <w:tcPr>
            <w:tcW w:w="126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the legality</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w:t>
            </w:r>
          </w:p>
        </w:tc>
        <w:tc>
          <w:tcPr>
            <w:tcW w:w="144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the</w:t>
            </w:r>
          </w:p>
        </w:tc>
      </w:tr>
      <w:tr>
        <w:trPr>
          <w:trHeight w:val="173"/>
        </w:trPr>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7"/>
              </w:rPr>
              <w:t>Securities</w:t>
            </w:r>
          </w:p>
        </w:tc>
        <w:tc>
          <w:tcPr>
            <w:tcW w:w="172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being registered.</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47"/>
        </w:trPr>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12.1**</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000" w:type="dxa"/>
            <w:vAlign w:val="bottom"/>
            <w:gridSpan w:val="12"/>
          </w:tcPr>
          <w:p>
            <w:pPr>
              <w:ind w:left="300"/>
              <w:spacing w:after="0"/>
              <w:rPr>
                <w:sz w:val="20"/>
                <w:szCs w:val="20"/>
                <w:color w:val="auto"/>
              </w:rPr>
            </w:pPr>
            <w:r>
              <w:rPr>
                <w:rFonts w:ascii="Courier New" w:cs="Courier New" w:eastAsia="Courier New" w:hAnsi="Courier New"/>
                <w:sz w:val="15"/>
                <w:szCs w:val="15"/>
                <w:color w:val="auto"/>
              </w:rPr>
              <w:t>Computation of ratios of earnings to fixed charges.</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23.1****</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7"/>
              </w:rPr>
              <w:t>Consent of</w:t>
            </w:r>
          </w:p>
        </w:tc>
        <w:tc>
          <w:tcPr>
            <w:tcW w:w="4700" w:type="dxa"/>
            <w:vAlign w:val="bottom"/>
            <w:gridSpan w:val="12"/>
          </w:tcPr>
          <w:p>
            <w:pPr>
              <w:ind w:left="100"/>
              <w:spacing w:after="0"/>
              <w:rPr>
                <w:sz w:val="20"/>
                <w:szCs w:val="20"/>
                <w:color w:val="auto"/>
              </w:rPr>
            </w:pPr>
            <w:r>
              <w:rPr>
                <w:rFonts w:ascii="Courier New" w:cs="Courier New" w:eastAsia="Courier New" w:hAnsi="Courier New"/>
                <w:sz w:val="15"/>
                <w:szCs w:val="15"/>
                <w:color w:val="auto"/>
              </w:rPr>
              <w:t>Vinson &amp; Elkins L.L.P. (included in Exhibit 5.1).</w:t>
            </w:r>
          </w:p>
        </w:tc>
        <w:tc>
          <w:tcPr>
            <w:tcW w:w="144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7"/>
              </w:rPr>
              <w:t>Consent of</w:t>
            </w:r>
          </w:p>
        </w:tc>
        <w:tc>
          <w:tcPr>
            <w:tcW w:w="2260" w:type="dxa"/>
            <w:vAlign w:val="bottom"/>
            <w:gridSpan w:val="6"/>
          </w:tcPr>
          <w:p>
            <w:pPr>
              <w:ind w:left="100"/>
              <w:spacing w:after="0"/>
              <w:rPr>
                <w:sz w:val="20"/>
                <w:szCs w:val="20"/>
                <w:color w:val="auto"/>
              </w:rPr>
            </w:pPr>
            <w:r>
              <w:rPr>
                <w:rFonts w:ascii="Courier New" w:cs="Courier New" w:eastAsia="Courier New" w:hAnsi="Courier New"/>
                <w:sz w:val="15"/>
                <w:szCs w:val="15"/>
                <w:color w:val="auto"/>
                <w:w w:val="99"/>
              </w:rPr>
              <w:t>Coopers &amp; Lybrand L.L.P.</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23.3****</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7"/>
              </w:rPr>
              <w:t>Consent of</w:t>
            </w:r>
          </w:p>
        </w:tc>
        <w:tc>
          <w:tcPr>
            <w:tcW w:w="208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Arthur Andersen LLP.</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23.4****</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7"/>
              </w:rPr>
              <w:t>Consent of</w:t>
            </w:r>
          </w:p>
        </w:tc>
        <w:tc>
          <w:tcPr>
            <w:tcW w:w="172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Ernst &amp; Young LLP.</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23.5****</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7"/>
              </w:rPr>
              <w:t>Consent of</w:t>
            </w:r>
          </w:p>
        </w:tc>
        <w:tc>
          <w:tcPr>
            <w:tcW w:w="208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8"/>
              </w:rPr>
              <w:t>Deloitte &amp; Touche LLP.</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23.6****</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7"/>
              </w:rPr>
              <w:t>Consent of</w:t>
            </w:r>
          </w:p>
        </w:tc>
        <w:tc>
          <w:tcPr>
            <w:tcW w:w="3800" w:type="dxa"/>
            <w:vAlign w:val="bottom"/>
            <w:gridSpan w:val="10"/>
          </w:tcPr>
          <w:p>
            <w:pPr>
              <w:ind w:left="100"/>
              <w:spacing w:after="0"/>
              <w:rPr>
                <w:sz w:val="20"/>
                <w:szCs w:val="20"/>
                <w:color w:val="auto"/>
              </w:rPr>
            </w:pPr>
            <w:r>
              <w:rPr>
                <w:rFonts w:ascii="Courier New" w:cs="Courier New" w:eastAsia="Courier New" w:hAnsi="Courier New"/>
                <w:sz w:val="15"/>
                <w:szCs w:val="15"/>
                <w:color w:val="auto"/>
                <w:w w:val="99"/>
              </w:rPr>
              <w:t>Deloitte &amp; Touche, Chartered Accountants.</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7"/>
              </w:rPr>
              <w:t>Consent of</w:t>
            </w:r>
          </w:p>
        </w:tc>
        <w:tc>
          <w:tcPr>
            <w:tcW w:w="2260" w:type="dxa"/>
            <w:vAlign w:val="bottom"/>
            <w:gridSpan w:val="6"/>
          </w:tcPr>
          <w:p>
            <w:pPr>
              <w:ind w:left="100"/>
              <w:spacing w:after="0"/>
              <w:rPr>
                <w:sz w:val="20"/>
                <w:szCs w:val="20"/>
                <w:color w:val="auto"/>
              </w:rPr>
            </w:pPr>
            <w:r>
              <w:rPr>
                <w:rFonts w:ascii="Courier New" w:cs="Courier New" w:eastAsia="Courier New" w:hAnsi="Courier New"/>
                <w:sz w:val="15"/>
                <w:szCs w:val="15"/>
                <w:color w:val="auto"/>
                <w:w w:val="99"/>
              </w:rPr>
              <w:t>Coopers &amp; Lybrand L.L.P.</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23.8****</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300"/>
              <w:spacing w:after="0"/>
              <w:rPr>
                <w:sz w:val="20"/>
                <w:szCs w:val="20"/>
                <w:color w:val="auto"/>
              </w:rPr>
            </w:pPr>
            <w:r>
              <w:rPr>
                <w:rFonts w:ascii="Courier New" w:cs="Courier New" w:eastAsia="Courier New" w:hAnsi="Courier New"/>
                <w:sz w:val="15"/>
                <w:szCs w:val="15"/>
                <w:color w:val="auto"/>
              </w:rPr>
              <w:t>Consent</w:t>
            </w:r>
          </w:p>
        </w:tc>
        <w:tc>
          <w:tcPr>
            <w:tcW w:w="18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12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9"/>
              </w:rPr>
              <w:t>Kaplan  Sipos</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&amp;</w:t>
            </w:r>
          </w:p>
        </w:tc>
        <w:tc>
          <w:tcPr>
            <w:tcW w:w="180" w:type="dxa"/>
            <w:vAlign w:val="bottom"/>
          </w:tcPr>
          <w:p>
            <w:pPr>
              <w:spacing w:after="0"/>
              <w:rPr>
                <w:sz w:val="24"/>
                <w:szCs w:val="24"/>
                <w:color w:val="auto"/>
              </w:rPr>
            </w:pPr>
          </w:p>
        </w:tc>
        <w:tc>
          <w:tcPr>
            <w:tcW w:w="1120" w:type="dxa"/>
            <w:vAlign w:val="bottom"/>
            <w:gridSpan w:val="3"/>
          </w:tcPr>
          <w:p>
            <w:pPr>
              <w:jc w:val="center"/>
              <w:ind w:right="145"/>
              <w:spacing w:after="0"/>
              <w:rPr>
                <w:sz w:val="20"/>
                <w:szCs w:val="20"/>
                <w:color w:val="auto"/>
              </w:rPr>
            </w:pPr>
            <w:r>
              <w:rPr>
                <w:rFonts w:ascii="Courier New" w:cs="Courier New" w:eastAsia="Courier New" w:hAnsi="Courier New"/>
                <w:sz w:val="15"/>
                <w:szCs w:val="15"/>
                <w:color w:val="auto"/>
                <w:w w:val="99"/>
              </w:rPr>
              <w:t>Associates</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Certified</w:t>
            </w:r>
          </w:p>
        </w:tc>
        <w:tc>
          <w:tcPr>
            <w:tcW w:w="180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Public</w:t>
            </w:r>
          </w:p>
        </w:tc>
      </w:tr>
      <w:tr>
        <w:trPr>
          <w:trHeight w:val="173"/>
        </w:trPr>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6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Accountants.</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23.9****</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7"/>
              </w:rPr>
              <w:t>Consent of</w:t>
            </w:r>
          </w:p>
        </w:tc>
        <w:tc>
          <w:tcPr>
            <w:tcW w:w="3080" w:type="dxa"/>
            <w:vAlign w:val="bottom"/>
            <w:gridSpan w:val="8"/>
          </w:tcPr>
          <w:p>
            <w:pPr>
              <w:ind w:left="100"/>
              <w:spacing w:after="0"/>
              <w:rPr>
                <w:sz w:val="20"/>
                <w:szCs w:val="20"/>
                <w:color w:val="auto"/>
              </w:rPr>
            </w:pPr>
            <w:r>
              <w:rPr>
                <w:rFonts w:ascii="Courier New" w:cs="Courier New" w:eastAsia="Courier New" w:hAnsi="Courier New"/>
                <w:sz w:val="15"/>
                <w:szCs w:val="15"/>
                <w:color w:val="auto"/>
              </w:rPr>
              <w:t>Blake, Kuehler, Babione &amp; Pool.</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7"/>
        </w:trPr>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23.10****</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7"/>
              </w:rPr>
              <w:t>Consent of</w:t>
            </w:r>
          </w:p>
        </w:tc>
        <w:tc>
          <w:tcPr>
            <w:tcW w:w="272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Buckno Lisicky &amp; Company.</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9959"/>
          </w:cols>
          <w:pgMar w:left="500" w:top="291" w:right="1440" w:bottom="1440" w:gutter="0" w:footer="0" w:header="0"/>
        </w:sectPr>
      </w:pPr>
    </w:p>
    <w:bookmarkStart w:id="26" w:name="page27"/>
    <w:bookmarkEnd w:id="26"/>
    <w:tbl>
      <w:tblPr>
        <w:tblLayout w:type="fixed"/>
        <w:tblInd w:w="268" w:type="dxa"/>
        <w:tblCellMar>
          <w:top w:w="0" w:type="dxa"/>
          <w:left w:w="0" w:type="dxa"/>
          <w:bottom w:w="0" w:type="dxa"/>
          <w:right w:w="0" w:type="dxa"/>
        </w:tblCellMar>
      </w:tblPr>
      <w:tr>
        <w:trPr>
          <w:trHeight w:val="170"/>
        </w:trPr>
        <w:tc>
          <w:tcPr>
            <w:tcW w:w="1080" w:type="dxa"/>
            <w:vAlign w:val="bottom"/>
          </w:tcPr>
          <w:p>
            <w:pPr>
              <w:jc w:val="right"/>
              <w:ind w:right="825"/>
              <w:spacing w:after="0"/>
              <w:rPr>
                <w:sz w:val="20"/>
                <w:szCs w:val="20"/>
                <w:color w:val="auto"/>
              </w:rPr>
            </w:pPr>
            <w:r>
              <w:rPr>
                <w:rFonts w:ascii="Courier New" w:cs="Courier New" w:eastAsia="Courier New" w:hAnsi="Courier New"/>
                <w:sz w:val="15"/>
                <w:szCs w:val="15"/>
                <w:color w:val="auto"/>
                <w:w w:val="88"/>
              </w:rPr>
              <w:t>27</w:t>
            </w:r>
          </w:p>
        </w:tc>
        <w:tc>
          <w:tcPr>
            <w:tcW w:w="600" w:type="dxa"/>
            <w:vAlign w:val="bottom"/>
          </w:tcPr>
          <w:p>
            <w:pPr>
              <w:spacing w:after="0"/>
              <w:rPr>
                <w:sz w:val="14"/>
                <w:szCs w:val="14"/>
                <w:color w:val="auto"/>
              </w:rPr>
            </w:pPr>
          </w:p>
        </w:tc>
        <w:tc>
          <w:tcPr>
            <w:tcW w:w="3820" w:type="dxa"/>
            <w:vAlign w:val="bottom"/>
          </w:tcPr>
          <w:p>
            <w:pPr>
              <w:spacing w:after="0"/>
              <w:rPr>
                <w:sz w:val="14"/>
                <w:szCs w:val="14"/>
                <w:color w:val="auto"/>
              </w:rPr>
            </w:pPr>
          </w:p>
        </w:tc>
      </w:tr>
      <w:tr>
        <w:trPr>
          <w:trHeight w:val="520"/>
        </w:trPr>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23.11****</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820" w:type="dxa"/>
            <w:vAlign w:val="bottom"/>
          </w:tcPr>
          <w:p>
            <w:pPr>
              <w:ind w:left="300"/>
              <w:spacing w:after="0"/>
              <w:rPr>
                <w:sz w:val="20"/>
                <w:szCs w:val="20"/>
                <w:color w:val="auto"/>
              </w:rPr>
            </w:pPr>
            <w:r>
              <w:rPr>
                <w:rFonts w:ascii="Courier New" w:cs="Courier New" w:eastAsia="Courier New" w:hAnsi="Courier New"/>
                <w:sz w:val="15"/>
                <w:szCs w:val="15"/>
                <w:color w:val="auto"/>
                <w:w w:val="99"/>
              </w:rPr>
              <w:t>Consent of Osburn, Henning and Company.</w:t>
            </w:r>
          </w:p>
        </w:tc>
      </w:tr>
      <w:tr>
        <w:trPr>
          <w:trHeight w:val="347"/>
        </w:trPr>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24.1**</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820" w:type="dxa"/>
            <w:vAlign w:val="bottom"/>
          </w:tcPr>
          <w:p>
            <w:pPr>
              <w:ind w:left="300"/>
              <w:spacing w:after="0"/>
              <w:rPr>
                <w:sz w:val="20"/>
                <w:szCs w:val="20"/>
                <w:color w:val="auto"/>
              </w:rPr>
            </w:pPr>
            <w:r>
              <w:rPr>
                <w:rFonts w:ascii="Courier New" w:cs="Courier New" w:eastAsia="Courier New" w:hAnsi="Courier New"/>
                <w:sz w:val="15"/>
                <w:szCs w:val="15"/>
                <w:color w:val="auto"/>
              </w:rPr>
              <w:t>Powers of Attorney.</w:t>
            </w:r>
          </w:p>
        </w:tc>
      </w:tr>
      <w:tr>
        <w:trPr>
          <w:trHeight w:val="347"/>
        </w:trPr>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25.1***</w:t>
            </w:r>
          </w:p>
        </w:tc>
        <w:tc>
          <w:tcPr>
            <w:tcW w:w="6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820" w:type="dxa"/>
            <w:vAlign w:val="bottom"/>
          </w:tcPr>
          <w:p>
            <w:pPr>
              <w:ind w:left="300"/>
              <w:spacing w:after="0"/>
              <w:rPr>
                <w:sz w:val="20"/>
                <w:szCs w:val="20"/>
                <w:color w:val="auto"/>
              </w:rPr>
            </w:pPr>
            <w:r>
              <w:rPr>
                <w:rFonts w:ascii="Courier New" w:cs="Courier New" w:eastAsia="Courier New" w:hAnsi="Courier New"/>
                <w:sz w:val="15"/>
                <w:szCs w:val="15"/>
                <w:color w:val="auto"/>
              </w:rPr>
              <w:t>Statements of Eligibility of Trustees.</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51" w:lineRule="exact"/>
        <w:rPr>
          <w:sz w:val="20"/>
          <w:szCs w:val="20"/>
          <w:color w:val="auto"/>
        </w:rPr>
      </w:pPr>
    </w:p>
    <w:p>
      <w:pPr>
        <w:ind w:left="808" w:right="3279" w:hanging="808"/>
        <w:spacing w:after="0" w:line="243" w:lineRule="auto"/>
        <w:tabs>
          <w:tab w:leader="none" w:pos="80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file any underwriting agreement relating to Debt Securities or Common Stock that it may enter into as an exhibit to a</w:t>
      </w:r>
    </w:p>
    <w:p>
      <w:pPr>
        <w:spacing w:after="0" w:line="175" w:lineRule="exact"/>
        <w:rPr>
          <w:sz w:val="20"/>
          <w:szCs w:val="20"/>
          <w:color w:val="auto"/>
        </w:rPr>
      </w:pPr>
    </w:p>
    <w:p>
      <w:pPr>
        <w:ind w:left="808" w:hanging="808"/>
        <w:spacing w:after="0"/>
        <w:tabs>
          <w:tab w:leader="none" w:pos="80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pacing w:after="0" w:line="4" w:lineRule="exact"/>
        <w:rPr>
          <w:rFonts w:ascii="Courier New" w:cs="Courier New" w:eastAsia="Courier New" w:hAnsi="Courier New"/>
          <w:sz w:val="15"/>
          <w:szCs w:val="15"/>
          <w:color w:val="auto"/>
        </w:rPr>
      </w:pPr>
    </w:p>
    <w:p>
      <w:pPr>
        <w:ind w:left="808" w:right="3099" w:hanging="808"/>
        <w:spacing w:after="0" w:line="244" w:lineRule="auto"/>
        <w:tabs>
          <w:tab w:leader="none" w:pos="80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file any form of Debt Securities and any Statement of Eligibility of Trustee not previously so filed as an exhibit to a Current Report on Form 8-K.</w:t>
      </w:r>
    </w:p>
    <w:p>
      <w:pPr>
        <w:spacing w:after="0" w:line="1"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291"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0"/>
        </w:trPr>
        <w:tc>
          <w:tcPr>
            <w:tcW w:w="3640" w:type="dxa"/>
            <w:vAlign w:val="bottom"/>
          </w:tcPr>
          <w:p>
            <w:pPr>
              <w:jc w:val="right"/>
              <w:ind w:right="3205"/>
              <w:spacing w:after="0"/>
              <w:rPr>
                <w:sz w:val="20"/>
                <w:szCs w:val="20"/>
                <w:color w:val="auto"/>
              </w:rPr>
            </w:pPr>
            <w:r>
              <w:rPr>
                <w:rFonts w:ascii="Courier New" w:cs="Courier New" w:eastAsia="Courier New" w:hAnsi="Courier New"/>
                <w:sz w:val="15"/>
                <w:szCs w:val="15"/>
                <w:color w:val="auto"/>
              </w:rPr>
              <w:t>1</w:t>
            </w:r>
          </w:p>
        </w:tc>
        <w:tc>
          <w:tcPr>
            <w:tcW w:w="3560" w:type="dxa"/>
            <w:vAlign w:val="bottom"/>
          </w:tcPr>
          <w:p>
            <w:pPr>
              <w:spacing w:after="0"/>
              <w:rPr>
                <w:sz w:val="14"/>
                <w:szCs w:val="14"/>
                <w:color w:val="auto"/>
              </w:rPr>
            </w:pPr>
          </w:p>
        </w:tc>
      </w:tr>
      <w:tr>
        <w:trPr>
          <w:trHeight w:val="173"/>
        </w:trPr>
        <w:tc>
          <w:tcPr>
            <w:tcW w:w="3640" w:type="dxa"/>
            <w:vAlign w:val="bottom"/>
          </w:tcPr>
          <w:p>
            <w:pPr>
              <w:jc w:val="right"/>
              <w:ind w:right="2225"/>
              <w:spacing w:after="0"/>
              <w:rPr>
                <w:sz w:val="20"/>
                <w:szCs w:val="20"/>
                <w:color w:val="auto"/>
              </w:rPr>
            </w:pPr>
            <w:r>
              <w:rPr>
                <w:rFonts w:ascii="Courier New" w:cs="Courier New" w:eastAsia="Courier New" w:hAnsi="Courier New"/>
                <w:sz w:val="15"/>
                <w:szCs w:val="15"/>
                <w:color w:val="auto"/>
                <w:w w:val="97"/>
              </w:rPr>
              <w:t>(713)  758-2222</w:t>
            </w:r>
          </w:p>
        </w:tc>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(713) 615-2346</w:t>
            </w:r>
          </w:p>
        </w:tc>
      </w:tr>
    </w:tbl>
    <w:p>
      <w:pPr>
        <w:spacing w:after="0" w:line="350"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January 14, 1997</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 Fannin, Suite 4000</w:t>
      </w:r>
    </w:p>
    <w:p>
      <w:pPr>
        <w:spacing w:after="0" w:line="3"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Houston, Texas</w:t>
      </w:r>
      <w:r>
        <w:rPr>
          <w:sz w:val="20"/>
          <w:szCs w:val="20"/>
          <w:color w:val="auto"/>
        </w:rPr>
        <w:tab/>
      </w:r>
      <w:r>
        <w:rPr>
          <w:rFonts w:ascii="Courier New" w:cs="Courier New" w:eastAsia="Courier New" w:hAnsi="Courier New"/>
          <w:sz w:val="14"/>
          <w:szCs w:val="14"/>
          <w:color w:val="auto"/>
        </w:rPr>
        <w:t>77002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We have acted as counsel to USA Waste Services, Inc., a Delaware corporation ("USA Waste"), in connection with the preparation of the Registration Statement on Form S-3 (the "Registration Statement") filed on December 6, 1996, with the Securities and Exchange Commission (the "Commission") under the Securities Act of 1933, as amended (the "Securities Act"), with respect to (a) USA Waste's (i) unsecured debt securities ("Debt Securities"), in one or more series, which may be senior or subordinated in priority of payment, any of which may be convertible or exchangeable into common stock, par value $.01 per share, of USA Waste ("Common Stock") and (ii) shares of Common Stock (such Debt Securities and Common Stock are collectively referred to herein as the "Securities"), which Securities may be issued from time to time pursuant to Rule 415 under the Securities Act for an aggregate initial offering price not to exceed $850,000,000.</w:t>
      </w:r>
    </w:p>
    <w:p>
      <w:pPr>
        <w:spacing w:after="0" w:line="182"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We have examined originals or copies, certified or otherwise identified to our satisfaction, of (i) the Restated Certificate of Incorporation and Bylaws of USA Waste, each as amended to the date hereof, (ii) the Senior Indenture (the "Senior Indenture") to be entered into between USA Waste and a trustee, in the form included as an exhibit to the Registration Statement, (iii) the Senior Subordinated Indenture (the "Subordinated Indenture") to be entered into between USA Waste and a trustee, in the form included as an exhibit to the Registration Statement, and (iv) such other certificates, statutes and other instruments and documents as we considered appropriate for purposes of the opinions hereafter expressed.</w:t>
      </w:r>
    </w:p>
    <w:p>
      <w:pPr>
        <w:spacing w:after="0" w:line="180"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 connection with this opinion, we have assumed that (i) the Registration Statement, and any amendments thereto (including post-effective amendments), will have become effective; (ii) a Prospectus Supplement will have been prepared and filed with the Commission describing the Securities offered thereby; (iii) all Securities will be issued and sold in compliance with applicable federal and state securities laws and in the manner described in the Registration Statement and the applicable Prospectus Supplement; (iv) the Senior Indenture and the Subordinated Indenture will each be duly authorized, executed and delivered by USA Waste and a trustee qualified under the Trust Indenture Act of 1939, as amended (the "TIA"), in substantially the form reviewed by us; (v)</w:t>
      </w:r>
    </w:p>
    <w:p>
      <w:pPr>
        <w:sectPr>
          <w:pgSz w:w="11900" w:h="16838" w:orient="portrait"/>
          <w:cols w:equalWidth="0" w:num="1">
            <w:col w:w="10219"/>
          </w:cols>
          <w:pgMar w:left="240" w:top="141" w:right="1440" w:bottom="1440" w:gutter="0" w:footer="0" w:header="0"/>
        </w:sectPr>
      </w:pPr>
    </w:p>
    <w:bookmarkStart w:id="28" w:name="page29"/>
    <w:bookmarkEnd w:id="28"/>
    <w:p>
      <w:pPr>
        <w:ind w:left="268"/>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Page 2</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January 14, 1997</w:t>
      </w:r>
    </w:p>
    <w:p>
      <w:pPr>
        <w:spacing w:after="0" w:line="351"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a definitive purchase, underwriting or similar agreement with respect to any Securities offered will have been duly authorized and validly executed and delivered by USA Waste and the other parties thereto; and (vi) any Securities issuable upon conversion, exchange or exercise of any Security being offered will have been duly authorized, created and, if appropriate, reserved for issuance upon such conversion, exchange or exercise.</w:t>
      </w:r>
    </w:p>
    <w:p>
      <w:pPr>
        <w:spacing w:after="0" w:line="176"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Based on the foregoing, we are of the opinion that:</w:t>
      </w:r>
    </w:p>
    <w:p>
      <w:pPr>
        <w:spacing w:after="0" w:line="178" w:lineRule="exact"/>
        <w:rPr>
          <w:sz w:val="20"/>
          <w:szCs w:val="20"/>
          <w:color w:val="auto"/>
        </w:rPr>
      </w:pPr>
    </w:p>
    <w:p>
      <w:pPr>
        <w:ind w:left="8" w:right="3279" w:firstLine="804"/>
        <w:spacing w:after="0" w:line="243" w:lineRule="auto"/>
        <w:tabs>
          <w:tab w:leader="none" w:pos="154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has been duly incorporated and is validly existing and in good standing under the laws of the State of Delaware.</w:t>
      </w:r>
    </w:p>
    <w:p>
      <w:pPr>
        <w:spacing w:after="0" w:line="176" w:lineRule="exact"/>
        <w:rPr>
          <w:rFonts w:ascii="Courier New" w:cs="Courier New" w:eastAsia="Courier New" w:hAnsi="Courier New"/>
          <w:sz w:val="15"/>
          <w:szCs w:val="15"/>
          <w:color w:val="auto"/>
        </w:rPr>
      </w:pPr>
    </w:p>
    <w:p>
      <w:pPr>
        <w:ind w:left="8" w:right="3099" w:firstLine="804"/>
        <w:spacing w:after="0" w:line="243" w:lineRule="auto"/>
        <w:tabs>
          <w:tab w:leader="none" w:pos="154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Debt Securities to be issued under the Senior Indenture, when (i) the Senior Indenture has been duly qualified under the TIA;</w:t>
      </w:r>
    </w:p>
    <w:p>
      <w:pPr>
        <w:spacing w:after="0" w:line="2" w:lineRule="exact"/>
        <w:rPr>
          <w:rFonts w:ascii="Courier New" w:cs="Courier New" w:eastAsia="Courier New" w:hAnsi="Courier New"/>
          <w:sz w:val="15"/>
          <w:szCs w:val="15"/>
          <w:color w:val="auto"/>
        </w:rPr>
      </w:pPr>
    </w:p>
    <w:p>
      <w:pPr>
        <w:ind w:left="8" w:right="3099" w:hanging="8"/>
        <w:spacing w:after="0" w:line="244" w:lineRule="auto"/>
        <w:tabs>
          <w:tab w:leader="none" w:pos="45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USA Waste or, to the extent permitted by Section 141 of the Delaware General Corporation Act (the "DGCL"), a duly constituted and acting committee thereof (such Board of Directors or committee being referred to herein as the "Board") has taken all necessary corporate action to approve the issuance and terms of such Debt Securities, the terms of the offering thereof and related matters; (iii) the terms of such Debt Securities and of their issuance and sale have been established so as not to violate any applicable law or result in a default under or breach of any agreement or instrument binding upon USA Waste and so as to comply with any requirement or restriction imposed by any court or governmental body having jurisdiction over USA Waste; and (iv) such Debt Securities have been duly executed, authenticated, issued and delivered in accordance with the provisions of the Senior Indenture and in accordance with the applicable definitive purchase, underwriting or similar agreement approved by the Board upon payment of the consideration provided for therein, such Debt Securities will be legally issued and will constitute valid and binding obligations of USA Waste, enforceable against USA Waste in accordance with their terms, except as such enforcement is subject to any applicable bankruptcy, insolvency, reorganization or other law relating to or affecting creditors' rights generally and general principles of equity and will be entitled to the benefits of the Senior Indenture.</w:t>
      </w:r>
    </w:p>
    <w:p>
      <w:pPr>
        <w:spacing w:after="0" w:line="186" w:lineRule="exact"/>
        <w:rPr>
          <w:rFonts w:ascii="Courier New" w:cs="Courier New" w:eastAsia="Courier New" w:hAnsi="Courier New"/>
          <w:sz w:val="15"/>
          <w:szCs w:val="15"/>
          <w:color w:val="auto"/>
        </w:rPr>
      </w:pPr>
    </w:p>
    <w:p>
      <w:pPr>
        <w:ind w:left="8" w:right="3099" w:firstLine="804"/>
        <w:spacing w:after="0" w:line="244" w:lineRule="auto"/>
        <w:tabs>
          <w:tab w:leader="none" w:pos="154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Debt Securities to be issued under the Subordinated Indenture, when (i) the Subordinated Indenture has been duly qualified under the TIA; (ii) the Board has taken all necessary corporate action to approve the issuance and terms of such Debt Securities, the terms of the offering thereof and related matters; (iii) the terms of such Debt Securities and of their issuance and sale have been established so as not to violate any applicable law or result in a default under or breach of any agreement or instrument binding upon USA Waste and so as to comply with any requirement or restriction imposed by any court or governmental body having jurisdiction over USA Waste; and (iv) such Debt Securities have been duly executed, authenticated, issued and delivered in accordance with the provisions of the Subordinated Indenture and in accordance with the applicable definitive purchase, underwriting or similar agreement approved by the Board upon payment of the consideration provided for therein, such Debt Securities will be legally issued and will constitute valid and binding obligations of USA Waste, enforceable against USA Waste in accordance with their terms, except as such enforcement is subject to any applicable bankruptcy,</w:t>
      </w:r>
    </w:p>
    <w:p>
      <w:pPr>
        <w:sectPr>
          <w:pgSz w:w="11900" w:h="16838" w:orient="portrait"/>
          <w:cols w:equalWidth="0" w:num="1">
            <w:col w:w="10227"/>
          </w:cols>
          <w:pgMar w:left="232" w:top="291"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14, 1997</w:t>
      </w:r>
    </w:p>
    <w:p>
      <w:pPr>
        <w:spacing w:after="0" w:line="351"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insolvency, reorganization or other law relating to or affecting creditors' rights generally and general principles of equity and will be entitled to the benefits of the Subordinated Indenture.</w:t>
      </w:r>
    </w:p>
    <w:p>
      <w:pPr>
        <w:spacing w:after="0" w:line="175" w:lineRule="exact"/>
        <w:rPr>
          <w:sz w:val="20"/>
          <w:szCs w:val="20"/>
          <w:color w:val="auto"/>
        </w:rPr>
      </w:pPr>
    </w:p>
    <w:p>
      <w:pPr>
        <w:ind w:right="3099" w:firstLine="804"/>
        <w:spacing w:after="0" w:line="244" w:lineRule="auto"/>
        <w:tabs>
          <w:tab w:leader="none" w:pos="1533"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shares of Common Stock, when (i) the Board has taken all necessary corporate action to approve the issuance and terms of the offering thereof and related matters; and (ii) certificates representing the shares of Common Stock have been duly executed, countersigned, registered and delivered either (a) in accordance with the applicable definitive purchase, underwriting or similar agreement approved by the Board upon payment of the consideration therefor (not less than the par value of the Common Stock) provided for therein, or (b) upon conversion, exchange or exercise of any other Security in accordance with the terms of such Security or the instrument governing such Security providing for such conversion, exchange or exercise as approved by the Board, for the consideration approved by the Board (not less than the par value of the Common Stock and, in the case of shares of Common Stock issued upon the conversion, exchange or exercise of another security, the consideration specified in Section 153 of the DGCL), the shares of Common Stock will be duly authorized, validly issued, fully paid and non-assessable.</w:t>
      </w:r>
    </w:p>
    <w:p>
      <w:pPr>
        <w:spacing w:after="0" w:line="183"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The foregoing opinions are limited in all respects to the laws of the State of New York, the General Corporation Law of the State of Delaware and federal laws.</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32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VINSON &amp; ELKINS L.L.P.</w:t>
      </w:r>
    </w:p>
    <w:p>
      <w:pPr>
        <w:sectPr>
          <w:pgSz w:w="11900" w:h="16838" w:orient="portrait"/>
          <w:cols w:equalWidth="0" w:num="1">
            <w:col w:w="10219"/>
          </w:cols>
          <w:pgMar w:left="240" w:top="291"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23.2</w:t>
      </w:r>
    </w:p>
    <w:p>
      <w:pPr>
        <w:spacing w:after="0" w:line="35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51"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Form S-3 (Amendment #1) of our report dated March 1, 1996, on our audits of the consolidated financial statements of USA Waste Services, Inc. and subsidiaries as of December 31, 1995 and 1994, and for each of the three years in the period ended December 31, 1995, which is included in USA Waste Services, Inc.'s Annual Report on Form 10-K for the fiscal year ended December 31, 1995, our report dated May 23, 1996, on our audits of the supplemental consolidated balance sheets of USA Waste Services, Inc. and subsidiaries as of December 31, 1995 and 1994, and the related supplemental consolidated statements of operations, stockholders' equity, and cash flows for each of the years in the three year period ended December 31, 1995, which are included in USA Waste Services, Inc.'s Current Report on Form 8-K/A filed on July 1, 1996 with the Securities and Exchange Commission, and our report dated November 8, 1996, on our audits of the supplemental consolidated balance sheets of USA Waste Services, Inc. and subsidiaries as of December 31, 1995 and 1994, and the related supplemental consolidated statements of operations, stockholders' equity, and cash flows for each of the years in the three year period ended December 31, 1995, which are included in USA Waste Services, Inc.'s Current Report on Form 8-K filed on November 12, 1996 with the Securities and Exchange Commission. We also consent to the reference to our firm under the caption "Experts."</w:t>
      </w:r>
    </w:p>
    <w:p>
      <w:pPr>
        <w:spacing w:after="0" w:line="359"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COOPERS &amp; LYBRAND L.L.P.</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10, 1997</w:t>
      </w:r>
    </w:p>
    <w:p>
      <w:pPr>
        <w:sectPr>
          <w:pgSz w:w="11900" w:h="16838" w:orient="portrait"/>
          <w:cols w:equalWidth="0" w:num="1">
            <w:col w:w="10219"/>
          </w:cols>
          <w:pgMar w:left="240" w:top="141"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23.3</w:t>
      </w:r>
    </w:p>
    <w:p>
      <w:pPr>
        <w:spacing w:after="0" w:line="350"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200" w:lineRule="exact"/>
        <w:rPr>
          <w:sz w:val="20"/>
          <w:szCs w:val="20"/>
          <w:color w:val="auto"/>
        </w:rPr>
      </w:pPr>
    </w:p>
    <w:p>
      <w:pPr>
        <w:spacing w:after="0" w:line="324"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in this registration statement of USA Waste Services, Inc. on Form S-3 of (a) our report dated February 23, 1996 (except with respect to the matters discussed in paragraphs one and two of Note 16, as to which the dates are March 4, 1996 and March 18, 1996 as indicated) with respect to the consolidated balance sheets of Sanifill, Inc. and subsidiaries as of December 31, 1995 and 1994, and the related consolidated statements of operations, stockholders' investment and cash flows for each of the three years in the period ended December 31, 1995 which is included in the Current Report on Form 8-K of USA Services, Inc. dated November 12, 1996; (b) our report dated September 13, 1996, with respect to the combined balance sheet of the Combined Companies (consisting of City Disposal, Inc., Alpine Disposal and Recycling, Inc. and L.G. Industries, Inc.) as of December 31, 1995, and the related combined statements of operations, stockholders' equity and partners' capital and cash flows for the year then ended, which is included in the Current Report on Form 8-K/A of USA Waste Services, Inc. filed on November 15, 1996; and (c) to all references to our Firm included in this registration statement.</w:t>
      </w:r>
    </w:p>
    <w:p>
      <w:pPr>
        <w:spacing w:after="0" w:line="200" w:lineRule="exact"/>
        <w:rPr>
          <w:sz w:val="20"/>
          <w:szCs w:val="20"/>
          <w:color w:val="auto"/>
        </w:rPr>
      </w:pPr>
    </w:p>
    <w:p>
      <w:pPr>
        <w:spacing w:after="0" w:line="330"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ARTHUR ANDERSEN LLP</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10, 1997</w:t>
      </w:r>
    </w:p>
    <w:p>
      <w:pPr>
        <w:sectPr>
          <w:pgSz w:w="11900" w:h="16838" w:orient="portrait"/>
          <w:cols w:equalWidth="0" w:num="1">
            <w:col w:w="10219"/>
          </w:cols>
          <w:pgMar w:left="240" w:top="141"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23.4</w:t>
      </w:r>
    </w:p>
    <w:p>
      <w:pPr>
        <w:spacing w:after="0" w:line="350"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CONSENT TO INDEPENDENT AUDITORS</w:t>
      </w:r>
    </w:p>
    <w:p>
      <w:pPr>
        <w:spacing w:after="0" w:line="351"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We consent to the reference to our firm under the caption "Experts" in the Registration Statement (Form S-3) and related prospectus of USA Waste Services, Inc. and to the incorporation by reference therein of our reports (a) dated August 25, 1995 (except Note 8, as to which the date is September 12, 1995) with respect to the consolidated financial statements of Western Waste Industries at June 30, 1995 and 1994, and for each of the three years in the period ended June 30, 1995 included in USA Waste Services, Inc.'s Current Report on Form 8-K dated January 9, 1996, and (b) dated August 25, 1995 (except Note 8, as to which the date is September 12, 1995) with respect to the consolidated financial statements of Western Waste Industries at June 30, 1995 and 1994, and for each of the two years in the period ended June 30, 1995 (which consolidated financial statements are not presented separately therein) included in USA Waste Services, Inc.'s Current Report on Form 8-K/A (Amendment No. 3) dated July 1, 1996; both filed with the Securities and Exchange Commission.</w:t>
      </w:r>
    </w:p>
    <w:p>
      <w:pPr>
        <w:spacing w:after="0" w:line="35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ERNST &amp; YOUNG LLP</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Beach, California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10, 1997</w:t>
      </w:r>
    </w:p>
    <w:p>
      <w:pPr>
        <w:sectPr>
          <w:pgSz w:w="11900" w:h="16838" w:orient="portrait"/>
          <w:cols w:equalWidth="0" w:num="1">
            <w:col w:w="10219"/>
          </w:cols>
          <w:pgMar w:left="240" w:top="141"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23.5</w:t>
      </w:r>
    </w:p>
    <w:p>
      <w:pPr>
        <w:spacing w:after="0" w:line="35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INDEPENDENT AUDITORS' CONSENT</w:t>
      </w:r>
    </w:p>
    <w:p>
      <w:pPr>
        <w:spacing w:after="0" w:line="200" w:lineRule="exact"/>
        <w:rPr>
          <w:sz w:val="20"/>
          <w:szCs w:val="20"/>
          <w:color w:val="auto"/>
        </w:rPr>
      </w:pPr>
    </w:p>
    <w:p>
      <w:pPr>
        <w:spacing w:after="0" w:line="32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consent to the incorporation by reference in this Amendment No. 1 to Registration Statement No. 333-17453 of USA Waste Services, Inc. on Form S-3 of our report dated March 30, 1995 (relating to the consolidated financial statements of Chambers Development Company, Inc. and subsidiaries not presented separately herein) appearing in USA Waste Services, Inc.'s Annual Report on Form 10-K for the year ended December 31, 1995 and USA Waste Services, Inc.'s Current Report on Form 8-K/A, Amendment No. 3, filed on July 1, 1996.</w:t>
      </w:r>
    </w:p>
    <w:p>
      <w:pPr>
        <w:spacing w:after="0" w:line="200" w:lineRule="exact"/>
        <w:rPr>
          <w:sz w:val="20"/>
          <w:szCs w:val="20"/>
          <w:color w:val="auto"/>
        </w:rPr>
      </w:pPr>
    </w:p>
    <w:p>
      <w:pPr>
        <w:spacing w:after="0" w:line="324" w:lineRule="exact"/>
        <w:rPr>
          <w:sz w:val="20"/>
          <w:szCs w:val="20"/>
          <w:color w:val="auto"/>
        </w:rPr>
      </w:pPr>
    </w:p>
    <w:p>
      <w:pPr>
        <w:ind w:left="5140"/>
        <w:spacing w:after="0"/>
        <w:rPr>
          <w:sz w:val="20"/>
          <w:szCs w:val="20"/>
          <w:color w:val="auto"/>
        </w:rPr>
      </w:pPr>
      <w:r>
        <w:rPr>
          <w:rFonts w:ascii="Courier New" w:cs="Courier New" w:eastAsia="Courier New" w:hAnsi="Courier New"/>
          <w:sz w:val="15"/>
          <w:szCs w:val="15"/>
          <w:color w:val="auto"/>
        </w:rPr>
        <w:t>DELOITTE &amp; TOUCHE LLP</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13, 1997</w:t>
      </w:r>
    </w:p>
    <w:p>
      <w:pPr>
        <w:sectPr>
          <w:pgSz w:w="11900" w:h="16838" w:orient="portrait"/>
          <w:cols w:equalWidth="0" w:num="1">
            <w:col w:w="10219"/>
          </w:cols>
          <w:pgMar w:left="240" w:top="141"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23.6</w:t>
      </w:r>
    </w:p>
    <w:p>
      <w:pPr>
        <w:spacing w:after="0" w:line="350"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51"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Form S-3 (Amendment #1) of our report dated October 25, 1996, on our audit of the balance sheet of the business of Les Enterprises de Rebuts Sanipan Inc. acquired by USA Waste Services, Inc. as of December 31, 1995, and the related statements of earnings and retained earnings and changes in financial position for the year then ended, our report dated October 25, 1996, on our audit of the balance sheet of Transport Sanico Ltee as of December 31, 1995, and the related statements of earnings and retained earnings and changes in financial position for the year then ended, our report dated November 8, 1996, on our audit of the historical summary of revenues and direct operating expenses of the Combined Ontario and Michigan Operations of the Solid Waste Division of Philip Environmental Inc. for the year ended December 31, 1995, and our report dated November 8, 1996, on our audit of the historical summary of the net book value of property, plant and equipment of the Combined Ontario and Michigan Operations of the Solid Waste Division of Philip Environmental Inc. for the year ended December 31, 1995, which are included in USA Waste Services, Inc.'s Current Report on Form 8-K/A dated November 15, 1996.</w:t>
      </w:r>
    </w:p>
    <w:p>
      <w:pPr>
        <w:spacing w:after="0" w:line="35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DELOITTE &amp; TOUCHE</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Chartered Accountants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Mississauga, Ontario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10, 1997</w:t>
      </w:r>
    </w:p>
    <w:p>
      <w:pPr>
        <w:sectPr>
          <w:pgSz w:w="11900" w:h="16838" w:orient="portrait"/>
          <w:cols w:equalWidth="0" w:num="1">
            <w:col w:w="10219"/>
          </w:cols>
          <w:pgMar w:left="240" w:top="141"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23.7</w:t>
      </w:r>
    </w:p>
    <w:p>
      <w:pPr>
        <w:spacing w:after="0" w:line="35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00" w:lineRule="exact"/>
        <w:rPr>
          <w:sz w:val="20"/>
          <w:szCs w:val="20"/>
          <w:color w:val="auto"/>
        </w:rPr>
      </w:pPr>
    </w:p>
    <w:p>
      <w:pPr>
        <w:spacing w:after="0" w:line="324"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Form S-3 (Amendment #1) of our report dated October 15, 1996, on our audit of the balance sheet of Kasper Brothers, Inc. as of September 30, 1995 and the related statements of operations and retained earnings and cash flows for the fiscal year then ended, which is included in USA Waste Services, Inc.'s Current Report on Form 8-K/A dated November 15, 1996.</w:t>
      </w:r>
    </w:p>
    <w:p>
      <w:pPr>
        <w:spacing w:after="0" w:line="200" w:lineRule="exact"/>
        <w:rPr>
          <w:sz w:val="20"/>
          <w:szCs w:val="20"/>
          <w:color w:val="auto"/>
        </w:rPr>
      </w:pPr>
    </w:p>
    <w:p>
      <w:pPr>
        <w:spacing w:after="0" w:line="324"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COOPERS &amp; LYBRAND L.L.P.</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10, 1997</w:t>
      </w:r>
    </w:p>
    <w:p>
      <w:pPr>
        <w:sectPr>
          <w:pgSz w:w="11900" w:h="16838" w:orient="portrait"/>
          <w:cols w:equalWidth="0" w:num="1">
            <w:col w:w="10219"/>
          </w:cols>
          <w:pgMar w:left="240" w:top="141"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23.8</w:t>
      </w:r>
    </w:p>
    <w:p>
      <w:pPr>
        <w:spacing w:after="0" w:line="35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00" w:lineRule="exact"/>
        <w:rPr>
          <w:sz w:val="20"/>
          <w:szCs w:val="20"/>
          <w:color w:val="auto"/>
        </w:rPr>
      </w:pPr>
    </w:p>
    <w:p>
      <w:pPr>
        <w:spacing w:after="0" w:line="324"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Form S-3 (Amendment #1) of our report dated March 11, 1996, on our audit of the combined balance sheet of the Arnoni Group of Companies (consisting of The Arnoni Group, Inc., M.C. Arnoni Company, South Hills Disposal Company, Cochran Mill Associates, Inc. and Arnoni Family Partnership) as of December 31, 1995, and the related combined statement of income and retained earnings and combined statement of cash flows for the year then ended, which is included in USA Waste Services, Inc.'s Current Report on Form 8-K/A dated November 15, 1996.</w:t>
      </w:r>
    </w:p>
    <w:p>
      <w:pPr>
        <w:spacing w:after="0" w:line="200" w:lineRule="exact"/>
        <w:rPr>
          <w:sz w:val="20"/>
          <w:szCs w:val="20"/>
          <w:color w:val="auto"/>
        </w:rPr>
      </w:pPr>
    </w:p>
    <w:p>
      <w:pPr>
        <w:spacing w:after="0" w:line="32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KAPLAN SIPOS &amp; ASSOCIATES</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CERTIFIED PUBLIC ACCOUNTANTS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10, 1997</w:t>
      </w:r>
    </w:p>
    <w:p>
      <w:pPr>
        <w:sectPr>
          <w:pgSz w:w="11900" w:h="16838" w:orient="portrait"/>
          <w:cols w:equalWidth="0" w:num="1">
            <w:col w:w="10219"/>
          </w:cols>
          <w:pgMar w:left="240" w:top="141"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23.9</w:t>
      </w:r>
    </w:p>
    <w:p>
      <w:pPr>
        <w:spacing w:after="0" w:line="35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00" w:lineRule="exact"/>
        <w:rPr>
          <w:sz w:val="20"/>
          <w:szCs w:val="20"/>
          <w:color w:val="auto"/>
        </w:rPr>
      </w:pPr>
    </w:p>
    <w:p>
      <w:pPr>
        <w:spacing w:after="0" w:line="324"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Form S-3 (Amendment #1) of our report dated March 18, 1996, on our audit of the balance sheet of Jennings Environmental Services, Inc. (an S Corporation) as of December 31, 1995 and the related statements of income and changes in stockholders' equity and the statement of cash flows for the year then ended, which is included in USA Waste Services, Inc.'s Current Report on Form 8-K/A dated November 15, 1996.</w:t>
      </w:r>
    </w:p>
    <w:p>
      <w:pPr>
        <w:spacing w:after="0" w:line="200" w:lineRule="exact"/>
        <w:rPr>
          <w:sz w:val="20"/>
          <w:szCs w:val="20"/>
          <w:color w:val="auto"/>
        </w:rPr>
      </w:pPr>
    </w:p>
    <w:p>
      <w:pPr>
        <w:spacing w:after="0" w:line="324"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BLAKE, KUEHLER, BABIONE &amp; POOL</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Orlando, Florida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10, 1997</w:t>
      </w:r>
    </w:p>
    <w:p>
      <w:pPr>
        <w:sectPr>
          <w:pgSz w:w="11900" w:h="16838" w:orient="portrait"/>
          <w:cols w:equalWidth="0" w:num="1">
            <w:col w:w="10219"/>
          </w:cols>
          <w:pgMar w:left="240" w:top="141"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23.10</w:t>
      </w:r>
    </w:p>
    <w:p>
      <w:pPr>
        <w:spacing w:after="0" w:line="35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00" w:lineRule="exact"/>
        <w:rPr>
          <w:sz w:val="20"/>
          <w:szCs w:val="20"/>
          <w:color w:val="auto"/>
        </w:rPr>
      </w:pPr>
    </w:p>
    <w:p>
      <w:pPr>
        <w:spacing w:after="0" w:line="324"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Form S-3 (Amendment #1) of our report dated September 19, 1996, on our audits of the combined balance sheet of Grand Central Sanitation, Inc. and Related Companies as of December 31, 1995, and the related combined statements of income, stockholders' equity and cash flows for the year then ended, which is included in USA Waste Services, Inc.'s Current Report on Form 8-K/A dated November 15, 1996.</w:t>
      </w:r>
    </w:p>
    <w:p>
      <w:pPr>
        <w:spacing w:after="0" w:line="35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BUCKNO LISICKY &amp; COMPANY</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Allentown, Pennsylvania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10, 1997</w:t>
      </w:r>
    </w:p>
    <w:p>
      <w:pPr>
        <w:sectPr>
          <w:pgSz w:w="11900" w:h="16838" w:orient="portrait"/>
          <w:cols w:equalWidth="0" w:num="1">
            <w:col w:w="10219"/>
          </w:cols>
          <w:pgMar w:left="240" w:top="141"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23.11</w:t>
      </w:r>
    </w:p>
    <w:p>
      <w:pPr>
        <w:spacing w:after="0" w:line="350"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199" w:firstLine="811"/>
        <w:spacing w:after="0" w:line="264"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of USA Waste Services, Inc. on Form S-3 (Amendment #1) of our report dated July 13, 1996, on our audit of the combined balance sheet of The Orange Group (consisting of Orange Waste, Recycling &amp; Materials, Inc., Orange Soil Cement, Inc., Orange Trucking, Inc. and Orange Transportation Corp.), as of December 31, 1995, and the related combined statements of operations, retained earnings, and cash flows for the year then ended, which is included in USA Waste Services, Inc.'s Current Report on Form 8-K/A dated November 15, 1996.</w:t>
      </w:r>
    </w:p>
    <w:p>
      <w:pPr>
        <w:spacing w:after="0" w:line="200" w:lineRule="exact"/>
        <w:rPr>
          <w:sz w:val="20"/>
          <w:szCs w:val="20"/>
          <w:color w:val="auto"/>
        </w:rPr>
      </w:pPr>
    </w:p>
    <w:p>
      <w:pPr>
        <w:spacing w:after="0" w:line="311"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OSBURN, HENNING AND COMPANY</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Orlando, Florida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10, 1997</w:t>
      </w:r>
    </w:p>
    <w:sectPr>
      <w:pgSz w:w="11900" w:h="16838" w:orient="portrait"/>
      <w:cols w:equalWidth="0" w:num="1">
        <w:col w:w="10219"/>
      </w:cols>
      <w:pgMar w:left="24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713"/>
    </w:lvl>
  </w:abstractNum>
  <w:abstractNum w:abstractNumId="1">
    <w:nsid w:val="1F16E9E8"/>
    <w:multiLevelType w:val="hybridMultilevel"/>
    <w:lvl w:ilvl="0">
      <w:lvlJc w:val="left"/>
      <w:lvlText w:val="(%1)"/>
      <w:numFmt w:val="lowerLetter"/>
      <w:start w:val="1"/>
    </w:lvl>
  </w:abstractNum>
  <w:abstractNum w:abstractNumId="2">
    <w:nsid w:val="1190CDE7"/>
    <w:multiLevelType w:val="hybridMultilevel"/>
    <w:lvl w:ilvl="0">
      <w:lvlJc w:val="left"/>
      <w:lvlText w:val="&amp;"/>
      <w:numFmt w:val="bullet"/>
      <w:start w:val="1"/>
    </w:lvl>
  </w:abstractNum>
  <w:abstractNum w:abstractNumId="3">
    <w:nsid w:val="66EF438D"/>
    <w:multiLevelType w:val="hybridMultilevel"/>
    <w:lvl w:ilvl="0">
      <w:lvlJc w:val="left"/>
      <w:lvlText w:val="(%1)"/>
      <w:numFmt w:val="lowerRoman"/>
      <w:start w:val="1"/>
    </w:lvl>
  </w:abstractNum>
  <w:abstractNum w:abstractNumId="4">
    <w:nsid w:val="140E0F76"/>
    <w:multiLevelType w:val="hybridMultilevel"/>
    <w:lvl w:ilvl="0">
      <w:lvlJc w:val="left"/>
      <w:lvlText w:val="-"/>
      <w:numFmt w:val="bullet"/>
      <w:start w:val="1"/>
    </w:lvl>
    <w:lvl w:ilvl="1">
      <w:lvlJc w:val="left"/>
      <w:lvlText w:val="*"/>
      <w:numFmt w:val="bullet"/>
      <w:start w:val="1"/>
    </w:lvl>
  </w:abstractNum>
  <w:abstractNum w:abstractNumId="5">
    <w:nsid w:val="3352255A"/>
    <w:multiLevelType w:val="hybridMultilevel"/>
    <w:lvl w:ilvl="0">
      <w:lvlJc w:val="left"/>
      <w:lvlText w:val="-"/>
      <w:numFmt w:val="bullet"/>
      <w:start w:val="1"/>
    </w:lvl>
    <w:lvl w:ilvl="1">
      <w:lvlJc w:val="left"/>
      <w:lvlText w:val="**"/>
      <w:numFmt w:val="bullet"/>
      <w:start w:val="1"/>
    </w:lvl>
  </w:abstractNum>
  <w:abstractNum w:abstractNumId="6">
    <w:nsid w:val="109CF92E"/>
    <w:multiLevelType w:val="hybridMultilevel"/>
    <w:lvl w:ilvl="0">
      <w:lvlJc w:val="left"/>
      <w:lvlText w:val="-"/>
      <w:numFmt w:val="bullet"/>
      <w:start w:val="1"/>
    </w:lvl>
    <w:lvl w:ilvl="1">
      <w:lvlJc w:val="left"/>
      <w:lvlText w:val="***"/>
      <w:numFmt w:val="bullet"/>
      <w:start w:val="1"/>
    </w:lvl>
  </w:abstractNum>
  <w:abstractNum w:abstractNumId="7">
    <w:nsid w:val="DED7263"/>
    <w:multiLevelType w:val="hybridMultilevel"/>
    <w:lvl w:ilvl="0">
      <w:lvlJc w:val="left"/>
      <w:lvlText w:val="-"/>
      <w:numFmt w:val="bullet"/>
      <w:start w:val="1"/>
    </w:lvl>
    <w:lvl w:ilvl="1">
      <w:lvlJc w:val="left"/>
      <w:lvlText w:val="****"/>
      <w:numFmt w:val="bullet"/>
      <w:start w:val="1"/>
    </w:lvl>
  </w:abstractNum>
  <w:abstractNum w:abstractNumId="8">
    <w:nsid w:val="7FDCC23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
    <w:nsid w:val="1BEFD79F"/>
    <w:multiLevelType w:val="hybridMultilevel"/>
    <w:lvl w:ilvl="0">
      <w:lvlJc w:val="left"/>
      <w:lvlText w:val="%1"/>
      <w:numFmt w:val="lowerLetter"/>
      <w:start w:val="1"/>
    </w:lvl>
    <w:lvl w:ilvl="1">
      <w:lvlJc w:val="left"/>
      <w:lvlText w:val="(%2)"/>
      <w:numFmt w:val="decimal"/>
      <w:start w:val="2"/>
    </w:lvl>
  </w:abstractNum>
  <w:abstractNum w:abstractNumId="10">
    <w:nsid w:val="41A7C4C9"/>
    <w:multiLevelType w:val="hybridMultilevel"/>
    <w:lvl w:ilvl="0">
      <w:lvlJc w:val="left"/>
      <w:lvlText w:val="(%1)"/>
      <w:numFmt w:val="lowerLetter"/>
      <w:start w:val="2"/>
    </w:lvl>
    <w:lvl w:ilvl="1">
      <w:lvlJc w:val="left"/>
      <w:lvlText w:val="(%2)"/>
      <w:numFmt w:val="decimal"/>
      <w:start w:val="1"/>
    </w:lvl>
  </w:abstractNum>
  <w:abstractNum w:abstractNumId="11">
    <w:nsid w:val="6B68079A"/>
    <w:multiLevelType w:val="hybridMultilevel"/>
    <w:lvl w:ilvl="0">
      <w:lvlJc w:val="left"/>
      <w:lvlText w:val="%1"/>
      <w:numFmt w:val="lowerLetter"/>
      <w:start w:val="1"/>
    </w:lvl>
    <w:lvl w:ilvl="1">
      <w:lvlJc w:val="left"/>
      <w:lvlText w:val="(%2)"/>
      <w:numFmt w:val="decimal"/>
      <w:start w:val="2"/>
    </w:lvl>
  </w:abstractNum>
  <w:abstractNum w:abstractNumId="12">
    <w:nsid w:val="4E6AFB66"/>
    <w:multiLevelType w:val="hybridMultilevel"/>
    <w:lvl w:ilvl="0">
      <w:lvlJc w:val="left"/>
      <w:lvlText w:val="(%1)"/>
      <w:numFmt w:val="lowerLetter"/>
      <w:start w:val="3"/>
    </w:lvl>
    <w:lvl w:ilvl="1">
      <w:lvlJc w:val="left"/>
      <w:lvlText w:val="%2"/>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lowerRoman"/>
      <w:start w:val="1"/>
    </w:lvl>
    <w:lvl w:ilvl="1">
      <w:lvlJc w:val="left"/>
      <w:lvlText w:val="%2."/>
      <w:numFmt w:val="decimal"/>
      <w:start w:val="1"/>
    </w:lvl>
  </w:abstractNum>
  <w:abstractNum w:abstractNumId="18">
    <w:nsid w:val="257130A3"/>
    <w:multiLevelType w:val="hybridMultilevel"/>
    <w:lvl w:ilvl="0">
      <w:lvlJc w:val="left"/>
      <w:lvlText w:val="(%1)"/>
      <w:numFmt w:val="lowerRoman"/>
      <w:start w:val="2"/>
    </w:lvl>
    <w:lvl w:ilvl="1">
      <w:lvlJc w:val="left"/>
      <w:lvlText w:val="%2."/>
      <w:numFmt w:val="decimal"/>
      <w:start w:val="3"/>
    </w:lvl>
  </w:abstractNum>
  <w:abstractNum w:abstractNumId="19">
    <w:nsid w:val="62BBD95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2019-12-20T03:55:36Z</dcterms:created>
  <dcterms:modified xsi:type="dcterms:W3CDTF">2019-12-20T03:55:36Z</dcterms:modified>
</cp:coreProperties>
</file>