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440"/>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31" w:lineRule="exact"/>
        <w:rPr>
          <w:sz w:val="24"/>
          <w:szCs w:val="24"/>
          <w:color w:val="auto"/>
        </w:rPr>
      </w:pPr>
    </w:p>
    <w:p>
      <w:pPr>
        <w:ind w:left="2960"/>
        <w:spacing w:after="0"/>
        <w:rPr>
          <w:sz w:val="20"/>
          <w:szCs w:val="20"/>
          <w:color w:val="auto"/>
        </w:rPr>
      </w:pPr>
      <w:r>
        <w:rPr>
          <w:rFonts w:ascii="Courier New" w:cs="Courier New" w:eastAsia="Courier New" w:hAnsi="Courier New"/>
          <w:sz w:val="18"/>
          <w:szCs w:val="18"/>
          <w:color w:val="auto"/>
        </w:rPr>
        <w:t>Washington, D. C. 20549</w:t>
      </w:r>
    </w:p>
    <w:p>
      <w:pPr>
        <w:spacing w:after="0" w:line="169" w:lineRule="exact"/>
        <w:rPr>
          <w:sz w:val="24"/>
          <w:szCs w:val="24"/>
          <w:color w:val="auto"/>
        </w:rPr>
      </w:pPr>
    </w:p>
    <w:p>
      <w:pPr>
        <w:ind w:left="3380"/>
        <w:spacing w:after="0"/>
        <w:rPr>
          <w:sz w:val="20"/>
          <w:szCs w:val="20"/>
          <w:color w:val="auto"/>
        </w:rPr>
      </w:pPr>
      <w:r>
        <w:rPr>
          <w:rFonts w:ascii="Courier New" w:cs="Courier New" w:eastAsia="Courier New" w:hAnsi="Courier New"/>
          <w:sz w:val="18"/>
          <w:szCs w:val="18"/>
          <w:color w:val="auto"/>
        </w:rPr>
        <w:t>Schedule 13-G/A</w:t>
      </w:r>
    </w:p>
    <w:p>
      <w:pPr>
        <w:spacing w:after="0" w:line="3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Under the Securities and Exchange Act of 1934</w:t>
      </w:r>
    </w:p>
    <w:p>
      <w:pPr>
        <w:spacing w:after="0" w:line="16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Waste Management, Inc.</w:t>
      </w:r>
    </w:p>
    <w:p>
      <w:pPr>
        <w:spacing w:after="0" w:line="29" w:lineRule="exact"/>
        <w:rPr>
          <w:sz w:val="24"/>
          <w:szCs w:val="24"/>
          <w:color w:val="auto"/>
        </w:rPr>
      </w:pPr>
    </w:p>
    <w:p>
      <w:pPr>
        <w:jc w:val="center"/>
        <w:ind w:right="1999"/>
        <w:spacing w:after="0"/>
        <w:rPr>
          <w:sz w:val="20"/>
          <w:szCs w:val="20"/>
          <w:color w:val="auto"/>
        </w:rPr>
      </w:pPr>
      <w:r>
        <w:rPr>
          <w:rFonts w:ascii="Courier New" w:cs="Courier New" w:eastAsia="Courier New" w:hAnsi="Courier New"/>
          <w:sz w:val="18"/>
          <w:szCs w:val="18"/>
          <w:color w:val="auto"/>
        </w:rPr>
        <w:t>Common Stock</w:t>
      </w:r>
    </w:p>
    <w:p>
      <w:pPr>
        <w:jc w:val="center"/>
        <w:ind w:right="1999"/>
        <w:spacing w:after="0"/>
        <w:rPr>
          <w:sz w:val="20"/>
          <w:szCs w:val="20"/>
          <w:color w:val="auto"/>
        </w:rPr>
      </w:pPr>
      <w:r>
        <w:rPr>
          <w:rFonts w:ascii="Courier New" w:cs="Courier New" w:eastAsia="Courier New" w:hAnsi="Courier New"/>
          <w:sz w:val="18"/>
          <w:szCs w:val="18"/>
          <w:color w:val="auto"/>
        </w:rPr>
        <w:t>CUSIP Number 94106L109</w:t>
      </w:r>
    </w:p>
    <w:p>
      <w:pPr>
        <w:spacing w:after="0" w:line="169"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Check the following box if a fee is being paid with this statement. [ ]</w:t>
      </w:r>
    </w:p>
    <w:p>
      <w:pPr>
        <w:spacing w:after="0" w:line="20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CUSIP No. 94106L109</w:t>
      </w:r>
    </w:p>
    <w:p>
      <w:pPr>
        <w:spacing w:after="0" w:line="201" w:lineRule="exact"/>
        <w:rPr>
          <w:sz w:val="24"/>
          <w:szCs w:val="24"/>
          <w:color w:val="auto"/>
        </w:rPr>
      </w:pPr>
    </w:p>
    <w:p>
      <w:pPr>
        <w:ind w:left="1900" w:right="6199" w:hanging="944"/>
        <w:spacing w:after="0" w:line="289" w:lineRule="auto"/>
        <w:tabs>
          <w:tab w:leader="none" w:pos="1373" w:val="left"/>
        </w:tabs>
        <w:numPr>
          <w:ilvl w:val="0"/>
          <w:numId w:val="1"/>
        </w:numPr>
        <w:rPr>
          <w:rFonts w:ascii="Courier New" w:cs="Courier New" w:eastAsia="Courier New" w:hAnsi="Courier New"/>
          <w:sz w:val="16"/>
          <w:szCs w:val="16"/>
          <w:color w:val="auto"/>
        </w:rPr>
      </w:pPr>
      <w:r>
        <w:rPr>
          <w:rFonts w:ascii="Courier New" w:cs="Courier New" w:eastAsia="Courier New" w:hAnsi="Courier New"/>
          <w:sz w:val="16"/>
          <w:szCs w:val="16"/>
          <w:color w:val="auto"/>
        </w:rPr>
        <w:t>Name of reporting person: Legg Mason, Inc.</w:t>
      </w:r>
    </w:p>
    <w:p>
      <w:pPr>
        <w:ind w:left="1480"/>
        <w:spacing w:after="0"/>
        <w:rPr>
          <w:sz w:val="20"/>
          <w:szCs w:val="20"/>
          <w:color w:val="auto"/>
        </w:rPr>
      </w:pPr>
      <w:r>
        <w:rPr>
          <w:rFonts w:ascii="Courier New" w:cs="Courier New" w:eastAsia="Courier New" w:hAnsi="Courier New"/>
          <w:sz w:val="18"/>
          <w:szCs w:val="18"/>
          <w:color w:val="auto"/>
        </w:rPr>
        <w:t>Tax Identification No:</w:t>
      </w:r>
    </w:p>
    <w:p>
      <w:pPr>
        <w:ind w:left="1900"/>
        <w:spacing w:after="0"/>
        <w:rPr>
          <w:sz w:val="20"/>
          <w:szCs w:val="20"/>
          <w:color w:val="auto"/>
        </w:rPr>
      </w:pPr>
      <w:r>
        <w:rPr>
          <w:rFonts w:ascii="Courier New" w:cs="Courier New" w:eastAsia="Courier New" w:hAnsi="Courier New"/>
          <w:sz w:val="18"/>
          <w:szCs w:val="18"/>
          <w:color w:val="auto"/>
        </w:rPr>
        <w:t>52-1200960</w:t>
      </w:r>
    </w:p>
    <w:p>
      <w:pPr>
        <w:spacing w:after="0" w:line="169" w:lineRule="exact"/>
        <w:rPr>
          <w:sz w:val="24"/>
          <w:szCs w:val="24"/>
          <w:color w:val="auto"/>
        </w:rPr>
      </w:pPr>
    </w:p>
    <w:p>
      <w:pPr>
        <w:ind w:left="1380" w:hanging="424"/>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the appropriate box if a member of a group:</w:t>
      </w:r>
    </w:p>
    <w:p>
      <w:pPr>
        <w:spacing w:after="0" w:line="30" w:lineRule="exact"/>
        <w:rPr>
          <w:rFonts w:ascii="Courier New" w:cs="Courier New" w:eastAsia="Courier New" w:hAnsi="Courier New"/>
          <w:sz w:val="18"/>
          <w:szCs w:val="18"/>
          <w:color w:val="auto"/>
        </w:rPr>
      </w:pPr>
    </w:p>
    <w:p>
      <w:pPr>
        <w:ind w:left="2320" w:hanging="416"/>
        <w:spacing w:after="0" w:line="238" w:lineRule="auto"/>
        <w:tabs>
          <w:tab w:leader="none" w:pos="23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ind w:left="2320" w:hanging="416"/>
        <w:spacing w:after="0"/>
        <w:tabs>
          <w:tab w:leader="none" w:pos="2320" w:val="left"/>
        </w:tabs>
        <w:numPr>
          <w:ilvl w:val="1"/>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n/a</w:t>
      </w:r>
    </w:p>
    <w:p>
      <w:pPr>
        <w:spacing w:after="0" w:line="169"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SEC use only</w:t>
      </w:r>
    </w:p>
    <w:p>
      <w:pPr>
        <w:spacing w:after="0" w:line="201"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Place of organization:</w:t>
      </w:r>
    </w:p>
    <w:p>
      <w:pPr>
        <w:spacing w:after="0" w:line="31" w:lineRule="exact"/>
        <w:rPr>
          <w:sz w:val="24"/>
          <w:szCs w:val="24"/>
          <w:color w:val="auto"/>
        </w:rPr>
      </w:pPr>
    </w:p>
    <w:p>
      <w:pPr>
        <w:ind w:left="1900"/>
        <w:spacing w:after="0"/>
        <w:rPr>
          <w:sz w:val="20"/>
          <w:szCs w:val="20"/>
          <w:color w:val="auto"/>
        </w:rPr>
      </w:pPr>
      <w:r>
        <w:rPr>
          <w:rFonts w:ascii="Courier New" w:cs="Courier New" w:eastAsia="Courier New" w:hAnsi="Courier New"/>
          <w:sz w:val="18"/>
          <w:szCs w:val="18"/>
          <w:color w:val="auto"/>
        </w:rPr>
        <w:t>Baltimore, Maryland</w:t>
      </w:r>
    </w:p>
    <w:p>
      <w:pPr>
        <w:spacing w:after="0" w:line="168" w:lineRule="exact"/>
        <w:rPr>
          <w:sz w:val="24"/>
          <w:szCs w:val="24"/>
          <w:color w:val="auto"/>
        </w:rPr>
      </w:pPr>
    </w:p>
    <w:tbl>
      <w:tblPr>
        <w:tblLayout w:type="fixed"/>
        <w:tblInd w:w="640" w:type="dxa"/>
        <w:tblCellMar>
          <w:top w:w="0" w:type="dxa"/>
          <w:left w:w="0" w:type="dxa"/>
          <w:bottom w:w="0" w:type="dxa"/>
          <w:right w:w="0" w:type="dxa"/>
        </w:tblCellMar>
      </w:tblPr>
      <w:tr>
        <w:trPr>
          <w:trHeight w:val="204"/>
        </w:trPr>
        <w:tc>
          <w:tcPr>
            <w:tcW w:w="680" w:type="dxa"/>
            <w:vAlign w:val="bottom"/>
          </w:tcPr>
          <w:p>
            <w:pPr>
              <w:jc w:val="right"/>
              <w:spacing w:after="0"/>
              <w:rPr>
                <w:sz w:val="20"/>
                <w:szCs w:val="20"/>
                <w:color w:val="auto"/>
              </w:rPr>
            </w:pPr>
            <w:r>
              <w:rPr>
                <w:rFonts w:ascii="Courier New" w:cs="Courier New" w:eastAsia="Courier New" w:hAnsi="Courier New"/>
                <w:sz w:val="18"/>
                <w:szCs w:val="18"/>
                <w:color w:val="auto"/>
                <w:w w:val="95"/>
              </w:rPr>
              <w:t>Number</w:t>
            </w:r>
          </w:p>
        </w:tc>
        <w:tc>
          <w:tcPr>
            <w:tcW w:w="6280" w:type="dxa"/>
            <w:vAlign w:val="bottom"/>
            <w:gridSpan w:val="3"/>
          </w:tcPr>
          <w:p>
            <w:pPr>
              <w:ind w:left="60"/>
              <w:spacing w:after="0"/>
              <w:rPr>
                <w:sz w:val="20"/>
                <w:szCs w:val="20"/>
                <w:color w:val="auto"/>
              </w:rPr>
            </w:pPr>
            <w:r>
              <w:rPr>
                <w:rFonts w:ascii="Courier New" w:cs="Courier New" w:eastAsia="Courier New" w:hAnsi="Courier New"/>
                <w:sz w:val="18"/>
                <w:szCs w:val="18"/>
                <w:color w:val="auto"/>
                <w:w w:val="97"/>
              </w:rPr>
              <w:t>of shares beneficially owned by each reporting person with:</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5)</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voting power:</w:t>
            </w:r>
          </w:p>
        </w:tc>
        <w:tc>
          <w:tcPr>
            <w:tcW w:w="3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32,639,139</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6)</w:t>
            </w:r>
          </w:p>
        </w:tc>
        <w:tc>
          <w:tcPr>
            <w:tcW w:w="306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Shared voting power:</w:t>
            </w:r>
          </w:p>
        </w:tc>
        <w:tc>
          <w:tcPr>
            <w:tcW w:w="3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14,175,613</w:t>
            </w:r>
          </w:p>
        </w:tc>
      </w:tr>
      <w:tr>
        <w:trPr>
          <w:trHeight w:val="203"/>
        </w:trPr>
        <w:tc>
          <w:tcPr>
            <w:tcW w:w="68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7)</w:t>
            </w:r>
          </w:p>
        </w:tc>
        <w:tc>
          <w:tcPr>
            <w:tcW w:w="5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Sole</w:t>
            </w:r>
          </w:p>
        </w:tc>
        <w:tc>
          <w:tcPr>
            <w:tcW w:w="252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dispositive power:</w:t>
            </w:r>
          </w:p>
        </w:tc>
        <w:tc>
          <w:tcPr>
            <w:tcW w:w="3220" w:type="dxa"/>
            <w:vAlign w:val="bottom"/>
          </w:tcPr>
          <w:p>
            <w:pPr>
              <w:ind w:left="360"/>
              <w:spacing w:after="0" w:line="203" w:lineRule="exact"/>
              <w:rPr>
                <w:sz w:val="20"/>
                <w:szCs w:val="20"/>
                <w:color w:val="auto"/>
              </w:rPr>
            </w:pPr>
            <w:r>
              <w:rPr>
                <w:rFonts w:ascii="Courier New" w:cs="Courier New" w:eastAsia="Courier New" w:hAnsi="Courier New"/>
                <w:sz w:val="18"/>
                <w:szCs w:val="18"/>
                <w:color w:val="auto"/>
              </w:rPr>
              <w:t>- 0 -</w:t>
            </w:r>
          </w:p>
        </w:tc>
      </w:tr>
      <w:tr>
        <w:trPr>
          <w:trHeight w:val="296"/>
        </w:trPr>
        <w:tc>
          <w:tcPr>
            <w:tcW w:w="680" w:type="dxa"/>
            <w:vAlign w:val="bottom"/>
          </w:tcPr>
          <w:p>
            <w:pPr>
              <w:jc w:val="right"/>
              <w:ind w:right="72"/>
              <w:spacing w:after="0"/>
              <w:rPr>
                <w:sz w:val="20"/>
                <w:szCs w:val="20"/>
                <w:color w:val="auto"/>
              </w:rPr>
            </w:pPr>
            <w:r>
              <w:rPr>
                <w:rFonts w:ascii="Courier New" w:cs="Courier New" w:eastAsia="Courier New" w:hAnsi="Courier New"/>
                <w:sz w:val="18"/>
                <w:szCs w:val="18"/>
                <w:color w:val="auto"/>
              </w:rPr>
              <w:t>8)</w:t>
            </w:r>
          </w:p>
        </w:tc>
        <w:tc>
          <w:tcPr>
            <w:tcW w:w="306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Shared dispositive power:</w:t>
            </w:r>
          </w:p>
        </w:tc>
        <w:tc>
          <w:tcPr>
            <w:tcW w:w="3220" w:type="dxa"/>
            <w:vAlign w:val="bottom"/>
          </w:tcPr>
          <w:p>
            <w:pPr>
              <w:ind w:left="360"/>
              <w:spacing w:after="0"/>
              <w:rPr>
                <w:sz w:val="20"/>
                <w:szCs w:val="20"/>
                <w:color w:val="auto"/>
              </w:rPr>
            </w:pPr>
            <w:r>
              <w:rPr>
                <w:rFonts w:ascii="Courier New" w:cs="Courier New" w:eastAsia="Courier New" w:hAnsi="Courier New"/>
                <w:sz w:val="18"/>
                <w:szCs w:val="18"/>
                <w:color w:val="auto"/>
              </w:rPr>
              <w:t>46,814,752</w:t>
            </w:r>
          </w:p>
        </w:tc>
      </w:tr>
    </w:tbl>
    <w:p>
      <w:pPr>
        <w:spacing w:after="0" w:line="109" w:lineRule="exact"/>
        <w:rPr>
          <w:sz w:val="24"/>
          <w:szCs w:val="24"/>
          <w:color w:val="auto"/>
        </w:rPr>
      </w:pPr>
    </w:p>
    <w:p>
      <w:pPr>
        <w:ind w:left="1580" w:right="2419" w:hanging="624"/>
        <w:spacing w:after="0" w:line="347" w:lineRule="auto"/>
        <w:tabs>
          <w:tab w:leader="none" w:pos="1369"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Aggregate amount beneficially owned by each reporting person: 46,814,752</w:t>
      </w:r>
    </w:p>
    <w:p>
      <w:pPr>
        <w:spacing w:after="0" w:line="18" w:lineRule="exact"/>
        <w:rPr>
          <w:rFonts w:ascii="Courier New" w:cs="Courier New" w:eastAsia="Courier New" w:hAnsi="Courier New"/>
          <w:sz w:val="18"/>
          <w:szCs w:val="18"/>
          <w:color w:val="auto"/>
        </w:rPr>
      </w:pPr>
    </w:p>
    <w:p>
      <w:pPr>
        <w:ind w:left="1800" w:right="1879" w:hanging="844"/>
        <w:spacing w:after="0" w:line="347" w:lineRule="auto"/>
        <w:tabs>
          <w:tab w:leader="none" w:pos="1484"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Check if the aggregate amount in row (9) excludes certain shares: n/a</w:t>
      </w:r>
    </w:p>
    <w:p>
      <w:pPr>
        <w:spacing w:after="0" w:line="18"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3"/>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 represented by amount in row (9):</w:t>
      </w:r>
    </w:p>
    <w:p>
      <w:pPr>
        <w:spacing w:after="0" w:line="31" w:lineRule="exact"/>
        <w:rPr>
          <w:sz w:val="24"/>
          <w:szCs w:val="24"/>
          <w:color w:val="auto"/>
        </w:rPr>
      </w:pPr>
    </w:p>
    <w:p>
      <w:pPr>
        <w:ind w:left="1800"/>
        <w:spacing w:after="0"/>
        <w:rPr>
          <w:sz w:val="20"/>
          <w:szCs w:val="20"/>
          <w:color w:val="auto"/>
        </w:rPr>
      </w:pPr>
      <w:r>
        <w:rPr>
          <w:rFonts w:ascii="Courier New" w:cs="Courier New" w:eastAsia="Courier New" w:hAnsi="Courier New"/>
          <w:sz w:val="18"/>
          <w:szCs w:val="18"/>
          <w:color w:val="auto"/>
        </w:rPr>
        <w:t>7.53%</w:t>
      </w:r>
    </w:p>
    <w:p>
      <w:pPr>
        <w:spacing w:after="0" w:line="169" w:lineRule="exact"/>
        <w:rPr>
          <w:sz w:val="24"/>
          <w:szCs w:val="24"/>
          <w:color w:val="auto"/>
        </w:rPr>
      </w:pPr>
    </w:p>
    <w:p>
      <w:pPr>
        <w:ind w:left="1480" w:hanging="524"/>
        <w:spacing w:after="0"/>
        <w:tabs>
          <w:tab w:leader="none" w:pos="148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Type of reporting person:</w:t>
      </w:r>
    </w:p>
    <w:p>
      <w:pPr>
        <w:spacing w:after="0" w:line="30" w:lineRule="exact"/>
        <w:rPr>
          <w:rFonts w:ascii="Courier New" w:cs="Courier New" w:eastAsia="Courier New" w:hAnsi="Courier New"/>
          <w:sz w:val="18"/>
          <w:szCs w:val="18"/>
          <w:color w:val="auto"/>
        </w:rPr>
      </w:pPr>
    </w:p>
    <w:p>
      <w:pPr>
        <w:ind w:left="1800"/>
        <w:spacing w:after="0"/>
        <w:rPr>
          <w:rFonts w:ascii="Courier New" w:cs="Courier New" w:eastAsia="Courier New" w:hAnsi="Courier New"/>
          <w:sz w:val="18"/>
          <w:szCs w:val="18"/>
          <w:color w:val="auto"/>
        </w:rPr>
      </w:pPr>
      <w:r>
        <w:rPr>
          <w:rFonts w:ascii="Courier New" w:cs="Courier New" w:eastAsia="Courier New" w:hAnsi="Courier New"/>
          <w:sz w:val="18"/>
          <w:szCs w:val="18"/>
          <w:color w:val="auto"/>
        </w:rPr>
        <w:t>HC</w:t>
      </w:r>
    </w:p>
    <w:p>
      <w:pPr>
        <w:spacing w:after="0" w:line="169" w:lineRule="exact"/>
        <w:rPr>
          <w:sz w:val="24"/>
          <w:szCs w:val="24"/>
          <w:color w:val="auto"/>
        </w:rPr>
      </w:pPr>
    </w:p>
    <w:p>
      <w:pPr>
        <w:ind w:left="960"/>
        <w:spacing w:after="0"/>
        <w:tabs>
          <w:tab w:leader="none" w:pos="1980" w:val="left"/>
        </w:tabs>
        <w:rPr>
          <w:sz w:val="20"/>
          <w:szCs w:val="20"/>
          <w:color w:val="auto"/>
        </w:rPr>
      </w:pPr>
      <w:r>
        <w:rPr>
          <w:rFonts w:ascii="Courier New" w:cs="Courier New" w:eastAsia="Courier New" w:hAnsi="Courier New"/>
          <w:sz w:val="18"/>
          <w:szCs w:val="18"/>
          <w:color w:val="auto"/>
        </w:rPr>
        <w:t>Item 1a)</w:t>
      </w:r>
      <w:r>
        <w:rPr>
          <w:sz w:val="20"/>
          <w:szCs w:val="20"/>
          <w:color w:val="auto"/>
        </w:rPr>
        <w:tab/>
      </w:r>
      <w:r>
        <w:rPr>
          <w:rFonts w:ascii="Courier New" w:cs="Courier New" w:eastAsia="Courier New" w:hAnsi="Courier New"/>
          <w:sz w:val="16"/>
          <w:szCs w:val="16"/>
          <w:color w:val="auto"/>
        </w:rPr>
        <w:t>Name of issuer:</w:t>
      </w:r>
    </w:p>
    <w:p>
      <w:pPr>
        <w:spacing w:after="0" w:line="31"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Waste Management, Inc.</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Item 1b) Address of issuer's principal executive offices:</w:t>
      </w:r>
    </w:p>
    <w:p>
      <w:pPr>
        <w:spacing w:after="0" w:line="29" w:lineRule="exact"/>
        <w:rPr>
          <w:sz w:val="24"/>
          <w:szCs w:val="24"/>
          <w:color w:val="auto"/>
        </w:rPr>
      </w:pPr>
    </w:p>
    <w:p>
      <w:pPr>
        <w:ind w:left="2120"/>
        <w:spacing w:after="0"/>
        <w:rPr>
          <w:sz w:val="20"/>
          <w:szCs w:val="20"/>
          <w:color w:val="auto"/>
        </w:rPr>
      </w:pPr>
      <w:r>
        <w:rPr>
          <w:rFonts w:ascii="Courier New" w:cs="Courier New" w:eastAsia="Courier New" w:hAnsi="Courier New"/>
          <w:sz w:val="18"/>
          <w:szCs w:val="18"/>
          <w:color w:val="auto"/>
        </w:rPr>
        <w:t>1001 Fannin, Suite 4000</w:t>
      </w:r>
    </w:p>
    <w:p>
      <w:pPr>
        <w:ind w:left="2120"/>
        <w:spacing w:after="0"/>
        <w:tabs>
          <w:tab w:leader="none" w:pos="3460" w:val="left"/>
        </w:tabs>
        <w:rPr>
          <w:sz w:val="20"/>
          <w:szCs w:val="20"/>
          <w:color w:val="auto"/>
        </w:rPr>
      </w:pPr>
      <w:r>
        <w:rPr>
          <w:rFonts w:ascii="Courier New" w:cs="Courier New" w:eastAsia="Courier New" w:hAnsi="Courier New"/>
          <w:sz w:val="18"/>
          <w:szCs w:val="18"/>
          <w:color w:val="auto"/>
        </w:rPr>
        <w:t>Houston, TX</w:t>
        <w:tab/>
        <w:t>77002</w:t>
      </w:r>
    </w:p>
    <w:p>
      <w:pPr>
        <w:spacing w:after="0" w:line="169" w:lineRule="exact"/>
        <w:rPr>
          <w:sz w:val="24"/>
          <w:szCs w:val="24"/>
          <w:color w:val="auto"/>
        </w:rPr>
      </w:pPr>
    </w:p>
    <w:p>
      <w:pPr>
        <w:ind w:left="960"/>
        <w:spacing w:after="0"/>
        <w:tabs>
          <w:tab w:leader="none" w:pos="1980" w:val="left"/>
        </w:tabs>
        <w:rPr>
          <w:sz w:val="20"/>
          <w:szCs w:val="20"/>
          <w:color w:val="auto"/>
        </w:rPr>
      </w:pPr>
      <w:r>
        <w:rPr>
          <w:rFonts w:ascii="Courier New" w:cs="Courier New" w:eastAsia="Courier New" w:hAnsi="Courier New"/>
          <w:sz w:val="18"/>
          <w:szCs w:val="18"/>
          <w:color w:val="auto"/>
        </w:rPr>
        <w:t>Item 2a)</w:t>
      </w:r>
      <w:r>
        <w:rPr>
          <w:sz w:val="20"/>
          <w:szCs w:val="20"/>
          <w:color w:val="auto"/>
        </w:rPr>
        <w:tab/>
      </w:r>
      <w:r>
        <w:rPr>
          <w:rFonts w:ascii="Courier New" w:cs="Courier New" w:eastAsia="Courier New" w:hAnsi="Courier New"/>
          <w:sz w:val="16"/>
          <w:szCs w:val="16"/>
          <w:color w:val="auto"/>
        </w:rPr>
        <w:t>Name of person filing:</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Legg Mason, Inc.</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Item 2b) Address of principal business office:</w:t>
      </w:r>
    </w:p>
    <w:p>
      <w:pPr>
        <w:spacing w:after="0" w:line="29"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100 Light Street</w:t>
      </w:r>
    </w:p>
    <w:p>
      <w:pPr>
        <w:ind w:left="2320"/>
        <w:spacing w:after="0"/>
        <w:tabs>
          <w:tab w:leader="none" w:pos="4520" w:val="left"/>
        </w:tabs>
        <w:rPr>
          <w:sz w:val="20"/>
          <w:szCs w:val="20"/>
          <w:color w:val="auto"/>
        </w:rPr>
      </w:pPr>
      <w:r>
        <w:rPr>
          <w:rFonts w:ascii="Courier New" w:cs="Courier New" w:eastAsia="Courier New" w:hAnsi="Courier New"/>
          <w:sz w:val="18"/>
          <w:szCs w:val="18"/>
          <w:color w:val="auto"/>
        </w:rPr>
        <w:t>Baltimore, Maryland</w:t>
      </w:r>
      <w:r>
        <w:rPr>
          <w:sz w:val="20"/>
          <w:szCs w:val="20"/>
          <w:color w:val="auto"/>
        </w:rPr>
        <w:tab/>
      </w:r>
      <w:r>
        <w:rPr>
          <w:rFonts w:ascii="Courier New" w:cs="Courier New" w:eastAsia="Courier New" w:hAnsi="Courier New"/>
          <w:sz w:val="16"/>
          <w:szCs w:val="16"/>
          <w:color w:val="auto"/>
        </w:rPr>
        <w:t>21202</w:t>
      </w:r>
    </w:p>
    <w:p>
      <w:pPr>
        <w:spacing w:after="0" w:line="169" w:lineRule="exact"/>
        <w:rPr>
          <w:sz w:val="24"/>
          <w:szCs w:val="24"/>
          <w:color w:val="auto"/>
        </w:rPr>
      </w:pPr>
    </w:p>
    <w:p>
      <w:pPr>
        <w:ind w:left="960"/>
        <w:spacing w:after="0"/>
        <w:tabs>
          <w:tab w:leader="none" w:pos="1980" w:val="left"/>
        </w:tabs>
        <w:rPr>
          <w:sz w:val="20"/>
          <w:szCs w:val="20"/>
          <w:color w:val="auto"/>
        </w:rPr>
      </w:pPr>
      <w:r>
        <w:rPr>
          <w:rFonts w:ascii="Courier New" w:cs="Courier New" w:eastAsia="Courier New" w:hAnsi="Courier New"/>
          <w:sz w:val="18"/>
          <w:szCs w:val="18"/>
          <w:color w:val="auto"/>
        </w:rPr>
        <w:t>Item 2c)</w:t>
      </w:r>
      <w:r>
        <w:rPr>
          <w:sz w:val="20"/>
          <w:szCs w:val="20"/>
          <w:color w:val="auto"/>
        </w:rPr>
        <w:tab/>
      </w:r>
      <w:r>
        <w:rPr>
          <w:rFonts w:ascii="Courier New" w:cs="Courier New" w:eastAsia="Courier New" w:hAnsi="Courier New"/>
          <w:sz w:val="16"/>
          <w:szCs w:val="16"/>
          <w:color w:val="auto"/>
        </w:rPr>
        <w:t>Citizenship:</w:t>
      </w:r>
    </w:p>
    <w:p>
      <w:pPr>
        <w:spacing w:after="0" w:line="31" w:lineRule="exact"/>
        <w:rPr>
          <w:sz w:val="24"/>
          <w:szCs w:val="24"/>
          <w:color w:val="auto"/>
        </w:rPr>
      </w:pPr>
    </w:p>
    <w:p>
      <w:pPr>
        <w:ind w:left="2320"/>
        <w:spacing w:after="0"/>
        <w:rPr>
          <w:sz w:val="20"/>
          <w:szCs w:val="20"/>
          <w:color w:val="auto"/>
        </w:rPr>
      </w:pPr>
      <w:r>
        <w:rPr>
          <w:rFonts w:ascii="Courier New" w:cs="Courier New" w:eastAsia="Courier New" w:hAnsi="Courier New"/>
          <w:sz w:val="18"/>
          <w:szCs w:val="18"/>
          <w:color w:val="auto"/>
        </w:rPr>
        <w:t>Maryland Corporation</w:t>
      </w:r>
    </w:p>
    <w:p>
      <w:pPr>
        <w:spacing w:after="0" w:line="169" w:lineRule="exact"/>
        <w:rPr>
          <w:sz w:val="24"/>
          <w:szCs w:val="24"/>
          <w:color w:val="auto"/>
        </w:rPr>
      </w:pPr>
    </w:p>
    <w:p>
      <w:pPr>
        <w:ind w:left="960"/>
        <w:spacing w:after="0"/>
        <w:rPr>
          <w:sz w:val="20"/>
          <w:szCs w:val="20"/>
          <w:color w:val="auto"/>
        </w:rPr>
      </w:pPr>
      <w:r>
        <w:rPr>
          <w:rFonts w:ascii="Courier New" w:cs="Courier New" w:eastAsia="Courier New" w:hAnsi="Courier New"/>
          <w:sz w:val="18"/>
          <w:szCs w:val="18"/>
          <w:color w:val="auto"/>
        </w:rPr>
        <w:t>Item 2d) Title of class of securities:</w:t>
      </w:r>
    </w:p>
    <w:p>
      <w:pPr>
        <w:spacing w:after="0" w:line="31" w:lineRule="exact"/>
        <w:rPr>
          <w:sz w:val="24"/>
          <w:szCs w:val="24"/>
          <w:color w:val="auto"/>
        </w:rPr>
      </w:pPr>
    </w:p>
    <w:p>
      <w:pPr>
        <w:ind w:left="2220"/>
        <w:spacing w:after="0"/>
        <w:rPr>
          <w:sz w:val="20"/>
          <w:szCs w:val="20"/>
          <w:color w:val="auto"/>
        </w:rPr>
      </w:pPr>
      <w:r>
        <w:rPr>
          <w:rFonts w:ascii="Courier New" w:cs="Courier New" w:eastAsia="Courier New" w:hAnsi="Courier New"/>
          <w:sz w:val="18"/>
          <w:szCs w:val="18"/>
          <w:color w:val="auto"/>
        </w:rPr>
        <w:t>Common Stock</w:t>
      </w:r>
    </w:p>
    <w:p>
      <w:pPr>
        <w:spacing w:after="0" w:line="169" w:lineRule="exact"/>
        <w:rPr>
          <w:sz w:val="24"/>
          <w:szCs w:val="24"/>
          <w:color w:val="auto"/>
        </w:rPr>
      </w:pPr>
    </w:p>
    <w:p>
      <w:pPr>
        <w:ind w:left="960"/>
        <w:spacing w:after="0"/>
        <w:tabs>
          <w:tab w:leader="none" w:pos="1980" w:val="left"/>
          <w:tab w:leader="none" w:pos="3560" w:val="left"/>
        </w:tabs>
        <w:rPr>
          <w:sz w:val="20"/>
          <w:szCs w:val="20"/>
          <w:color w:val="auto"/>
        </w:rPr>
      </w:pPr>
      <w:r>
        <w:rPr>
          <w:rFonts w:ascii="Courier New" w:cs="Courier New" w:eastAsia="Courier New" w:hAnsi="Courier New"/>
          <w:sz w:val="18"/>
          <w:szCs w:val="18"/>
          <w:color w:val="auto"/>
        </w:rPr>
        <w:t>Item 2e)</w:t>
        <w:tab/>
        <w:t>CUSIP number:</w:t>
      </w:r>
      <w:r>
        <w:rPr>
          <w:sz w:val="20"/>
          <w:szCs w:val="20"/>
          <w:color w:val="auto"/>
        </w:rPr>
        <w:tab/>
      </w:r>
      <w:r>
        <w:rPr>
          <w:rFonts w:ascii="Courier New" w:cs="Courier New" w:eastAsia="Courier New" w:hAnsi="Courier New"/>
          <w:sz w:val="16"/>
          <w:szCs w:val="16"/>
          <w:color w:val="auto"/>
        </w:rPr>
        <w:t>94106L109</w:t>
      </w:r>
    </w:p>
    <w:p>
      <w:pPr>
        <w:spacing w:after="0" w:line="201" w:lineRule="exact"/>
        <w:rPr>
          <w:sz w:val="24"/>
          <w:szCs w:val="24"/>
          <w:color w:val="auto"/>
        </w:rPr>
      </w:pPr>
    </w:p>
    <w:p>
      <w:pPr>
        <w:ind w:left="2120" w:right="2739" w:hanging="1158"/>
        <w:spacing w:after="0" w:line="289" w:lineRule="auto"/>
        <w:rPr>
          <w:sz w:val="20"/>
          <w:szCs w:val="20"/>
          <w:color w:val="auto"/>
        </w:rPr>
      </w:pPr>
      <w:r>
        <w:rPr>
          <w:rFonts w:ascii="Courier New" w:cs="Courier New" w:eastAsia="Courier New" w:hAnsi="Courier New"/>
          <w:sz w:val="16"/>
          <w:szCs w:val="16"/>
          <w:color w:val="auto"/>
        </w:rPr>
        <w:t>Item 3) If this statement is filed pursuant to Rule 13d-1(b), or 13d-2(b) , check whether the person filing is a:</w:t>
      </w:r>
    </w:p>
    <w:p>
      <w:pPr>
        <w:ind w:left="1380" w:hanging="424"/>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Broker or dealer under Section 15 of the Act.</w:t>
      </w:r>
    </w:p>
    <w:p>
      <w:pPr>
        <w:ind w:left="1380" w:hanging="424"/>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Bank as defined in Section 3(a)(6) of the Act.</w:t>
      </w:r>
    </w:p>
    <w:p>
      <w:pPr>
        <w:ind w:left="1380" w:hanging="424"/>
        <w:spacing w:after="0" w:line="238" w:lineRule="auto"/>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Insurance Company as defined in section 3(a)(19) of the Act.</w:t>
      </w:r>
    </w:p>
    <w:p>
      <w:pPr>
        <w:ind w:left="2120" w:right="2839" w:hanging="1164"/>
        <w:spacing w:after="0" w:line="238" w:lineRule="auto"/>
        <w:tabs>
          <w:tab w:leader="none" w:pos="1383"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Company registered under Section 8 of the Investment Company Act.</w:t>
      </w:r>
    </w:p>
    <w:p>
      <w:pPr>
        <w:ind w:left="1380" w:hanging="424"/>
        <w:spacing w:after="0"/>
        <w:tabs>
          <w:tab w:leader="none" w:pos="1380" w:val="left"/>
        </w:tabs>
        <w:numPr>
          <w:ilvl w:val="0"/>
          <w:numId w:val="5"/>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Investment Adviser registered under Section 203 of</w:t>
      </w:r>
    </w:p>
    <w:p>
      <w:pPr>
        <w:spacing w:after="0" w:line="169" w:lineRule="exact"/>
        <w:rPr>
          <w:sz w:val="24"/>
          <w:szCs w:val="24"/>
          <w:color w:val="auto"/>
        </w:rPr>
      </w:pPr>
    </w:p>
    <w:p>
      <w:pPr>
        <w:ind w:left="2120" w:right="3159" w:hanging="1164"/>
        <w:spacing w:after="0" w:line="250" w:lineRule="auto"/>
        <w:tabs>
          <w:tab w:leader="none" w:pos="1383" w:val="left"/>
        </w:tabs>
        <w:numPr>
          <w:ilvl w:val="0"/>
          <w:numId w:val="6"/>
        </w:numPr>
        <w:rPr>
          <w:rFonts w:ascii="Courier New" w:cs="Courier New" w:eastAsia="Courier New" w:hAnsi="Courier New"/>
          <w:sz w:val="18"/>
          <w:szCs w:val="18"/>
          <w:color w:val="auto"/>
        </w:rPr>
      </w:pPr>
      <w:r>
        <w:rPr>
          <w:rFonts w:ascii="Courier New" w:cs="Courier New" w:eastAsia="Courier New" w:hAnsi="Courier New"/>
          <w:sz w:val="18"/>
          <w:szCs w:val="18"/>
          <w:color w:val="auto"/>
        </w:rPr>
        <w:t>[ ] Employee Benefit Plan, Pension Fund which is subject to ERISA of 1974 or Endowment Fund; see 240.13d-1(b)(ii)(F).</w:t>
      </w:r>
    </w:p>
    <w:p>
      <w:pPr>
        <w:spacing w:after="0" w:line="2" w:lineRule="exact"/>
        <w:rPr>
          <w:rFonts w:ascii="Courier New" w:cs="Courier New" w:eastAsia="Courier New" w:hAnsi="Courier New"/>
          <w:sz w:val="18"/>
          <w:szCs w:val="18"/>
          <w:color w:val="auto"/>
        </w:rPr>
      </w:pPr>
    </w:p>
    <w:p>
      <w:pPr>
        <w:ind w:left="1380" w:hanging="424"/>
        <w:spacing w:after="0"/>
        <w:tabs>
          <w:tab w:leader="none" w:pos="1380" w:val="left"/>
        </w:tabs>
        <w:numPr>
          <w:ilvl w:val="0"/>
          <w:numId w:val="6"/>
        </w:numPr>
        <w:rPr>
          <w:rFonts w:ascii="Courier New" w:cs="Courier New" w:eastAsia="Courier New" w:hAnsi="Courier New"/>
          <w:sz w:val="16"/>
          <w:szCs w:val="16"/>
          <w:color w:val="auto"/>
        </w:rPr>
      </w:pPr>
      <w:r>
        <w:rPr>
          <w:rFonts w:ascii="Courier New" w:cs="Courier New" w:eastAsia="Courier New" w:hAnsi="Courier New"/>
          <w:sz w:val="16"/>
          <w:szCs w:val="16"/>
          <w:color w:val="auto"/>
        </w:rPr>
        <w:t>[X] Parent holding company, in accordance with 240.13d-1(b)(ii)(G).</w:t>
      </w:r>
    </w:p>
    <w:p>
      <w:pPr>
        <w:sectPr>
          <w:pgSz w:w="11900" w:h="16838" w:orient="portrait"/>
          <w:cols w:equalWidth="0" w:num="1">
            <w:col w:w="10219"/>
          </w:cols>
          <w:pgMar w:left="240" w:top="218" w:right="1440" w:bottom="0" w:gutter="0" w:footer="0" w:header="0"/>
        </w:sectPr>
      </w:pPr>
    </w:p>
    <w:bookmarkStart w:id="1" w:name="page2"/>
    <w:bookmarkEnd w:id="1"/>
    <w:p>
      <w:pPr>
        <w:ind w:left="960"/>
        <w:spacing w:after="0"/>
        <w:rPr>
          <w:sz w:val="20"/>
          <w:szCs w:val="20"/>
          <w:color w:val="auto"/>
        </w:rPr>
      </w:pPr>
      <w:r>
        <w:rPr>
          <w:rFonts w:ascii="Courier New" w:cs="Courier New" w:eastAsia="Courier New" w:hAnsi="Courier New"/>
          <w:sz w:val="18"/>
          <w:szCs w:val="18"/>
          <w:color w:val="auto"/>
        </w:rPr>
        <w:t>(h) [ ] Group, in accordance with 240.13d-1(b)(1)(ii)(H).</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4) Ownership:</w:t>
      </w:r>
    </w:p>
    <w:p>
      <w:pPr>
        <w:spacing w:after="0" w:line="31" w:lineRule="exact"/>
        <w:rPr>
          <w:sz w:val="20"/>
          <w:szCs w:val="20"/>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Amount beneficially owned:  46,814,752</w:t>
      </w:r>
    </w:p>
    <w:p>
      <w:pPr>
        <w:spacing w:after="0" w:line="169" w:lineRule="exact"/>
        <w:rPr>
          <w:rFonts w:ascii="Courier New" w:cs="Courier New" w:eastAsia="Courier New" w:hAnsi="Courier New"/>
          <w:sz w:val="18"/>
          <w:szCs w:val="18"/>
          <w:color w:val="auto"/>
        </w:rPr>
      </w:pPr>
    </w:p>
    <w:p>
      <w:pPr>
        <w:ind w:left="1480" w:hanging="524"/>
        <w:spacing w:after="0"/>
        <w:tabs>
          <w:tab w:leader="none" w:pos="1480" w:val="left"/>
        </w:tabs>
        <w:numPr>
          <w:ilvl w:val="0"/>
          <w:numId w:val="7"/>
        </w:numPr>
        <w:rPr>
          <w:rFonts w:ascii="Courier New" w:cs="Courier New" w:eastAsia="Courier New" w:hAnsi="Courier New"/>
          <w:sz w:val="18"/>
          <w:szCs w:val="18"/>
          <w:color w:val="auto"/>
        </w:rPr>
      </w:pPr>
      <w:r>
        <w:rPr>
          <w:rFonts w:ascii="Courier New" w:cs="Courier New" w:eastAsia="Courier New" w:hAnsi="Courier New"/>
          <w:sz w:val="18"/>
          <w:szCs w:val="18"/>
          <w:color w:val="auto"/>
        </w:rPr>
        <w:t>Percent of Class:</w:t>
      </w:r>
    </w:p>
    <w:p>
      <w:pPr>
        <w:spacing w:after="0" w:line="3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7.53%</w:t>
      </w:r>
    </w:p>
    <w:p>
      <w:pPr>
        <w:spacing w:after="0" w:line="169" w:lineRule="exact"/>
        <w:rPr>
          <w:sz w:val="20"/>
          <w:szCs w:val="20"/>
          <w:color w:val="auto"/>
        </w:rPr>
      </w:pPr>
    </w:p>
    <w:p>
      <w:pPr>
        <w:ind w:left="1480" w:hanging="524"/>
        <w:spacing w:after="0"/>
        <w:tabs>
          <w:tab w:leader="none" w:pos="1480" w:val="left"/>
        </w:tabs>
        <w:numPr>
          <w:ilvl w:val="0"/>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Number of shares as to which such person has:</w:t>
      </w:r>
    </w:p>
    <w:p>
      <w:pPr>
        <w:spacing w:after="0" w:line="30" w:lineRule="exact"/>
        <w:rPr>
          <w:rFonts w:ascii="Courier New" w:cs="Courier New" w:eastAsia="Courier New" w:hAnsi="Courier New"/>
          <w:sz w:val="18"/>
          <w:szCs w:val="18"/>
          <w:color w:val="auto"/>
        </w:rPr>
      </w:pPr>
    </w:p>
    <w:p>
      <w:pPr>
        <w:ind w:left="3280" w:right="3479" w:hanging="1376"/>
        <w:spacing w:after="0" w:line="238" w:lineRule="auto"/>
        <w:tabs>
          <w:tab w:leader="none" w:pos="2437"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vote or to direct the vote: 32,639,139</w:t>
      </w:r>
    </w:p>
    <w:p>
      <w:pPr>
        <w:ind w:left="3280" w:right="3259" w:hanging="1376"/>
        <w:spacing w:after="0" w:line="238" w:lineRule="auto"/>
        <w:tabs>
          <w:tab w:leader="none" w:pos="2437" w:val="left"/>
        </w:tabs>
        <w:numPr>
          <w:ilvl w:val="2"/>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vote or to direct the vote: 14,175,613</w:t>
      </w:r>
    </w:p>
    <w:p>
      <w:pPr>
        <w:ind w:left="3280" w:right="2099" w:hanging="1481"/>
        <w:spacing w:after="0" w:line="238" w:lineRule="auto"/>
        <w:tabs>
          <w:tab w:leader="none" w:pos="2437"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sole power to dispose or to direct the disposition of: - 0 -</w:t>
      </w:r>
    </w:p>
    <w:p>
      <w:pPr>
        <w:ind w:left="3280" w:right="1999" w:hanging="1481"/>
        <w:spacing w:after="0" w:line="309" w:lineRule="auto"/>
        <w:tabs>
          <w:tab w:leader="none" w:pos="2332" w:val="left"/>
        </w:tabs>
        <w:numPr>
          <w:ilvl w:val="1"/>
          <w:numId w:val="8"/>
        </w:numPr>
        <w:rPr>
          <w:rFonts w:ascii="Courier New" w:cs="Courier New" w:eastAsia="Courier New" w:hAnsi="Courier New"/>
          <w:sz w:val="18"/>
          <w:szCs w:val="18"/>
          <w:color w:val="auto"/>
        </w:rPr>
      </w:pPr>
      <w:r>
        <w:rPr>
          <w:rFonts w:ascii="Courier New" w:cs="Courier New" w:eastAsia="Courier New" w:hAnsi="Courier New"/>
          <w:sz w:val="18"/>
          <w:szCs w:val="18"/>
          <w:color w:val="auto"/>
        </w:rPr>
        <w:t>shared power to dispose or to direct the disposition of: 46,814,752</w:t>
      </w:r>
    </w:p>
    <w:p>
      <w:pPr>
        <w:spacing w:after="0" w:line="5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5) Ownership of Five Percent or less of a class:</w:t>
      </w:r>
    </w:p>
    <w:p>
      <w:pPr>
        <w:spacing w:after="0" w:line="3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ind w:left="2000" w:right="2419" w:hanging="1052"/>
        <w:spacing w:after="0" w:line="257" w:lineRule="auto"/>
        <w:rPr>
          <w:sz w:val="20"/>
          <w:szCs w:val="20"/>
          <w:color w:val="auto"/>
        </w:rPr>
      </w:pPr>
      <w:r>
        <w:rPr>
          <w:rFonts w:ascii="Courier New" w:cs="Courier New" w:eastAsia="Courier New" w:hAnsi="Courier New"/>
          <w:sz w:val="18"/>
          <w:szCs w:val="18"/>
          <w:color w:val="auto"/>
        </w:rPr>
        <w:t>Item 6) Ownership of</w:t>
      </w:r>
      <w:r>
        <w:rPr>
          <w:sz w:val="20"/>
          <w:szCs w:val="20"/>
          <w:color w:val="auto"/>
        </w:rPr>
        <w:t xml:space="preserve"> </w:t>
      </w:r>
      <w:r>
        <w:rPr>
          <w:rFonts w:ascii="Courier New" w:cs="Courier New" w:eastAsia="Courier New" w:hAnsi="Courier New"/>
          <w:sz w:val="18"/>
          <w:szCs w:val="18"/>
          <w:color w:val="auto"/>
        </w:rPr>
        <w:t>more than Five Percent on behalf of another person:</w:t>
      </w:r>
    </w:p>
    <w:p>
      <w:pPr>
        <w:spacing w:after="0" w:line="141" w:lineRule="exact"/>
        <w:rPr>
          <w:sz w:val="20"/>
          <w:szCs w:val="20"/>
          <w:color w:val="auto"/>
        </w:rPr>
      </w:pPr>
    </w:p>
    <w:p>
      <w:pPr>
        <w:ind w:left="212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ind w:left="960" w:right="1879"/>
        <w:spacing w:after="0" w:line="402" w:lineRule="auto"/>
        <w:rPr>
          <w:sz w:val="20"/>
          <w:szCs w:val="20"/>
          <w:color w:val="auto"/>
        </w:rPr>
      </w:pPr>
      <w:r>
        <w:rPr>
          <w:rFonts w:ascii="Courier New" w:cs="Courier New" w:eastAsia="Courier New" w:hAnsi="Courier New"/>
          <w:sz w:val="16"/>
          <w:szCs w:val="16"/>
          <w:color w:val="auto"/>
        </w:rPr>
        <w:t>Item 7) Identification and classification of the subsidiary which acquired the security being reported on by the parent holding company:</w:t>
      </w:r>
    </w:p>
    <w:p>
      <w:pPr>
        <w:spacing w:after="0" w:line="1" w:lineRule="exact"/>
        <w:rPr>
          <w:sz w:val="20"/>
          <w:szCs w:val="20"/>
          <w:color w:val="auto"/>
        </w:rPr>
      </w:pPr>
    </w:p>
    <w:p>
      <w:pPr>
        <w:ind w:left="1900" w:right="2619" w:hanging="210"/>
        <w:spacing w:after="0" w:line="257" w:lineRule="auto"/>
        <w:rPr>
          <w:sz w:val="20"/>
          <w:szCs w:val="20"/>
          <w:color w:val="auto"/>
        </w:rPr>
      </w:pPr>
      <w:r>
        <w:rPr>
          <w:rFonts w:ascii="Courier New" w:cs="Courier New" w:eastAsia="Courier New" w:hAnsi="Courier New"/>
          <w:sz w:val="18"/>
          <w:szCs w:val="18"/>
          <w:color w:val="auto"/>
        </w:rPr>
        <w:t>Legg Mason Funds Management, Inc., as investment adviser with discretion</w:t>
      </w:r>
    </w:p>
    <w:p>
      <w:pPr>
        <w:ind w:left="1900" w:right="2739" w:hanging="210"/>
        <w:spacing w:after="0" w:line="238" w:lineRule="auto"/>
        <w:rPr>
          <w:sz w:val="20"/>
          <w:szCs w:val="20"/>
          <w:color w:val="auto"/>
        </w:rPr>
      </w:pPr>
      <w:r>
        <w:rPr>
          <w:rFonts w:ascii="Courier New" w:cs="Courier New" w:eastAsia="Courier New" w:hAnsi="Courier New"/>
          <w:sz w:val="18"/>
          <w:szCs w:val="18"/>
          <w:color w:val="auto"/>
        </w:rPr>
        <w:t>Berkshire Asset Management, Inc., as investment adviser with discretion</w:t>
      </w:r>
    </w:p>
    <w:p>
      <w:pPr>
        <w:spacing w:after="0" w:line="1" w:lineRule="exact"/>
        <w:rPr>
          <w:sz w:val="20"/>
          <w:szCs w:val="20"/>
          <w:color w:val="auto"/>
        </w:rPr>
      </w:pPr>
    </w:p>
    <w:p>
      <w:pPr>
        <w:ind w:left="1900" w:right="2619" w:hanging="210"/>
        <w:spacing w:after="0" w:line="238" w:lineRule="auto"/>
        <w:rPr>
          <w:sz w:val="20"/>
          <w:szCs w:val="20"/>
          <w:color w:val="auto"/>
        </w:rPr>
      </w:pPr>
      <w:r>
        <w:rPr>
          <w:rFonts w:ascii="Courier New" w:cs="Courier New" w:eastAsia="Courier New" w:hAnsi="Courier New"/>
          <w:sz w:val="18"/>
          <w:szCs w:val="18"/>
          <w:color w:val="auto"/>
        </w:rPr>
        <w:t>Brandywine Asset Management, Inc., as investment adviser with discretion</w:t>
      </w:r>
    </w:p>
    <w:p>
      <w:pPr>
        <w:spacing w:after="0" w:line="1" w:lineRule="exact"/>
        <w:rPr>
          <w:sz w:val="20"/>
          <w:szCs w:val="20"/>
          <w:color w:val="auto"/>
        </w:rPr>
      </w:pPr>
    </w:p>
    <w:p>
      <w:pPr>
        <w:ind w:left="1900" w:right="2839" w:hanging="210"/>
        <w:spacing w:after="0" w:line="238" w:lineRule="auto"/>
        <w:rPr>
          <w:sz w:val="20"/>
          <w:szCs w:val="20"/>
          <w:color w:val="auto"/>
        </w:rPr>
      </w:pPr>
      <w:r>
        <w:rPr>
          <w:rFonts w:ascii="Courier New" w:cs="Courier New" w:eastAsia="Courier New" w:hAnsi="Courier New"/>
          <w:sz w:val="18"/>
          <w:szCs w:val="18"/>
          <w:color w:val="auto"/>
        </w:rPr>
        <w:t>Bingham Legg Advisers, LLC, as investment adviser with with discretion</w:t>
      </w:r>
    </w:p>
    <w:p>
      <w:pPr>
        <w:spacing w:after="0" w:line="1" w:lineRule="exact"/>
        <w:rPr>
          <w:sz w:val="20"/>
          <w:szCs w:val="20"/>
          <w:color w:val="auto"/>
        </w:rPr>
      </w:pPr>
    </w:p>
    <w:p>
      <w:pPr>
        <w:ind w:left="1700" w:right="2419"/>
        <w:spacing w:after="0" w:line="268" w:lineRule="auto"/>
        <w:rPr>
          <w:sz w:val="20"/>
          <w:szCs w:val="20"/>
          <w:color w:val="auto"/>
        </w:rPr>
      </w:pPr>
      <w:r>
        <w:rPr>
          <w:rFonts w:ascii="Courier New" w:cs="Courier New" w:eastAsia="Courier New" w:hAnsi="Courier New"/>
          <w:sz w:val="16"/>
          <w:szCs w:val="16"/>
          <w:color w:val="auto"/>
        </w:rPr>
        <w:t>Bartlett &amp; Co., as investment adviser with discretion Legg Mason Capital Management, Inc., as investment adviser</w:t>
      </w:r>
    </w:p>
    <w:p>
      <w:pPr>
        <w:ind w:left="1900"/>
        <w:spacing w:after="0"/>
        <w:rPr>
          <w:sz w:val="20"/>
          <w:szCs w:val="20"/>
          <w:color w:val="auto"/>
        </w:rPr>
      </w:pPr>
      <w:r>
        <w:rPr>
          <w:rFonts w:ascii="Courier New" w:cs="Courier New" w:eastAsia="Courier New" w:hAnsi="Courier New"/>
          <w:sz w:val="18"/>
          <w:szCs w:val="18"/>
          <w:color w:val="auto"/>
        </w:rPr>
        <w:t>with discretion</w:t>
      </w:r>
    </w:p>
    <w:p>
      <w:pPr>
        <w:ind w:left="1700" w:right="2099"/>
        <w:spacing w:after="0" w:line="268" w:lineRule="auto"/>
        <w:rPr>
          <w:sz w:val="20"/>
          <w:szCs w:val="20"/>
          <w:color w:val="auto"/>
        </w:rPr>
      </w:pPr>
      <w:r>
        <w:rPr>
          <w:rFonts w:ascii="Courier New" w:cs="Courier New" w:eastAsia="Courier New" w:hAnsi="Courier New"/>
          <w:sz w:val="16"/>
          <w:szCs w:val="16"/>
          <w:color w:val="auto"/>
        </w:rPr>
        <w:t>Legg Mason Trust, fsb, as investment adviser with discretion Legg Mason Wood Walker, Inc., as broker/dealer and investment</w:t>
      </w:r>
    </w:p>
    <w:p>
      <w:pPr>
        <w:ind w:left="1900"/>
        <w:spacing w:after="0"/>
        <w:rPr>
          <w:sz w:val="20"/>
          <w:szCs w:val="20"/>
          <w:color w:val="auto"/>
        </w:rPr>
      </w:pPr>
      <w:r>
        <w:rPr>
          <w:rFonts w:ascii="Courier New" w:cs="Courier New" w:eastAsia="Courier New" w:hAnsi="Courier New"/>
          <w:sz w:val="18"/>
          <w:szCs w:val="18"/>
          <w:color w:val="auto"/>
        </w:rPr>
        <w:t>adviser with discretion</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8) Identification and classification of members of the group:</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9) Notice of dissolution of group:</w:t>
      </w:r>
    </w:p>
    <w:p>
      <w:pPr>
        <w:spacing w:after="0" w:line="31" w:lineRule="exact"/>
        <w:rPr>
          <w:sz w:val="20"/>
          <w:szCs w:val="20"/>
          <w:color w:val="auto"/>
        </w:rPr>
      </w:pPr>
    </w:p>
    <w:p>
      <w:pPr>
        <w:ind w:left="1900"/>
        <w:spacing w:after="0"/>
        <w:rPr>
          <w:sz w:val="20"/>
          <w:szCs w:val="20"/>
          <w:color w:val="auto"/>
        </w:rPr>
      </w:pPr>
      <w:r>
        <w:rPr>
          <w:rFonts w:ascii="Courier New" w:cs="Courier New" w:eastAsia="Courier New" w:hAnsi="Courier New"/>
          <w:sz w:val="18"/>
          <w:szCs w:val="18"/>
          <w:color w:val="auto"/>
        </w:rPr>
        <w:t>n/a</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Item 10) Certification:</w:t>
      </w:r>
    </w:p>
    <w:p>
      <w:pPr>
        <w:spacing w:after="0" w:line="201" w:lineRule="exact"/>
        <w:rPr>
          <w:sz w:val="20"/>
          <w:szCs w:val="20"/>
          <w:color w:val="auto"/>
        </w:rPr>
      </w:pPr>
    </w:p>
    <w:p>
      <w:pPr>
        <w:jc w:val="both"/>
        <w:ind w:left="960" w:right="1779" w:firstLine="948"/>
        <w:spacing w:after="0" w:line="298" w:lineRule="auto"/>
        <w:rPr>
          <w:sz w:val="20"/>
          <w:szCs w:val="20"/>
          <w:color w:val="auto"/>
        </w:rPr>
      </w:pPr>
      <w:r>
        <w:rPr>
          <w:rFonts w:ascii="Courier New" w:cs="Courier New" w:eastAsia="Courier New" w:hAnsi="Courier New"/>
          <w:sz w:val="16"/>
          <w:szCs w:val="16"/>
          <w:color w:val="auto"/>
        </w:rPr>
        <w:t>By signing below I certify that, to the best of my knowledge and belief, the securities referred to above were acquired in the ordinary course of business and were not acquired for the purpose of and do not have the effect of changing or influencing the control of the issuer of such securities and were not acquired in connection with or as a participant in any transaction having such purposes or effect.</w:t>
      </w:r>
    </w:p>
    <w:p>
      <w:pPr>
        <w:spacing w:after="0" w:line="68" w:lineRule="exact"/>
        <w:rPr>
          <w:sz w:val="20"/>
          <w:szCs w:val="20"/>
          <w:color w:val="auto"/>
        </w:rPr>
      </w:pPr>
    </w:p>
    <w:p>
      <w:pPr>
        <w:jc w:val="both"/>
        <w:ind w:left="960" w:right="1779" w:firstLine="948"/>
        <w:spacing w:after="0" w:line="292" w:lineRule="auto"/>
        <w:rPr>
          <w:sz w:val="20"/>
          <w:szCs w:val="20"/>
          <w:color w:val="auto"/>
        </w:rPr>
      </w:pPr>
      <w:r>
        <w:rPr>
          <w:rFonts w:ascii="Courier New" w:cs="Courier New" w:eastAsia="Courier New" w:hAnsi="Courier New"/>
          <w:sz w:val="18"/>
          <w:szCs w:val="18"/>
          <w:color w:val="auto"/>
        </w:rPr>
        <w:t>After reasonable inquiry and to the best of my knowledge and belief, I certify that the information set forth in this statement is true, complete and correct.</w:t>
      </w:r>
    </w:p>
    <w:p>
      <w:pPr>
        <w:spacing w:after="0" w:line="66"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spacing w:after="0" w:line="31" w:lineRule="exact"/>
        <w:rPr>
          <w:sz w:val="20"/>
          <w:szCs w:val="20"/>
          <w:color w:val="auto"/>
        </w:rPr>
      </w:pPr>
    </w:p>
    <w:p>
      <w:pPr>
        <w:ind w:left="960"/>
        <w:spacing w:after="0"/>
        <w:tabs>
          <w:tab w:leader="none" w:pos="1680" w:val="left"/>
        </w:tabs>
        <w:rPr>
          <w:sz w:val="20"/>
          <w:szCs w:val="20"/>
          <w:color w:val="auto"/>
        </w:rPr>
      </w:pPr>
      <w:r>
        <w:rPr>
          <w:rFonts w:ascii="Courier New" w:cs="Courier New" w:eastAsia="Courier New" w:hAnsi="Courier New"/>
          <w:sz w:val="18"/>
          <w:szCs w:val="18"/>
          <w:color w:val="auto"/>
        </w:rPr>
        <w:t>Date:</w:t>
      </w:r>
      <w:r>
        <w:rPr>
          <w:sz w:val="20"/>
          <w:szCs w:val="20"/>
          <w:color w:val="auto"/>
        </w:rPr>
        <w:tab/>
      </w:r>
      <w:r>
        <w:rPr>
          <w:rFonts w:ascii="Courier New" w:cs="Courier New" w:eastAsia="Courier New" w:hAnsi="Courier New"/>
          <w:sz w:val="16"/>
          <w:szCs w:val="16"/>
          <w:color w:val="auto"/>
        </w:rPr>
        <w:t>3/14/01</w:t>
      </w:r>
    </w:p>
    <w:p>
      <w:pPr>
        <w:spacing w:after="0" w:line="16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Signature</w:t>
      </w:r>
    </w:p>
    <w:p>
      <w:pPr>
        <w:spacing w:after="0" w:line="201"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Timothy C. Scheve, Executive Vice President, Legg Mason, Inc.</w:t>
      </w:r>
    </w:p>
    <w:p>
      <w:pPr>
        <w:spacing w:after="0" w:line="29" w:lineRule="exact"/>
        <w:rPr>
          <w:sz w:val="20"/>
          <w:szCs w:val="20"/>
          <w:color w:val="auto"/>
        </w:rPr>
      </w:pPr>
    </w:p>
    <w:p>
      <w:pPr>
        <w:ind w:left="960"/>
        <w:spacing w:after="0"/>
        <w:rPr>
          <w:sz w:val="20"/>
          <w:szCs w:val="20"/>
          <w:color w:val="auto"/>
        </w:rPr>
      </w:pPr>
      <w:r>
        <w:rPr>
          <w:rFonts w:ascii="Courier New" w:cs="Courier New" w:eastAsia="Courier New" w:hAnsi="Courier New"/>
          <w:sz w:val="18"/>
          <w:szCs w:val="18"/>
          <w:color w:val="auto"/>
        </w:rPr>
        <w:t>-------------------------------------------------------------</w:t>
      </w:r>
    </w:p>
    <w:p>
      <w:pPr>
        <w:ind w:left="960"/>
        <w:spacing w:after="0"/>
        <w:rPr>
          <w:sz w:val="20"/>
          <w:szCs w:val="20"/>
          <w:color w:val="auto"/>
        </w:rPr>
      </w:pPr>
      <w:r>
        <w:rPr>
          <w:rFonts w:ascii="Courier New" w:cs="Courier New" w:eastAsia="Courier New" w:hAnsi="Courier New"/>
          <w:sz w:val="18"/>
          <w:szCs w:val="18"/>
          <w:color w:val="auto"/>
        </w:rPr>
        <w:t>Name/Title</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Addendum to Schedule 13G/A filed by Legg Mason, Inc.</w:t>
      </w:r>
    </w:p>
    <w:p>
      <w:pPr>
        <w:spacing w:after="0" w:line="3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Tax Identification No. 52-1200960</w:t>
      </w:r>
    </w:p>
    <w:p>
      <w:pPr>
        <w:spacing w:after="0" w:line="169"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Shares of Waste Management, Inc. owned a/o 12/31/00</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CUSIP 94106L109</w:t>
      </w:r>
    </w:p>
    <w:p>
      <w:pPr>
        <w:sectPr>
          <w:pgSz w:w="11900" w:h="16838" w:orient="portrait"/>
          <w:cols w:equalWidth="0" w:num="1">
            <w:col w:w="10219"/>
          </w:cols>
          <w:pgMar w:left="240" w:top="110" w:right="1440" w:bottom="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ind w:left="3380"/>
        <w:spacing w:after="0"/>
        <w:tabs>
          <w:tab w:leader="none" w:pos="4420" w:val="left"/>
          <w:tab w:leader="none" w:pos="5360" w:val="left"/>
          <w:tab w:leader="none" w:pos="6520" w:val="left"/>
          <w:tab w:leader="none" w:pos="7460" w:val="left"/>
        </w:tabs>
        <w:rPr>
          <w:sz w:val="20"/>
          <w:szCs w:val="20"/>
          <w:color w:val="auto"/>
        </w:rPr>
      </w:pPr>
      <w:r>
        <w:rPr>
          <w:rFonts w:ascii="Courier New" w:cs="Courier New" w:eastAsia="Courier New" w:hAnsi="Courier New"/>
          <w:sz w:val="18"/>
          <w:szCs w:val="18"/>
          <w:color w:val="auto"/>
        </w:rPr>
        <w:t>Shares</w:t>
      </w:r>
      <w:r>
        <w:rPr>
          <w:sz w:val="20"/>
          <w:szCs w:val="20"/>
          <w:color w:val="auto"/>
        </w:rPr>
        <w:tab/>
      </w:r>
      <w:r>
        <w:rPr>
          <w:rFonts w:ascii="Courier New" w:cs="Courier New" w:eastAsia="Courier New" w:hAnsi="Courier New"/>
          <w:sz w:val="18"/>
          <w:szCs w:val="18"/>
          <w:color w:val="auto"/>
        </w:rPr>
        <w:t>Sole</w:t>
      </w:r>
      <w:r>
        <w:rPr>
          <w:sz w:val="20"/>
          <w:szCs w:val="20"/>
          <w:color w:val="auto"/>
        </w:rPr>
        <w:tab/>
      </w:r>
      <w:r>
        <w:rPr>
          <w:rFonts w:ascii="Courier New" w:cs="Courier New" w:eastAsia="Courier New" w:hAnsi="Courier New"/>
          <w:sz w:val="18"/>
          <w:szCs w:val="18"/>
          <w:color w:val="auto"/>
        </w:rPr>
        <w:t>Shared</w:t>
      </w:r>
      <w:r>
        <w:rPr>
          <w:sz w:val="20"/>
          <w:szCs w:val="20"/>
          <w:color w:val="auto"/>
        </w:rPr>
        <w:tab/>
      </w:r>
      <w:r>
        <w:rPr>
          <w:rFonts w:ascii="Courier New" w:cs="Courier New" w:eastAsia="Courier New" w:hAnsi="Courier New"/>
          <w:sz w:val="18"/>
          <w:szCs w:val="18"/>
          <w:color w:val="auto"/>
        </w:rPr>
        <w:t>Sole</w:t>
      </w:r>
      <w:r>
        <w:rPr>
          <w:sz w:val="20"/>
          <w:szCs w:val="20"/>
          <w:color w:val="auto"/>
        </w:rPr>
        <w:tab/>
      </w:r>
      <w:r>
        <w:rPr>
          <w:rFonts w:ascii="Courier New" w:cs="Courier New" w:eastAsia="Courier New" w:hAnsi="Courier New"/>
          <w:sz w:val="16"/>
          <w:szCs w:val="16"/>
          <w:color w:val="auto"/>
        </w:rPr>
        <w:t>Shared</w:t>
      </w:r>
    </w:p>
    <w:p>
      <w:pPr>
        <w:sectPr>
          <w:pgSz w:w="11900" w:h="16838" w:orient="portrait"/>
          <w:cols w:equalWidth="0" w:num="1">
            <w:col w:w="10219"/>
          </w:cols>
          <w:pgMar w:left="240" w:top="110" w:right="1440" w:bottom="0" w:gutter="0" w:footer="0" w:header="0"/>
          <w:type w:val="continuous"/>
        </w:sectPr>
      </w:pPr>
    </w:p>
    <w:bookmarkStart w:id="2" w:name="page3"/>
    <w:bookmarkEnd w:id="2"/>
    <w:tbl>
      <w:tblPr>
        <w:tblLayout w:type="fixed"/>
        <w:tblInd w:w="0" w:type="dxa"/>
        <w:tblCellMar>
          <w:top w:w="0" w:type="dxa"/>
          <w:left w:w="0" w:type="dxa"/>
          <w:bottom w:w="0" w:type="dxa"/>
          <w:right w:w="0" w:type="dxa"/>
        </w:tblCellMar>
      </w:tblPr>
      <w:tr>
        <w:trPr>
          <w:trHeight w:val="296"/>
        </w:trPr>
        <w:tc>
          <w:tcPr>
            <w:tcW w:w="1120" w:type="dxa"/>
            <w:vAlign w:val="bottom"/>
          </w:tcPr>
          <w:p>
            <w:pPr>
              <w:ind w:left="320"/>
              <w:spacing w:after="0"/>
              <w:rPr>
                <w:sz w:val="20"/>
                <w:szCs w:val="20"/>
                <w:color w:val="auto"/>
              </w:rPr>
            </w:pPr>
            <w:r>
              <w:rPr>
                <w:rFonts w:ascii="Courier New" w:cs="Courier New" w:eastAsia="Courier New" w:hAnsi="Courier New"/>
                <w:sz w:val="18"/>
                <w:szCs w:val="18"/>
                <w:color w:val="auto"/>
              </w:rPr>
              <w:t>Name</w:t>
            </w:r>
          </w:p>
        </w:tc>
        <w:tc>
          <w:tcPr>
            <w:tcW w:w="1100" w:type="dxa"/>
            <w:vAlign w:val="bottom"/>
          </w:tcPr>
          <w:p>
            <w:pPr>
              <w:spacing w:after="0"/>
              <w:rPr>
                <w:sz w:val="24"/>
                <w:szCs w:val="24"/>
                <w:color w:val="auto"/>
              </w:rPr>
            </w:pPr>
          </w:p>
        </w:tc>
        <w:tc>
          <w:tcPr>
            <w:tcW w:w="740" w:type="dxa"/>
            <w:vAlign w:val="bottom"/>
          </w:tcPr>
          <w:p>
            <w:pPr>
              <w:jc w:val="right"/>
              <w:spacing w:after="0"/>
              <w:rPr>
                <w:sz w:val="20"/>
                <w:szCs w:val="20"/>
                <w:color w:val="auto"/>
              </w:rPr>
            </w:pPr>
            <w:r>
              <w:rPr>
                <w:rFonts w:ascii="Courier New" w:cs="Courier New" w:eastAsia="Courier New" w:hAnsi="Courier New"/>
                <w:sz w:val="18"/>
                <w:szCs w:val="18"/>
                <w:color w:val="auto"/>
              </w:rPr>
              <w:t>Class</w:t>
            </w:r>
          </w:p>
        </w:tc>
        <w:tc>
          <w:tcPr>
            <w:tcW w:w="12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Owned</w:t>
            </w:r>
          </w:p>
        </w:tc>
        <w:tc>
          <w:tcPr>
            <w:tcW w:w="860" w:type="dxa"/>
            <w:vAlign w:val="bottom"/>
          </w:tcPr>
          <w:p>
            <w:pPr>
              <w:ind w:left="280"/>
              <w:spacing w:after="0"/>
              <w:rPr>
                <w:sz w:val="20"/>
                <w:szCs w:val="20"/>
                <w:color w:val="auto"/>
              </w:rPr>
            </w:pPr>
            <w:r>
              <w:rPr>
                <w:rFonts w:ascii="Courier New" w:cs="Courier New" w:eastAsia="Courier New" w:hAnsi="Courier New"/>
                <w:sz w:val="18"/>
                <w:szCs w:val="18"/>
                <w:color w:val="auto"/>
              </w:rPr>
              <w:t>V P</w:t>
            </w:r>
          </w:p>
        </w:tc>
        <w:tc>
          <w:tcPr>
            <w:tcW w:w="1420" w:type="dxa"/>
            <w:vAlign w:val="bottom"/>
          </w:tcPr>
          <w:p>
            <w:pPr>
              <w:jc w:val="right"/>
              <w:ind w:right="552"/>
              <w:spacing w:after="0"/>
              <w:rPr>
                <w:sz w:val="20"/>
                <w:szCs w:val="20"/>
                <w:color w:val="auto"/>
              </w:rPr>
            </w:pPr>
            <w:r>
              <w:rPr>
                <w:rFonts w:ascii="Courier New" w:cs="Courier New" w:eastAsia="Courier New" w:hAnsi="Courier New"/>
                <w:sz w:val="18"/>
                <w:szCs w:val="18"/>
                <w:color w:val="auto"/>
              </w:rPr>
              <w:t>V P</w:t>
            </w:r>
          </w:p>
        </w:tc>
        <w:tc>
          <w:tcPr>
            <w:tcW w:w="620" w:type="dxa"/>
            <w:vAlign w:val="bottom"/>
          </w:tcPr>
          <w:p>
            <w:pPr>
              <w:ind w:left="100"/>
              <w:spacing w:after="0"/>
              <w:rPr>
                <w:sz w:val="20"/>
                <w:szCs w:val="20"/>
                <w:color w:val="auto"/>
              </w:rPr>
            </w:pPr>
            <w:r>
              <w:rPr>
                <w:rFonts w:ascii="Courier New" w:cs="Courier New" w:eastAsia="Courier New" w:hAnsi="Courier New"/>
                <w:sz w:val="18"/>
                <w:szCs w:val="18"/>
                <w:color w:val="auto"/>
              </w:rPr>
              <w:t>D P</w:t>
            </w:r>
          </w:p>
        </w:tc>
        <w:tc>
          <w:tcPr>
            <w:tcW w:w="1280" w:type="dxa"/>
            <w:vAlign w:val="bottom"/>
          </w:tcPr>
          <w:p>
            <w:pPr>
              <w:jc w:val="right"/>
              <w:ind w:right="352"/>
              <w:spacing w:after="0"/>
              <w:rPr>
                <w:sz w:val="20"/>
                <w:szCs w:val="20"/>
                <w:color w:val="auto"/>
              </w:rPr>
            </w:pPr>
            <w:r>
              <w:rPr>
                <w:rFonts w:ascii="Courier New" w:cs="Courier New" w:eastAsia="Courier New" w:hAnsi="Courier New"/>
                <w:sz w:val="18"/>
                <w:szCs w:val="18"/>
                <w:color w:val="auto"/>
              </w:rPr>
              <w:t>D P</w:t>
            </w:r>
          </w:p>
        </w:tc>
        <w:tc>
          <w:tcPr>
            <w:tcW w:w="0" w:type="dxa"/>
            <w:vAlign w:val="bottom"/>
          </w:tcPr>
          <w:p>
            <w:pPr>
              <w:spacing w:after="0"/>
              <w:rPr>
                <w:sz w:val="1"/>
                <w:szCs w:val="1"/>
                <w:color w:val="auto"/>
              </w:rPr>
            </w:pPr>
          </w:p>
        </w:tc>
      </w:tr>
      <w:tr>
        <w:trPr>
          <w:trHeight w:val="717"/>
        </w:trPr>
        <w:tc>
          <w:tcPr>
            <w:tcW w:w="1120" w:type="dxa"/>
            <w:vAlign w:val="bottom"/>
          </w:tcPr>
          <w:p>
            <w:pPr>
              <w:spacing w:after="0"/>
              <w:rPr>
                <w:sz w:val="20"/>
                <w:szCs w:val="20"/>
                <w:color w:val="auto"/>
              </w:rPr>
            </w:pPr>
            <w:r>
              <w:rPr>
                <w:rFonts w:ascii="Courier New" w:cs="Courier New" w:eastAsia="Courier New" w:hAnsi="Courier New"/>
                <w:sz w:val="18"/>
                <w:szCs w:val="18"/>
                <w:color w:val="auto"/>
              </w:rPr>
              <w:t>Legg Mason</w:t>
            </w:r>
          </w:p>
        </w:tc>
        <w:tc>
          <w:tcPr>
            <w:tcW w:w="1100" w:type="dxa"/>
            <w:vAlign w:val="bottom"/>
          </w:tcPr>
          <w:p>
            <w:pPr>
              <w:ind w:left="40"/>
              <w:spacing w:after="0"/>
              <w:rPr>
                <w:sz w:val="20"/>
                <w:szCs w:val="20"/>
                <w:color w:val="auto"/>
              </w:rPr>
            </w:pPr>
            <w:r>
              <w:rPr>
                <w:rFonts w:ascii="Courier New" w:cs="Courier New" w:eastAsia="Courier New" w:hAnsi="Courier New"/>
                <w:sz w:val="18"/>
                <w:szCs w:val="18"/>
                <w:color w:val="auto"/>
              </w:rPr>
              <w:t>Funds</w:t>
            </w: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IA</w:t>
            </w:r>
          </w:p>
        </w:tc>
        <w:tc>
          <w:tcPr>
            <w:tcW w:w="12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w w:val="96"/>
              </w:rPr>
              <w:t>32,639,139</w:t>
            </w:r>
          </w:p>
        </w:tc>
        <w:tc>
          <w:tcPr>
            <w:tcW w:w="2280" w:type="dxa"/>
            <w:vAlign w:val="bottom"/>
            <w:gridSpan w:val="2"/>
            <w:vMerge w:val="restart"/>
          </w:tcPr>
          <w:p>
            <w:pPr>
              <w:jc w:val="right"/>
              <w:ind w:right="972"/>
              <w:spacing w:after="0"/>
              <w:rPr>
                <w:sz w:val="20"/>
                <w:szCs w:val="20"/>
                <w:color w:val="auto"/>
              </w:rPr>
            </w:pPr>
            <w:r>
              <w:rPr>
                <w:rFonts w:ascii="Courier New" w:cs="Courier New" w:eastAsia="Courier New" w:hAnsi="Courier New"/>
                <w:sz w:val="18"/>
                <w:szCs w:val="18"/>
                <w:color w:val="auto"/>
              </w:rPr>
              <w:t>32,639,139</w:t>
            </w:r>
          </w:p>
        </w:tc>
        <w:tc>
          <w:tcPr>
            <w:tcW w:w="620" w:type="dxa"/>
            <w:vAlign w:val="bottom"/>
          </w:tcPr>
          <w:p>
            <w:pPr>
              <w:spacing w:after="0"/>
              <w:rPr>
                <w:sz w:val="24"/>
                <w:szCs w:val="24"/>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32,639,139</w:t>
            </w:r>
          </w:p>
        </w:tc>
        <w:tc>
          <w:tcPr>
            <w:tcW w:w="0" w:type="dxa"/>
            <w:vAlign w:val="bottom"/>
          </w:tcPr>
          <w:p>
            <w:pPr>
              <w:spacing w:after="0"/>
              <w:rPr>
                <w:sz w:val="1"/>
                <w:szCs w:val="1"/>
                <w:color w:val="auto"/>
              </w:rPr>
            </w:pPr>
          </w:p>
        </w:tc>
      </w:tr>
      <w:tr>
        <w:trPr>
          <w:trHeight w:val="203"/>
        </w:trPr>
        <w:tc>
          <w:tcPr>
            <w:tcW w:w="2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Management, Inc.</w:t>
            </w:r>
          </w:p>
        </w:tc>
        <w:tc>
          <w:tcPr>
            <w:tcW w:w="7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2280" w:type="dxa"/>
            <w:vAlign w:val="bottom"/>
            <w:gridSpan w:val="2"/>
            <w:vMerge w:val="continue"/>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2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Berkshire Asset</w:t>
            </w: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IA</w:t>
            </w:r>
          </w:p>
        </w:tc>
        <w:tc>
          <w:tcPr>
            <w:tcW w:w="12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173,895</w:t>
            </w:r>
          </w:p>
        </w:tc>
        <w:tc>
          <w:tcPr>
            <w:tcW w:w="860" w:type="dxa"/>
            <w:vAlign w:val="bottom"/>
          </w:tcPr>
          <w:p>
            <w:pPr>
              <w:spacing w:after="0"/>
              <w:rPr>
                <w:sz w:val="17"/>
                <w:szCs w:val="17"/>
                <w:color w:val="auto"/>
              </w:rPr>
            </w:pPr>
          </w:p>
        </w:tc>
        <w:tc>
          <w:tcPr>
            <w:tcW w:w="14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173,895</w:t>
            </w:r>
          </w:p>
        </w:tc>
        <w:tc>
          <w:tcPr>
            <w:tcW w:w="6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173,895</w:t>
            </w:r>
          </w:p>
        </w:tc>
        <w:tc>
          <w:tcPr>
            <w:tcW w:w="0" w:type="dxa"/>
            <w:vAlign w:val="bottom"/>
          </w:tcPr>
          <w:p>
            <w:pPr>
              <w:spacing w:after="0"/>
              <w:rPr>
                <w:sz w:val="1"/>
                <w:szCs w:val="1"/>
                <w:color w:val="auto"/>
              </w:rPr>
            </w:pPr>
          </w:p>
        </w:tc>
      </w:tr>
      <w:tr>
        <w:trPr>
          <w:trHeight w:val="203"/>
        </w:trPr>
        <w:tc>
          <w:tcPr>
            <w:tcW w:w="2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Management, Inc.</w:t>
            </w:r>
          </w:p>
        </w:tc>
        <w:tc>
          <w:tcPr>
            <w:tcW w:w="7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Brandywine</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Asset</w:t>
            </w: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IA</w:t>
            </w:r>
          </w:p>
        </w:tc>
        <w:tc>
          <w:tcPr>
            <w:tcW w:w="12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5,700</w:t>
            </w:r>
          </w:p>
        </w:tc>
        <w:tc>
          <w:tcPr>
            <w:tcW w:w="860" w:type="dxa"/>
            <w:vAlign w:val="bottom"/>
          </w:tcPr>
          <w:p>
            <w:pPr>
              <w:spacing w:after="0"/>
              <w:rPr>
                <w:sz w:val="17"/>
                <w:szCs w:val="17"/>
                <w:color w:val="auto"/>
              </w:rPr>
            </w:pPr>
          </w:p>
        </w:tc>
        <w:tc>
          <w:tcPr>
            <w:tcW w:w="14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5,700</w:t>
            </w:r>
          </w:p>
        </w:tc>
        <w:tc>
          <w:tcPr>
            <w:tcW w:w="6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5,700</w:t>
            </w:r>
          </w:p>
        </w:tc>
        <w:tc>
          <w:tcPr>
            <w:tcW w:w="0" w:type="dxa"/>
            <w:vAlign w:val="bottom"/>
          </w:tcPr>
          <w:p>
            <w:pPr>
              <w:spacing w:after="0"/>
              <w:rPr>
                <w:sz w:val="1"/>
                <w:szCs w:val="1"/>
                <w:color w:val="auto"/>
              </w:rPr>
            </w:pPr>
          </w:p>
        </w:tc>
      </w:tr>
      <w:tr>
        <w:trPr>
          <w:trHeight w:val="203"/>
        </w:trPr>
        <w:tc>
          <w:tcPr>
            <w:tcW w:w="2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Management, Inc.</w:t>
            </w:r>
          </w:p>
        </w:tc>
        <w:tc>
          <w:tcPr>
            <w:tcW w:w="7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29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Bingham Legg Advisers,</w:t>
            </w:r>
          </w:p>
        </w:tc>
        <w:tc>
          <w:tcPr>
            <w:tcW w:w="12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2,705</w:t>
            </w:r>
          </w:p>
        </w:tc>
        <w:tc>
          <w:tcPr>
            <w:tcW w:w="860" w:type="dxa"/>
            <w:vAlign w:val="bottom"/>
          </w:tcPr>
          <w:p>
            <w:pPr>
              <w:spacing w:after="0"/>
              <w:rPr>
                <w:sz w:val="17"/>
                <w:szCs w:val="17"/>
                <w:color w:val="auto"/>
              </w:rPr>
            </w:pPr>
          </w:p>
        </w:tc>
        <w:tc>
          <w:tcPr>
            <w:tcW w:w="14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2,705</w:t>
            </w:r>
          </w:p>
        </w:tc>
        <w:tc>
          <w:tcPr>
            <w:tcW w:w="6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2,705</w:t>
            </w:r>
          </w:p>
        </w:tc>
        <w:tc>
          <w:tcPr>
            <w:tcW w:w="0" w:type="dxa"/>
            <w:vAlign w:val="bottom"/>
          </w:tcPr>
          <w:p>
            <w:pPr>
              <w:spacing w:after="0"/>
              <w:rPr>
                <w:sz w:val="1"/>
                <w:szCs w:val="1"/>
                <w:color w:val="auto"/>
              </w:rPr>
            </w:pPr>
          </w:p>
        </w:tc>
      </w:tr>
      <w:tr>
        <w:trPr>
          <w:trHeight w:val="203"/>
        </w:trPr>
        <w:tc>
          <w:tcPr>
            <w:tcW w:w="1120" w:type="dxa"/>
            <w:vAlign w:val="bottom"/>
          </w:tcPr>
          <w:p>
            <w:pPr>
              <w:ind w:left="220"/>
              <w:spacing w:after="0" w:line="203" w:lineRule="exact"/>
              <w:rPr>
                <w:sz w:val="20"/>
                <w:szCs w:val="20"/>
                <w:color w:val="auto"/>
              </w:rPr>
            </w:pPr>
            <w:r>
              <w:rPr>
                <w:rFonts w:ascii="Courier New" w:cs="Courier New" w:eastAsia="Courier New" w:hAnsi="Courier New"/>
                <w:sz w:val="18"/>
                <w:szCs w:val="18"/>
                <w:color w:val="auto"/>
              </w:rPr>
              <w:t>LLC</w:t>
            </w:r>
          </w:p>
        </w:tc>
        <w:tc>
          <w:tcPr>
            <w:tcW w:w="1100" w:type="dxa"/>
            <w:vAlign w:val="bottom"/>
            <w:vMerge w:val="restart"/>
          </w:tcPr>
          <w:p>
            <w:pPr>
              <w:ind w:left="40"/>
              <w:spacing w:after="0"/>
              <w:rPr>
                <w:sz w:val="20"/>
                <w:szCs w:val="20"/>
                <w:color w:val="auto"/>
              </w:rPr>
            </w:pPr>
            <w:r>
              <w:rPr>
                <w:rFonts w:ascii="Courier New" w:cs="Courier New" w:eastAsia="Courier New" w:hAnsi="Courier New"/>
                <w:sz w:val="18"/>
                <w:szCs w:val="18"/>
                <w:color w:val="auto"/>
              </w:rPr>
              <w:t>Co.</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IA</w:t>
            </w:r>
          </w:p>
        </w:tc>
        <w:tc>
          <w:tcPr>
            <w:tcW w:w="12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Bartlett &amp;</w:t>
            </w:r>
          </w:p>
        </w:tc>
        <w:tc>
          <w:tcPr>
            <w:tcW w:w="1100" w:type="dxa"/>
            <w:vAlign w:val="bottom"/>
            <w:vMerge w:val="continue"/>
          </w:tcPr>
          <w:p>
            <w:pPr>
              <w:spacing w:after="0"/>
              <w:rPr>
                <w:sz w:val="17"/>
                <w:szCs w:val="17"/>
                <w:color w:val="auto"/>
              </w:rPr>
            </w:pP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IA</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364,383</w:t>
            </w:r>
          </w:p>
        </w:tc>
        <w:tc>
          <w:tcPr>
            <w:tcW w:w="86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364,383</w:t>
            </w:r>
          </w:p>
        </w:tc>
        <w:tc>
          <w:tcPr>
            <w:tcW w:w="6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364,383</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Legg Mason</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Capital</w:t>
            </w: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rPr>
              <w:t>IA</w:t>
            </w:r>
          </w:p>
        </w:tc>
        <w:tc>
          <w:tcPr>
            <w:tcW w:w="12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w w:val="96"/>
              </w:rPr>
              <w:t>13,037,670</w:t>
            </w:r>
          </w:p>
        </w:tc>
        <w:tc>
          <w:tcPr>
            <w:tcW w:w="860" w:type="dxa"/>
            <w:vAlign w:val="bottom"/>
          </w:tcPr>
          <w:p>
            <w:pPr>
              <w:spacing w:after="0"/>
              <w:rPr>
                <w:sz w:val="17"/>
                <w:szCs w:val="17"/>
                <w:color w:val="auto"/>
              </w:rPr>
            </w:pPr>
          </w:p>
        </w:tc>
        <w:tc>
          <w:tcPr>
            <w:tcW w:w="14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13,037,670</w:t>
            </w:r>
          </w:p>
        </w:tc>
        <w:tc>
          <w:tcPr>
            <w:tcW w:w="6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13,037,670</w:t>
            </w:r>
          </w:p>
        </w:tc>
        <w:tc>
          <w:tcPr>
            <w:tcW w:w="0" w:type="dxa"/>
            <w:vAlign w:val="bottom"/>
          </w:tcPr>
          <w:p>
            <w:pPr>
              <w:spacing w:after="0"/>
              <w:rPr>
                <w:sz w:val="1"/>
                <w:szCs w:val="1"/>
                <w:color w:val="auto"/>
              </w:rPr>
            </w:pPr>
          </w:p>
        </w:tc>
      </w:tr>
      <w:tr>
        <w:trPr>
          <w:trHeight w:val="203"/>
        </w:trPr>
        <w:tc>
          <w:tcPr>
            <w:tcW w:w="2220" w:type="dxa"/>
            <w:vAlign w:val="bottom"/>
            <w:gridSpan w:val="2"/>
          </w:tcPr>
          <w:p>
            <w:pPr>
              <w:ind w:left="220"/>
              <w:spacing w:after="0" w:line="203" w:lineRule="exact"/>
              <w:rPr>
                <w:sz w:val="20"/>
                <w:szCs w:val="20"/>
                <w:color w:val="auto"/>
              </w:rPr>
            </w:pPr>
            <w:r>
              <w:rPr>
                <w:rFonts w:ascii="Courier New" w:cs="Courier New" w:eastAsia="Courier New" w:hAnsi="Courier New"/>
                <w:sz w:val="18"/>
                <w:szCs w:val="18"/>
                <w:color w:val="auto"/>
              </w:rPr>
              <w:t>Management, Inc.</w:t>
            </w:r>
          </w:p>
        </w:tc>
        <w:tc>
          <w:tcPr>
            <w:tcW w:w="740" w:type="dxa"/>
            <w:vAlign w:val="bottom"/>
            <w:vMerge w:val="continue"/>
          </w:tcPr>
          <w:p>
            <w:pPr>
              <w:spacing w:after="0"/>
              <w:rPr>
                <w:sz w:val="17"/>
                <w:szCs w:val="17"/>
                <w:color w:val="auto"/>
              </w:rPr>
            </w:pPr>
          </w:p>
        </w:tc>
        <w:tc>
          <w:tcPr>
            <w:tcW w:w="1200" w:type="dxa"/>
            <w:vAlign w:val="bottom"/>
            <w:vMerge w:val="continue"/>
          </w:tcPr>
          <w:p>
            <w:pPr>
              <w:spacing w:after="0"/>
              <w:rPr>
                <w:sz w:val="17"/>
                <w:szCs w:val="17"/>
                <w:color w:val="auto"/>
              </w:rPr>
            </w:pPr>
          </w:p>
        </w:tc>
        <w:tc>
          <w:tcPr>
            <w:tcW w:w="860" w:type="dxa"/>
            <w:vAlign w:val="bottom"/>
          </w:tcPr>
          <w:p>
            <w:pPr>
              <w:spacing w:after="0"/>
              <w:rPr>
                <w:sz w:val="17"/>
                <w:szCs w:val="17"/>
                <w:color w:val="auto"/>
              </w:rPr>
            </w:pPr>
          </w:p>
        </w:tc>
        <w:tc>
          <w:tcPr>
            <w:tcW w:w="1420" w:type="dxa"/>
            <w:vAlign w:val="bottom"/>
            <w:vMerge w:val="continue"/>
          </w:tcPr>
          <w:p>
            <w:pPr>
              <w:spacing w:after="0"/>
              <w:rPr>
                <w:sz w:val="17"/>
                <w:szCs w:val="17"/>
                <w:color w:val="auto"/>
              </w:rPr>
            </w:pPr>
          </w:p>
        </w:tc>
        <w:tc>
          <w:tcPr>
            <w:tcW w:w="620" w:type="dxa"/>
            <w:vAlign w:val="bottom"/>
          </w:tcPr>
          <w:p>
            <w:pPr>
              <w:spacing w:after="0"/>
              <w:rPr>
                <w:sz w:val="17"/>
                <w:szCs w:val="17"/>
                <w:color w:val="auto"/>
              </w:rPr>
            </w:pPr>
          </w:p>
        </w:tc>
        <w:tc>
          <w:tcPr>
            <w:tcW w:w="1280" w:type="dxa"/>
            <w:vAlign w:val="bottom"/>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Legg Mason</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w w:val="96"/>
              </w:rPr>
              <w:t>Trust, fsb</w:t>
            </w:r>
          </w:p>
        </w:tc>
        <w:tc>
          <w:tcPr>
            <w:tcW w:w="74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IA</w:t>
            </w:r>
          </w:p>
        </w:tc>
        <w:tc>
          <w:tcPr>
            <w:tcW w:w="1200" w:type="dxa"/>
            <w:vAlign w:val="bottom"/>
          </w:tcPr>
          <w:p>
            <w:pPr>
              <w:jc w:val="right"/>
              <w:ind w:right="52"/>
              <w:spacing w:after="0" w:line="203" w:lineRule="exact"/>
              <w:rPr>
                <w:sz w:val="20"/>
                <w:szCs w:val="20"/>
                <w:color w:val="auto"/>
              </w:rPr>
            </w:pPr>
            <w:r>
              <w:rPr>
                <w:rFonts w:ascii="Courier New" w:cs="Courier New" w:eastAsia="Courier New" w:hAnsi="Courier New"/>
                <w:sz w:val="18"/>
                <w:szCs w:val="18"/>
                <w:color w:val="auto"/>
              </w:rPr>
              <w:t>28,307</w:t>
            </w:r>
          </w:p>
        </w:tc>
        <w:tc>
          <w:tcPr>
            <w:tcW w:w="860" w:type="dxa"/>
            <w:vAlign w:val="bottom"/>
          </w:tcPr>
          <w:p>
            <w:pPr>
              <w:spacing w:after="0"/>
              <w:rPr>
                <w:sz w:val="17"/>
                <w:szCs w:val="17"/>
                <w:color w:val="auto"/>
              </w:rPr>
            </w:pPr>
          </w:p>
        </w:tc>
        <w:tc>
          <w:tcPr>
            <w:tcW w:w="142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28,307</w:t>
            </w:r>
          </w:p>
        </w:tc>
        <w:tc>
          <w:tcPr>
            <w:tcW w:w="620" w:type="dxa"/>
            <w:vAlign w:val="bottom"/>
          </w:tcPr>
          <w:p>
            <w:pPr>
              <w:spacing w:after="0"/>
              <w:rPr>
                <w:sz w:val="17"/>
                <w:szCs w:val="17"/>
                <w:color w:val="auto"/>
              </w:rPr>
            </w:pPr>
          </w:p>
        </w:tc>
        <w:tc>
          <w:tcPr>
            <w:tcW w:w="12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28,307</w:t>
            </w:r>
          </w:p>
        </w:tc>
        <w:tc>
          <w:tcPr>
            <w:tcW w:w="0" w:type="dxa"/>
            <w:vAlign w:val="bottom"/>
          </w:tcPr>
          <w:p>
            <w:pPr>
              <w:spacing w:after="0"/>
              <w:rPr>
                <w:sz w:val="1"/>
                <w:szCs w:val="1"/>
                <w:color w:val="auto"/>
              </w:rPr>
            </w:pPr>
          </w:p>
        </w:tc>
      </w:tr>
      <w:tr>
        <w:trPr>
          <w:trHeight w:val="203"/>
        </w:trPr>
        <w:tc>
          <w:tcPr>
            <w:tcW w:w="1120" w:type="dxa"/>
            <w:vAlign w:val="bottom"/>
          </w:tcPr>
          <w:p>
            <w:pPr>
              <w:spacing w:after="0" w:line="203" w:lineRule="exact"/>
              <w:rPr>
                <w:sz w:val="20"/>
                <w:szCs w:val="20"/>
                <w:color w:val="auto"/>
              </w:rPr>
            </w:pPr>
            <w:r>
              <w:rPr>
                <w:rFonts w:ascii="Courier New" w:cs="Courier New" w:eastAsia="Courier New" w:hAnsi="Courier New"/>
                <w:sz w:val="18"/>
                <w:szCs w:val="18"/>
                <w:color w:val="auto"/>
              </w:rPr>
              <w:t>Legg Mason</w:t>
            </w:r>
          </w:p>
        </w:tc>
        <w:tc>
          <w:tcPr>
            <w:tcW w:w="110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Wood</w:t>
            </w:r>
          </w:p>
        </w:tc>
        <w:tc>
          <w:tcPr>
            <w:tcW w:w="740" w:type="dxa"/>
            <w:vAlign w:val="bottom"/>
            <w:vMerge w:val="restart"/>
          </w:tcPr>
          <w:p>
            <w:pPr>
              <w:jc w:val="right"/>
              <w:ind w:right="132"/>
              <w:spacing w:after="0"/>
              <w:rPr>
                <w:sz w:val="20"/>
                <w:szCs w:val="20"/>
                <w:color w:val="auto"/>
              </w:rPr>
            </w:pPr>
            <w:r>
              <w:rPr>
                <w:rFonts w:ascii="Courier New" w:cs="Courier New" w:eastAsia="Courier New" w:hAnsi="Courier New"/>
                <w:sz w:val="18"/>
                <w:szCs w:val="18"/>
                <w:color w:val="auto"/>
                <w:w w:val="92"/>
              </w:rPr>
              <w:t>BD,IA</w:t>
            </w:r>
          </w:p>
        </w:tc>
        <w:tc>
          <w:tcPr>
            <w:tcW w:w="1200" w:type="dxa"/>
            <w:vAlign w:val="bottom"/>
            <w:vMerge w:val="restart"/>
          </w:tcPr>
          <w:p>
            <w:pPr>
              <w:jc w:val="right"/>
              <w:ind w:right="52"/>
              <w:spacing w:after="0"/>
              <w:rPr>
                <w:sz w:val="20"/>
                <w:szCs w:val="20"/>
                <w:color w:val="auto"/>
              </w:rPr>
            </w:pPr>
            <w:r>
              <w:rPr>
                <w:rFonts w:ascii="Courier New" w:cs="Courier New" w:eastAsia="Courier New" w:hAnsi="Courier New"/>
                <w:sz w:val="18"/>
                <w:szCs w:val="18"/>
                <w:color w:val="auto"/>
              </w:rPr>
              <w:t>562,953</w:t>
            </w:r>
          </w:p>
        </w:tc>
        <w:tc>
          <w:tcPr>
            <w:tcW w:w="860" w:type="dxa"/>
            <w:vAlign w:val="bottom"/>
          </w:tcPr>
          <w:p>
            <w:pPr>
              <w:spacing w:after="0"/>
              <w:rPr>
                <w:sz w:val="17"/>
                <w:szCs w:val="17"/>
                <w:color w:val="auto"/>
              </w:rPr>
            </w:pPr>
          </w:p>
        </w:tc>
        <w:tc>
          <w:tcPr>
            <w:tcW w:w="1420" w:type="dxa"/>
            <w:vAlign w:val="bottom"/>
            <w:vMerge w:val="restart"/>
          </w:tcPr>
          <w:p>
            <w:pPr>
              <w:jc w:val="right"/>
              <w:ind w:right="32"/>
              <w:spacing w:after="0"/>
              <w:rPr>
                <w:sz w:val="20"/>
                <w:szCs w:val="20"/>
                <w:color w:val="auto"/>
              </w:rPr>
            </w:pPr>
            <w:r>
              <w:rPr>
                <w:rFonts w:ascii="Courier New" w:cs="Courier New" w:eastAsia="Courier New" w:hAnsi="Courier New"/>
                <w:sz w:val="18"/>
                <w:szCs w:val="18"/>
                <w:color w:val="auto"/>
              </w:rPr>
              <w:t>562,953</w:t>
            </w:r>
          </w:p>
        </w:tc>
        <w:tc>
          <w:tcPr>
            <w:tcW w:w="620" w:type="dxa"/>
            <w:vAlign w:val="bottom"/>
          </w:tcPr>
          <w:p>
            <w:pPr>
              <w:spacing w:after="0"/>
              <w:rPr>
                <w:sz w:val="17"/>
                <w:szCs w:val="17"/>
                <w:color w:val="auto"/>
              </w:rPr>
            </w:pPr>
          </w:p>
        </w:tc>
        <w:tc>
          <w:tcPr>
            <w:tcW w:w="1280" w:type="dxa"/>
            <w:vAlign w:val="bottom"/>
            <w:vMerge w:val="restart"/>
          </w:tcPr>
          <w:p>
            <w:pPr>
              <w:jc w:val="right"/>
              <w:spacing w:after="0"/>
              <w:rPr>
                <w:sz w:val="20"/>
                <w:szCs w:val="20"/>
                <w:color w:val="auto"/>
              </w:rPr>
            </w:pPr>
            <w:r>
              <w:rPr>
                <w:rFonts w:ascii="Courier New" w:cs="Courier New" w:eastAsia="Courier New" w:hAnsi="Courier New"/>
                <w:sz w:val="18"/>
                <w:szCs w:val="18"/>
                <w:color w:val="auto"/>
              </w:rPr>
              <w:t>562,953</w:t>
            </w:r>
          </w:p>
        </w:tc>
        <w:tc>
          <w:tcPr>
            <w:tcW w:w="0" w:type="dxa"/>
            <w:vAlign w:val="bottom"/>
          </w:tcPr>
          <w:p>
            <w:pPr>
              <w:spacing w:after="0"/>
              <w:rPr>
                <w:sz w:val="1"/>
                <w:szCs w:val="1"/>
                <w:color w:val="auto"/>
              </w:rPr>
            </w:pPr>
          </w:p>
        </w:tc>
      </w:tr>
      <w:tr>
        <w:trPr>
          <w:trHeight w:val="296"/>
        </w:trPr>
        <w:tc>
          <w:tcPr>
            <w:tcW w:w="2220" w:type="dxa"/>
            <w:vAlign w:val="bottom"/>
            <w:gridSpan w:val="2"/>
          </w:tcPr>
          <w:p>
            <w:pPr>
              <w:ind w:left="220"/>
              <w:spacing w:after="0"/>
              <w:rPr>
                <w:sz w:val="20"/>
                <w:szCs w:val="20"/>
                <w:color w:val="auto"/>
              </w:rPr>
            </w:pPr>
            <w:r>
              <w:rPr>
                <w:rFonts w:ascii="Courier New" w:cs="Courier New" w:eastAsia="Courier New" w:hAnsi="Courier New"/>
                <w:sz w:val="18"/>
                <w:szCs w:val="18"/>
                <w:color w:val="auto"/>
              </w:rPr>
              <w:t>Walker, Inc.</w:t>
            </w:r>
          </w:p>
        </w:tc>
        <w:tc>
          <w:tcPr>
            <w:tcW w:w="740" w:type="dxa"/>
            <w:vAlign w:val="bottom"/>
            <w:vMerge w:val="continue"/>
          </w:tcPr>
          <w:p>
            <w:pPr>
              <w:spacing w:after="0"/>
              <w:rPr>
                <w:sz w:val="24"/>
                <w:szCs w:val="24"/>
                <w:color w:val="auto"/>
              </w:rPr>
            </w:pPr>
          </w:p>
        </w:tc>
        <w:tc>
          <w:tcPr>
            <w:tcW w:w="1200" w:type="dxa"/>
            <w:vAlign w:val="bottom"/>
            <w:vMerge w:val="continue"/>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vMerge w:val="continue"/>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r>
        <w:trPr>
          <w:trHeight w:val="810"/>
        </w:trPr>
        <w:tc>
          <w:tcPr>
            <w:tcW w:w="2220" w:type="dxa"/>
            <w:vAlign w:val="bottom"/>
            <w:gridSpan w:val="2"/>
          </w:tcPr>
          <w:p>
            <w:pPr>
              <w:spacing w:after="0"/>
              <w:rPr>
                <w:sz w:val="20"/>
                <w:szCs w:val="20"/>
                <w:color w:val="auto"/>
              </w:rPr>
            </w:pPr>
            <w:r>
              <w:rPr>
                <w:rFonts w:ascii="Courier New" w:cs="Courier New" w:eastAsia="Courier New" w:hAnsi="Courier New"/>
                <w:sz w:val="18"/>
                <w:szCs w:val="18"/>
                <w:color w:val="auto"/>
              </w:rPr>
              <w:t>Shares Outstanding</w:t>
            </w:r>
          </w:p>
        </w:tc>
        <w:tc>
          <w:tcPr>
            <w:tcW w:w="1940" w:type="dxa"/>
            <w:vAlign w:val="bottom"/>
            <w:gridSpan w:val="2"/>
          </w:tcPr>
          <w:p>
            <w:pPr>
              <w:ind w:left="100"/>
              <w:spacing w:after="0"/>
              <w:rPr>
                <w:sz w:val="20"/>
                <w:szCs w:val="20"/>
                <w:color w:val="auto"/>
              </w:rPr>
            </w:pPr>
            <w:r>
              <w:rPr>
                <w:rFonts w:ascii="Courier New" w:cs="Courier New" w:eastAsia="Courier New" w:hAnsi="Courier New"/>
                <w:sz w:val="18"/>
                <w:szCs w:val="18"/>
                <w:color w:val="auto"/>
              </w:rPr>
              <w:t>621,595,000</w:t>
            </w: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05"/>
        </w:trPr>
        <w:tc>
          <w:tcPr>
            <w:tcW w:w="1120" w:type="dxa"/>
            <w:vAlign w:val="bottom"/>
          </w:tcPr>
          <w:p>
            <w:pPr>
              <w:spacing w:after="0"/>
              <w:rPr>
                <w:sz w:val="20"/>
                <w:szCs w:val="20"/>
                <w:color w:val="auto"/>
              </w:rPr>
            </w:pPr>
            <w:r>
              <w:rPr>
                <w:rFonts w:ascii="Courier New" w:cs="Courier New" w:eastAsia="Courier New" w:hAnsi="Courier New"/>
                <w:sz w:val="18"/>
                <w:szCs w:val="18"/>
                <w:color w:val="auto"/>
              </w:rPr>
              <w:t>% Owned</w:t>
            </w:r>
          </w:p>
        </w:tc>
        <w:tc>
          <w:tcPr>
            <w:tcW w:w="1100" w:type="dxa"/>
            <w:vAlign w:val="bottom"/>
          </w:tcPr>
          <w:p>
            <w:pPr>
              <w:spacing w:after="0"/>
              <w:rPr>
                <w:sz w:val="24"/>
                <w:szCs w:val="24"/>
                <w:color w:val="auto"/>
              </w:rPr>
            </w:pPr>
          </w:p>
        </w:tc>
        <w:tc>
          <w:tcPr>
            <w:tcW w:w="740" w:type="dxa"/>
            <w:vAlign w:val="bottom"/>
          </w:tcPr>
          <w:p>
            <w:pPr>
              <w:ind w:left="100"/>
              <w:spacing w:after="0"/>
              <w:rPr>
                <w:sz w:val="20"/>
                <w:szCs w:val="20"/>
                <w:color w:val="auto"/>
              </w:rPr>
            </w:pPr>
            <w:r>
              <w:rPr>
                <w:rFonts w:ascii="Courier New" w:cs="Courier New" w:eastAsia="Courier New" w:hAnsi="Courier New"/>
                <w:sz w:val="18"/>
                <w:szCs w:val="18"/>
                <w:color w:val="auto"/>
              </w:rPr>
              <w:t>7.53%</w:t>
            </w:r>
          </w:p>
        </w:tc>
        <w:tc>
          <w:tcPr>
            <w:tcW w:w="1200" w:type="dxa"/>
            <w:vAlign w:val="bottom"/>
          </w:tcPr>
          <w:p>
            <w:pPr>
              <w:spacing w:after="0"/>
              <w:rPr>
                <w:sz w:val="24"/>
                <w:szCs w:val="24"/>
                <w:color w:val="auto"/>
              </w:rPr>
            </w:pPr>
          </w:p>
        </w:tc>
        <w:tc>
          <w:tcPr>
            <w:tcW w:w="8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sectPr>
      <w:pgSz w:w="11900" w:h="16838" w:orient="portrait"/>
      <w:cols w:equalWidth="0" w:num="1">
        <w:col w:w="10219"/>
      </w:cols>
      <w:pgMar w:left="240" w:top="11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238E1F29"/>
    <w:multiLevelType w:val="hybridMultilevel"/>
    <w:lvl w:ilvl="0">
      <w:lvlJc w:val="left"/>
      <w:lvlText w:val="%1)"/>
      <w:numFmt w:val="decimal"/>
      <w:start w:val="1"/>
    </w:lvl>
  </w:abstractNum>
  <w:abstractNum w:abstractNumId="1">
    <w:nsid w:val="46E87CCD"/>
    <w:multiLevelType w:val="hybridMultilevel"/>
    <w:lvl w:ilvl="0">
      <w:lvlJc w:val="left"/>
      <w:lvlText w:val="%1)"/>
      <w:numFmt w:val="decimal"/>
      <w:start w:val="2"/>
    </w:lvl>
    <w:lvl w:ilvl="1">
      <w:lvlJc w:val="left"/>
      <w:lvlText w:val="%2)"/>
      <w:numFmt w:val="lowerLetter"/>
      <w:start w:val="1"/>
    </w:lvl>
  </w:abstractNum>
  <w:abstractNum w:abstractNumId="2">
    <w:nsid w:val="3D1B58BA"/>
    <w:multiLevelType w:val="hybridMultilevel"/>
    <w:lvl w:ilvl="0">
      <w:lvlJc w:val="left"/>
      <w:lvlText w:val="%1)"/>
      <w:numFmt w:val="decimal"/>
      <w:start w:val="9"/>
    </w:lvl>
  </w:abstractNum>
  <w:abstractNum w:abstractNumId="3">
    <w:nsid w:val="507ED7AB"/>
    <w:multiLevelType w:val="hybridMultilevel"/>
    <w:lvl w:ilvl="0">
      <w:lvlJc w:val="left"/>
      <w:lvlText w:val="%1)"/>
      <w:numFmt w:val="decimal"/>
      <w:start w:val="12"/>
    </w:lvl>
  </w:abstractNum>
  <w:abstractNum w:abstractNumId="4">
    <w:nsid w:val="2EB141F2"/>
    <w:multiLevelType w:val="hybridMultilevel"/>
    <w:lvl w:ilvl="0">
      <w:lvlJc w:val="left"/>
      <w:lvlText w:val="(%1)"/>
      <w:numFmt w:val="lowerLetter"/>
      <w:start w:val="1"/>
    </w:lvl>
  </w:abstractNum>
  <w:abstractNum w:abstractNumId="5">
    <w:nsid w:val="41B71EFB"/>
    <w:multiLevelType w:val="hybridMultilevel"/>
    <w:lvl w:ilvl="0">
      <w:lvlJc w:val="left"/>
      <w:lvlText w:val="(%1)"/>
      <w:numFmt w:val="lowerLetter"/>
      <w:start w:val="6"/>
    </w:lvl>
  </w:abstractNum>
  <w:abstractNum w:abstractNumId="6">
    <w:nsid w:val="79E2A9E3"/>
    <w:multiLevelType w:val="hybridMultilevel"/>
    <w:lvl w:ilvl="0">
      <w:lvlJc w:val="left"/>
      <w:lvlText w:val="(%1)"/>
      <w:numFmt w:val="lowerLetter"/>
      <w:start w:val="1"/>
    </w:lvl>
  </w:abstractNum>
  <w:abstractNum w:abstractNumId="7">
    <w:nsid w:val="7545E146"/>
    <w:multiLevelType w:val="hybridMultilevel"/>
    <w:lvl w:ilvl="0">
      <w:lvlJc w:val="left"/>
      <w:lvlText w:val="(%1)"/>
      <w:numFmt w:val="lowerLetter"/>
      <w:start w:val="3"/>
    </w:lvl>
    <w:lvl w:ilvl="1">
      <w:lvlJc w:val="left"/>
      <w:lvlText w:val="(%2)"/>
      <w:numFmt w:val="lowerRoman"/>
      <w:start w:val="2"/>
    </w:lvl>
    <w:lvl w:ilvl="2">
      <w:lvlJc w:val="left"/>
      <w:lvlText w:val="(%3)"/>
      <w:numFmt w:val="lowerRoman"/>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2019-12-19T21:51:54Z</dcterms:created>
  <dcterms:modified xsi:type="dcterms:W3CDTF">2019-12-19T21:51:54Z</dcterms:modified>
</cp:coreProperties>
</file>