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November 5, 2020 relating to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Preliminary Prospectus Supplement dated November 5, 2020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to Prospectus dated April 25, 2019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333-231027</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940" w:type="dxa"/>
            <w:vAlign w:val="bottom"/>
            <w:gridSpan w:val="2"/>
          </w:tcPr>
          <w:p>
            <w:pPr>
              <w:jc w:val="center"/>
              <w:ind w:right="3210"/>
              <w:spacing w:after="0"/>
              <w:rPr>
                <w:sz w:val="20"/>
                <w:szCs w:val="20"/>
                <w:color w:val="auto"/>
              </w:rPr>
            </w:pPr>
            <w:r>
              <w:rPr>
                <w:rFonts w:ascii="Times New Roman" w:cs="Times New Roman" w:eastAsia="Times New Roman" w:hAnsi="Times New Roman"/>
                <w:sz w:val="18"/>
                <w:szCs w:val="18"/>
                <w:b w:val="1"/>
                <w:bCs w:val="1"/>
                <w:color w:val="auto"/>
                <w:w w:val="98"/>
              </w:rPr>
              <w:t>Pricing Term Sheet</w:t>
            </w:r>
          </w:p>
        </w:tc>
      </w:tr>
      <w:tr>
        <w:trPr>
          <w:trHeight w:val="410"/>
        </w:trPr>
        <w:tc>
          <w:tcPr>
            <w:tcW w:w="3300" w:type="dxa"/>
            <w:vAlign w:val="bottom"/>
          </w:tcPr>
          <w:p>
            <w:pPr>
              <w:spacing w:after="0"/>
              <w:rPr>
                <w:sz w:val="24"/>
                <w:szCs w:val="24"/>
                <w:color w:val="auto"/>
              </w:rPr>
            </w:pPr>
          </w:p>
        </w:tc>
        <w:tc>
          <w:tcPr>
            <w:tcW w:w="7940" w:type="dxa"/>
            <w:vAlign w:val="bottom"/>
            <w:gridSpan w:val="2"/>
          </w:tcPr>
          <w:p>
            <w:pPr>
              <w:jc w:val="center"/>
              <w:ind w:right="3210"/>
              <w:spacing w:after="0"/>
              <w:rPr>
                <w:sz w:val="20"/>
                <w:szCs w:val="20"/>
                <w:color w:val="auto"/>
              </w:rPr>
            </w:pPr>
            <w:r>
              <w:rPr>
                <w:rFonts w:ascii="Times New Roman" w:cs="Times New Roman" w:eastAsia="Times New Roman" w:hAnsi="Times New Roman"/>
                <w:sz w:val="18"/>
                <w:szCs w:val="18"/>
                <w:b w:val="1"/>
                <w:bCs w:val="1"/>
                <w:color w:val="auto"/>
                <w:w w:val="99"/>
              </w:rPr>
              <w:t>$500,000,000 0.750% Senior Notes due 2025</w:t>
            </w:r>
          </w:p>
        </w:tc>
      </w:tr>
      <w:tr>
        <w:trPr>
          <w:trHeight w:val="216"/>
        </w:trPr>
        <w:tc>
          <w:tcPr>
            <w:tcW w:w="3300" w:type="dxa"/>
            <w:vAlign w:val="bottom"/>
          </w:tcPr>
          <w:p>
            <w:pPr>
              <w:spacing w:after="0"/>
              <w:rPr>
                <w:sz w:val="18"/>
                <w:szCs w:val="18"/>
                <w:color w:val="auto"/>
              </w:rPr>
            </w:pPr>
          </w:p>
        </w:tc>
        <w:tc>
          <w:tcPr>
            <w:tcW w:w="7940" w:type="dxa"/>
            <w:vAlign w:val="bottom"/>
            <w:gridSpan w:val="2"/>
          </w:tcPr>
          <w:p>
            <w:pPr>
              <w:jc w:val="center"/>
              <w:ind w:right="3210"/>
              <w:spacing w:after="0"/>
              <w:rPr>
                <w:sz w:val="20"/>
                <w:szCs w:val="20"/>
                <w:color w:val="auto"/>
              </w:rPr>
            </w:pPr>
            <w:r>
              <w:rPr>
                <w:rFonts w:ascii="Times New Roman" w:cs="Times New Roman" w:eastAsia="Times New Roman" w:hAnsi="Times New Roman"/>
                <w:sz w:val="18"/>
                <w:szCs w:val="18"/>
                <w:b w:val="1"/>
                <w:bCs w:val="1"/>
                <w:color w:val="auto"/>
                <w:w w:val="99"/>
              </w:rPr>
              <w:t>$500,000,000 1.150% Senior Notes due 2028</w:t>
            </w:r>
          </w:p>
        </w:tc>
      </w:tr>
      <w:tr>
        <w:trPr>
          <w:trHeight w:val="216"/>
        </w:trPr>
        <w:tc>
          <w:tcPr>
            <w:tcW w:w="3300" w:type="dxa"/>
            <w:vAlign w:val="bottom"/>
          </w:tcPr>
          <w:p>
            <w:pPr>
              <w:spacing w:after="0"/>
              <w:rPr>
                <w:sz w:val="18"/>
                <w:szCs w:val="18"/>
                <w:color w:val="auto"/>
              </w:rPr>
            </w:pPr>
          </w:p>
        </w:tc>
        <w:tc>
          <w:tcPr>
            <w:tcW w:w="7940" w:type="dxa"/>
            <w:vAlign w:val="bottom"/>
            <w:gridSpan w:val="2"/>
          </w:tcPr>
          <w:p>
            <w:pPr>
              <w:jc w:val="center"/>
              <w:ind w:right="3190"/>
              <w:spacing w:after="0"/>
              <w:rPr>
                <w:sz w:val="20"/>
                <w:szCs w:val="20"/>
                <w:color w:val="auto"/>
              </w:rPr>
            </w:pPr>
            <w:r>
              <w:rPr>
                <w:rFonts w:ascii="Times New Roman" w:cs="Times New Roman" w:eastAsia="Times New Roman" w:hAnsi="Times New Roman"/>
                <w:sz w:val="18"/>
                <w:szCs w:val="18"/>
                <w:b w:val="1"/>
                <w:bCs w:val="1"/>
                <w:color w:val="auto"/>
                <w:w w:val="99"/>
              </w:rPr>
              <w:t>$1,000,000,000 1.500% Senior Notes due 2031</w:t>
            </w:r>
          </w:p>
        </w:tc>
      </w:tr>
      <w:tr>
        <w:trPr>
          <w:trHeight w:val="238"/>
        </w:trPr>
        <w:tc>
          <w:tcPr>
            <w:tcW w:w="3300" w:type="dxa"/>
            <w:vAlign w:val="bottom"/>
          </w:tcPr>
          <w:p>
            <w:pPr>
              <w:spacing w:after="0"/>
              <w:rPr>
                <w:sz w:val="20"/>
                <w:szCs w:val="20"/>
                <w:color w:val="auto"/>
              </w:rPr>
            </w:pPr>
          </w:p>
        </w:tc>
        <w:tc>
          <w:tcPr>
            <w:tcW w:w="7940" w:type="dxa"/>
            <w:vAlign w:val="bottom"/>
            <w:gridSpan w:val="2"/>
          </w:tcPr>
          <w:p>
            <w:pPr>
              <w:jc w:val="center"/>
              <w:ind w:right="3210"/>
              <w:spacing w:after="0"/>
              <w:rPr>
                <w:sz w:val="20"/>
                <w:szCs w:val="20"/>
                <w:color w:val="auto"/>
              </w:rPr>
            </w:pPr>
            <w:r>
              <w:rPr>
                <w:rFonts w:ascii="Times New Roman" w:cs="Times New Roman" w:eastAsia="Times New Roman" w:hAnsi="Times New Roman"/>
                <w:sz w:val="18"/>
                <w:szCs w:val="18"/>
                <w:b w:val="1"/>
                <w:bCs w:val="1"/>
                <w:color w:val="auto"/>
                <w:w w:val="99"/>
              </w:rPr>
              <w:t>$500,000,000 2.500% Senior Notes due 2050</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79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Guarantor:</w:t>
            </w:r>
          </w:p>
        </w:tc>
        <w:tc>
          <w:tcPr>
            <w:tcW w:w="79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Waste Management Holdings, Inc.</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79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Moody’s: Baa1</w:t>
            </w:r>
          </w:p>
        </w:tc>
      </w:tr>
      <w:tr>
        <w:trPr>
          <w:trHeight w:val="216"/>
        </w:trPr>
        <w:tc>
          <w:tcPr>
            <w:tcW w:w="3300" w:type="dxa"/>
            <w:vAlign w:val="bottom"/>
          </w:tcPr>
          <w:p>
            <w:pPr>
              <w:spacing w:after="0"/>
              <w:rPr>
                <w:sz w:val="18"/>
                <w:szCs w:val="18"/>
                <w:color w:val="auto"/>
              </w:rPr>
            </w:pPr>
          </w:p>
        </w:tc>
        <w:tc>
          <w:tcPr>
            <w:tcW w:w="79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S&amp;P: A-</w:t>
            </w:r>
          </w:p>
        </w:tc>
      </w:tr>
      <w:tr>
        <w:trPr>
          <w:trHeight w:val="234"/>
        </w:trPr>
        <w:tc>
          <w:tcPr>
            <w:tcW w:w="3300" w:type="dxa"/>
            <w:vAlign w:val="bottom"/>
          </w:tcPr>
          <w:p>
            <w:pPr>
              <w:spacing w:after="0"/>
              <w:rPr>
                <w:sz w:val="20"/>
                <w:szCs w:val="20"/>
                <w:color w:val="auto"/>
              </w:rPr>
            </w:pPr>
          </w:p>
        </w:tc>
        <w:tc>
          <w:tcPr>
            <w:tcW w:w="79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Fitch: BBB+</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79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November 5, 2020</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79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T+7; November 17, 2020</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79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2025 Notes: $500,000,000</w:t>
            </w:r>
          </w:p>
        </w:tc>
      </w:tr>
      <w:tr>
        <w:trPr>
          <w:trHeight w:val="216"/>
        </w:trPr>
        <w:tc>
          <w:tcPr>
            <w:tcW w:w="3300" w:type="dxa"/>
            <w:vAlign w:val="bottom"/>
          </w:tcPr>
          <w:p>
            <w:pPr>
              <w:spacing w:after="0"/>
              <w:rPr>
                <w:sz w:val="18"/>
                <w:szCs w:val="18"/>
                <w:color w:val="auto"/>
              </w:rPr>
            </w:pPr>
          </w:p>
        </w:tc>
        <w:tc>
          <w:tcPr>
            <w:tcW w:w="270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9"/>
              </w:rPr>
              <w:t>2028</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$500,000,000</w:t>
            </w:r>
          </w:p>
        </w:tc>
      </w:tr>
      <w:tr>
        <w:trPr>
          <w:trHeight w:val="216"/>
        </w:trPr>
        <w:tc>
          <w:tcPr>
            <w:tcW w:w="3300" w:type="dxa"/>
            <w:vAlign w:val="bottom"/>
          </w:tcPr>
          <w:p>
            <w:pPr>
              <w:spacing w:after="0"/>
              <w:rPr>
                <w:sz w:val="18"/>
                <w:szCs w:val="18"/>
                <w:color w:val="auto"/>
              </w:rPr>
            </w:pPr>
          </w:p>
        </w:tc>
        <w:tc>
          <w:tcPr>
            <w:tcW w:w="270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9"/>
              </w:rPr>
              <w:t>2031</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$1,000,000,000</w:t>
            </w:r>
          </w:p>
        </w:tc>
      </w:tr>
      <w:tr>
        <w:trPr>
          <w:trHeight w:val="234"/>
        </w:trPr>
        <w:tc>
          <w:tcPr>
            <w:tcW w:w="3300" w:type="dxa"/>
            <w:vAlign w:val="bottom"/>
          </w:tcPr>
          <w:p>
            <w:pPr>
              <w:spacing w:after="0"/>
              <w:rPr>
                <w:sz w:val="20"/>
                <w:szCs w:val="20"/>
                <w:color w:val="auto"/>
              </w:rPr>
            </w:pPr>
          </w:p>
        </w:tc>
        <w:tc>
          <w:tcPr>
            <w:tcW w:w="270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9"/>
              </w:rPr>
              <w:t>2050</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$500,000,000</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79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2025 Notes: November 15, 2025</w:t>
            </w:r>
          </w:p>
        </w:tc>
      </w:tr>
      <w:tr>
        <w:trPr>
          <w:trHeight w:val="216"/>
        </w:trPr>
        <w:tc>
          <w:tcPr>
            <w:tcW w:w="3300" w:type="dxa"/>
            <w:vAlign w:val="bottom"/>
          </w:tcPr>
          <w:p>
            <w:pPr>
              <w:spacing w:after="0"/>
              <w:rPr>
                <w:sz w:val="18"/>
                <w:szCs w:val="18"/>
                <w:color w:val="auto"/>
              </w:rPr>
            </w:pPr>
          </w:p>
        </w:tc>
        <w:tc>
          <w:tcPr>
            <w:tcW w:w="270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9"/>
              </w:rPr>
              <w:t>2028</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March 15, 2028</w:t>
            </w:r>
          </w:p>
        </w:tc>
      </w:tr>
      <w:tr>
        <w:trPr>
          <w:trHeight w:val="216"/>
        </w:trPr>
        <w:tc>
          <w:tcPr>
            <w:tcW w:w="3300" w:type="dxa"/>
            <w:vAlign w:val="bottom"/>
          </w:tcPr>
          <w:p>
            <w:pPr>
              <w:spacing w:after="0"/>
              <w:rPr>
                <w:sz w:val="18"/>
                <w:szCs w:val="18"/>
                <w:color w:val="auto"/>
              </w:rPr>
            </w:pPr>
          </w:p>
        </w:tc>
        <w:tc>
          <w:tcPr>
            <w:tcW w:w="270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9"/>
              </w:rPr>
              <w:t>2031</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March 15, 2031</w:t>
            </w:r>
          </w:p>
        </w:tc>
      </w:tr>
      <w:tr>
        <w:trPr>
          <w:trHeight w:val="234"/>
        </w:trPr>
        <w:tc>
          <w:tcPr>
            <w:tcW w:w="3300" w:type="dxa"/>
            <w:vAlign w:val="bottom"/>
          </w:tcPr>
          <w:p>
            <w:pPr>
              <w:spacing w:after="0"/>
              <w:rPr>
                <w:sz w:val="20"/>
                <w:szCs w:val="20"/>
                <w:color w:val="auto"/>
              </w:rPr>
            </w:pPr>
          </w:p>
        </w:tc>
        <w:tc>
          <w:tcPr>
            <w:tcW w:w="270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9"/>
              </w:rPr>
              <w:t>2050</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November 15, 2050</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79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2025 Notes: 0.750%</w:t>
            </w:r>
          </w:p>
        </w:tc>
      </w:tr>
      <w:tr>
        <w:trPr>
          <w:trHeight w:val="216"/>
        </w:trPr>
        <w:tc>
          <w:tcPr>
            <w:tcW w:w="3300" w:type="dxa"/>
            <w:vAlign w:val="bottom"/>
          </w:tcPr>
          <w:p>
            <w:pPr>
              <w:spacing w:after="0"/>
              <w:rPr>
                <w:sz w:val="18"/>
                <w:szCs w:val="18"/>
                <w:color w:val="auto"/>
              </w:rPr>
            </w:pPr>
          </w:p>
        </w:tc>
        <w:tc>
          <w:tcPr>
            <w:tcW w:w="270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9"/>
              </w:rPr>
              <w:t>2028</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1.150%</w:t>
            </w:r>
          </w:p>
        </w:tc>
      </w:tr>
      <w:tr>
        <w:trPr>
          <w:trHeight w:val="216"/>
        </w:trPr>
        <w:tc>
          <w:tcPr>
            <w:tcW w:w="3300" w:type="dxa"/>
            <w:vAlign w:val="bottom"/>
          </w:tcPr>
          <w:p>
            <w:pPr>
              <w:spacing w:after="0"/>
              <w:rPr>
                <w:sz w:val="18"/>
                <w:szCs w:val="18"/>
                <w:color w:val="auto"/>
              </w:rPr>
            </w:pPr>
          </w:p>
        </w:tc>
        <w:tc>
          <w:tcPr>
            <w:tcW w:w="270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9"/>
              </w:rPr>
              <w:t>2031</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1.500%</w:t>
            </w:r>
          </w:p>
        </w:tc>
      </w:tr>
      <w:tr>
        <w:trPr>
          <w:trHeight w:val="234"/>
        </w:trPr>
        <w:tc>
          <w:tcPr>
            <w:tcW w:w="3300" w:type="dxa"/>
            <w:vAlign w:val="bottom"/>
          </w:tcPr>
          <w:p>
            <w:pPr>
              <w:spacing w:after="0"/>
              <w:rPr>
                <w:sz w:val="20"/>
                <w:szCs w:val="20"/>
                <w:color w:val="auto"/>
              </w:rPr>
            </w:pPr>
          </w:p>
        </w:tc>
        <w:tc>
          <w:tcPr>
            <w:tcW w:w="270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9"/>
              </w:rPr>
              <w:t>2050</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2.500%</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79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2025 Notes: 0.250% due October 31, 2025</w:t>
            </w:r>
          </w:p>
        </w:tc>
      </w:tr>
      <w:tr>
        <w:trPr>
          <w:trHeight w:val="216"/>
        </w:trPr>
        <w:tc>
          <w:tcPr>
            <w:tcW w:w="3300" w:type="dxa"/>
            <w:vAlign w:val="bottom"/>
          </w:tcPr>
          <w:p>
            <w:pPr>
              <w:spacing w:after="0"/>
              <w:rPr>
                <w:sz w:val="18"/>
                <w:szCs w:val="18"/>
                <w:color w:val="auto"/>
              </w:rPr>
            </w:pPr>
          </w:p>
        </w:tc>
        <w:tc>
          <w:tcPr>
            <w:tcW w:w="270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9"/>
              </w:rPr>
              <w:t>2028</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0.500% due October 31, 2027</w:t>
            </w:r>
          </w:p>
        </w:tc>
      </w:tr>
      <w:tr>
        <w:trPr>
          <w:trHeight w:val="216"/>
        </w:trPr>
        <w:tc>
          <w:tcPr>
            <w:tcW w:w="3300" w:type="dxa"/>
            <w:vAlign w:val="bottom"/>
          </w:tcPr>
          <w:p>
            <w:pPr>
              <w:spacing w:after="0"/>
              <w:rPr>
                <w:sz w:val="18"/>
                <w:szCs w:val="18"/>
                <w:color w:val="auto"/>
              </w:rPr>
            </w:pPr>
          </w:p>
        </w:tc>
        <w:tc>
          <w:tcPr>
            <w:tcW w:w="270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9"/>
              </w:rPr>
              <w:t>2031</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0.625% due August 15, 2030</w:t>
            </w:r>
          </w:p>
        </w:tc>
      </w:tr>
      <w:tr>
        <w:trPr>
          <w:trHeight w:val="234"/>
        </w:trPr>
        <w:tc>
          <w:tcPr>
            <w:tcW w:w="3300" w:type="dxa"/>
            <w:vAlign w:val="bottom"/>
          </w:tcPr>
          <w:p>
            <w:pPr>
              <w:spacing w:after="0"/>
              <w:rPr>
                <w:sz w:val="20"/>
                <w:szCs w:val="20"/>
                <w:color w:val="auto"/>
              </w:rPr>
            </w:pPr>
          </w:p>
        </w:tc>
        <w:tc>
          <w:tcPr>
            <w:tcW w:w="270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9"/>
              </w:rPr>
              <w:t>2050</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1.250% due May 15, 2050</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79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2025 Notes: 99-18+ / 0.335%</w:t>
            </w:r>
          </w:p>
        </w:tc>
      </w:tr>
      <w:tr>
        <w:trPr>
          <w:trHeight w:val="216"/>
        </w:trPr>
        <w:tc>
          <w:tcPr>
            <w:tcW w:w="3300" w:type="dxa"/>
            <w:vAlign w:val="bottom"/>
          </w:tcPr>
          <w:p>
            <w:pPr>
              <w:spacing w:after="0"/>
              <w:rPr>
                <w:sz w:val="18"/>
                <w:szCs w:val="18"/>
                <w:color w:val="auto"/>
              </w:rPr>
            </w:pPr>
          </w:p>
        </w:tc>
        <w:tc>
          <w:tcPr>
            <w:tcW w:w="270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9"/>
              </w:rPr>
              <w:t>2028</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99-19 / 0.559%</w:t>
            </w:r>
          </w:p>
        </w:tc>
      </w:tr>
      <w:tr>
        <w:trPr>
          <w:trHeight w:val="216"/>
        </w:trPr>
        <w:tc>
          <w:tcPr>
            <w:tcW w:w="3300" w:type="dxa"/>
            <w:vAlign w:val="bottom"/>
          </w:tcPr>
          <w:p>
            <w:pPr>
              <w:spacing w:after="0"/>
              <w:rPr>
                <w:sz w:val="18"/>
                <w:szCs w:val="18"/>
                <w:color w:val="auto"/>
              </w:rPr>
            </w:pPr>
          </w:p>
        </w:tc>
        <w:tc>
          <w:tcPr>
            <w:tcW w:w="270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9"/>
              </w:rPr>
              <w:t>2031</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98-19 / 0.775%</w:t>
            </w:r>
          </w:p>
        </w:tc>
      </w:tr>
      <w:tr>
        <w:trPr>
          <w:trHeight w:val="234"/>
        </w:trPr>
        <w:tc>
          <w:tcPr>
            <w:tcW w:w="3300" w:type="dxa"/>
            <w:vAlign w:val="bottom"/>
          </w:tcPr>
          <w:p>
            <w:pPr>
              <w:spacing w:after="0"/>
              <w:rPr>
                <w:sz w:val="20"/>
                <w:szCs w:val="20"/>
                <w:color w:val="auto"/>
              </w:rPr>
            </w:pPr>
          </w:p>
        </w:tc>
        <w:tc>
          <w:tcPr>
            <w:tcW w:w="270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9"/>
              </w:rPr>
              <w:t>2050</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92-31 / 1.548%</w:t>
            </w:r>
          </w:p>
        </w:tc>
      </w:tr>
      <w:tr>
        <w:trPr>
          <w:trHeight w:val="675"/>
        </w:trPr>
        <w:tc>
          <w:tcPr>
            <w:tcW w:w="33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72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2025 Notes: +45 basis points</w:t>
            </w:r>
          </w:p>
        </w:tc>
      </w:tr>
      <w:tr>
        <w:trPr>
          <w:trHeight w:val="216"/>
        </w:trPr>
        <w:tc>
          <w:tcPr>
            <w:tcW w:w="3980" w:type="dxa"/>
            <w:vAlign w:val="bottom"/>
          </w:tcPr>
          <w:p>
            <w:pPr>
              <w:spacing w:after="0"/>
              <w:rPr>
                <w:sz w:val="18"/>
                <w:szCs w:val="18"/>
                <w:color w:val="auto"/>
              </w:rPr>
            </w:pPr>
          </w:p>
        </w:tc>
        <w:tc>
          <w:tcPr>
            <w:tcW w:w="202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9"/>
              </w:rPr>
              <w:t>2028</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+60 basis points</w:t>
            </w:r>
          </w:p>
        </w:tc>
      </w:tr>
      <w:tr>
        <w:trPr>
          <w:trHeight w:val="216"/>
        </w:trPr>
        <w:tc>
          <w:tcPr>
            <w:tcW w:w="3980" w:type="dxa"/>
            <w:vAlign w:val="bottom"/>
          </w:tcPr>
          <w:p>
            <w:pPr>
              <w:spacing w:after="0"/>
              <w:rPr>
                <w:sz w:val="18"/>
                <w:szCs w:val="18"/>
                <w:color w:val="auto"/>
              </w:rPr>
            </w:pPr>
          </w:p>
        </w:tc>
        <w:tc>
          <w:tcPr>
            <w:tcW w:w="202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9"/>
              </w:rPr>
              <w:t>2031</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+75 basis points</w:t>
            </w:r>
          </w:p>
        </w:tc>
      </w:tr>
      <w:tr>
        <w:trPr>
          <w:trHeight w:val="234"/>
        </w:trPr>
        <w:tc>
          <w:tcPr>
            <w:tcW w:w="3980" w:type="dxa"/>
            <w:vAlign w:val="bottom"/>
          </w:tcPr>
          <w:p>
            <w:pPr>
              <w:spacing w:after="0"/>
              <w:rPr>
                <w:sz w:val="20"/>
                <w:szCs w:val="20"/>
                <w:color w:val="auto"/>
              </w:rPr>
            </w:pPr>
          </w:p>
        </w:tc>
        <w:tc>
          <w:tcPr>
            <w:tcW w:w="202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9"/>
              </w:rPr>
              <w:t>2050</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+100 basis points</w:t>
            </w:r>
          </w:p>
        </w:tc>
      </w:tr>
      <w:tr>
        <w:trPr>
          <w:trHeight w:val="41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72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2025 Notes: 0.785%</w:t>
            </w:r>
          </w:p>
        </w:tc>
      </w:tr>
      <w:tr>
        <w:trPr>
          <w:trHeight w:val="216"/>
        </w:trPr>
        <w:tc>
          <w:tcPr>
            <w:tcW w:w="3980" w:type="dxa"/>
            <w:vAlign w:val="bottom"/>
          </w:tcPr>
          <w:p>
            <w:pPr>
              <w:spacing w:after="0"/>
              <w:rPr>
                <w:sz w:val="18"/>
                <w:szCs w:val="18"/>
                <w:color w:val="auto"/>
              </w:rPr>
            </w:pPr>
          </w:p>
        </w:tc>
        <w:tc>
          <w:tcPr>
            <w:tcW w:w="202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9"/>
              </w:rPr>
              <w:t>2028</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1.159%</w:t>
            </w:r>
          </w:p>
        </w:tc>
      </w:tr>
      <w:tr>
        <w:trPr>
          <w:trHeight w:val="216"/>
        </w:trPr>
        <w:tc>
          <w:tcPr>
            <w:tcW w:w="3980" w:type="dxa"/>
            <w:vAlign w:val="bottom"/>
          </w:tcPr>
          <w:p>
            <w:pPr>
              <w:spacing w:after="0"/>
              <w:rPr>
                <w:sz w:val="18"/>
                <w:szCs w:val="18"/>
                <w:color w:val="auto"/>
              </w:rPr>
            </w:pPr>
          </w:p>
        </w:tc>
        <w:tc>
          <w:tcPr>
            <w:tcW w:w="202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9"/>
              </w:rPr>
              <w:t>2031</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1.525%</w:t>
            </w:r>
          </w:p>
        </w:tc>
      </w:tr>
      <w:tr>
        <w:trPr>
          <w:trHeight w:val="234"/>
        </w:trPr>
        <w:tc>
          <w:tcPr>
            <w:tcW w:w="3980" w:type="dxa"/>
            <w:vAlign w:val="bottom"/>
          </w:tcPr>
          <w:p>
            <w:pPr>
              <w:spacing w:after="0"/>
              <w:rPr>
                <w:sz w:val="20"/>
                <w:szCs w:val="20"/>
                <w:color w:val="auto"/>
              </w:rPr>
            </w:pPr>
          </w:p>
        </w:tc>
        <w:tc>
          <w:tcPr>
            <w:tcW w:w="202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9"/>
              </w:rPr>
              <w:t>2050</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2.548%</w:t>
            </w:r>
          </w:p>
        </w:tc>
      </w:tr>
      <w:tr>
        <w:trPr>
          <w:trHeight w:val="41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72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2025 Notes: 99.829% of face amount</w:t>
            </w:r>
          </w:p>
        </w:tc>
      </w:tr>
      <w:tr>
        <w:trPr>
          <w:trHeight w:val="216"/>
        </w:trPr>
        <w:tc>
          <w:tcPr>
            <w:tcW w:w="3980" w:type="dxa"/>
            <w:vAlign w:val="bottom"/>
          </w:tcPr>
          <w:p>
            <w:pPr>
              <w:spacing w:after="0"/>
              <w:rPr>
                <w:sz w:val="18"/>
                <w:szCs w:val="18"/>
                <w:color w:val="auto"/>
              </w:rPr>
            </w:pPr>
          </w:p>
        </w:tc>
        <w:tc>
          <w:tcPr>
            <w:tcW w:w="202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9"/>
              </w:rPr>
              <w:t>2028</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99.937% of face amount</w:t>
            </w:r>
          </w:p>
        </w:tc>
      </w:tr>
      <w:tr>
        <w:trPr>
          <w:trHeight w:val="216"/>
        </w:trPr>
        <w:tc>
          <w:tcPr>
            <w:tcW w:w="3980" w:type="dxa"/>
            <w:vAlign w:val="bottom"/>
          </w:tcPr>
          <w:p>
            <w:pPr>
              <w:spacing w:after="0"/>
              <w:rPr>
                <w:sz w:val="18"/>
                <w:szCs w:val="18"/>
                <w:color w:val="auto"/>
              </w:rPr>
            </w:pPr>
          </w:p>
        </w:tc>
        <w:tc>
          <w:tcPr>
            <w:tcW w:w="202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9"/>
              </w:rPr>
              <w:t>2031</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99.763% of face amount</w:t>
            </w:r>
          </w:p>
        </w:tc>
      </w:tr>
      <w:tr>
        <w:trPr>
          <w:trHeight w:val="234"/>
        </w:trPr>
        <w:tc>
          <w:tcPr>
            <w:tcW w:w="3980" w:type="dxa"/>
            <w:vAlign w:val="bottom"/>
          </w:tcPr>
          <w:p>
            <w:pPr>
              <w:spacing w:after="0"/>
              <w:rPr>
                <w:sz w:val="20"/>
                <w:szCs w:val="20"/>
                <w:color w:val="auto"/>
              </w:rPr>
            </w:pPr>
          </w:p>
        </w:tc>
        <w:tc>
          <w:tcPr>
            <w:tcW w:w="202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9"/>
              </w:rPr>
              <w:t>2050</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98.998% of face amount</w:t>
            </w:r>
          </w:p>
        </w:tc>
      </w:tr>
      <w:tr>
        <w:trPr>
          <w:trHeight w:val="432"/>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(before expenses):</w:t>
            </w:r>
          </w:p>
        </w:tc>
        <w:tc>
          <w:tcPr>
            <w:tcW w:w="72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$2.479 billion</w:t>
            </w:r>
          </w:p>
        </w:tc>
      </w:tr>
      <w:tr>
        <w:trPr>
          <w:trHeight w:val="41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72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2025 Notes: Semi-annually on May 15 and November 15, commencing on</w:t>
            </w:r>
          </w:p>
        </w:tc>
      </w:tr>
      <w:tr>
        <w:trPr>
          <w:trHeight w:val="234"/>
        </w:trPr>
        <w:tc>
          <w:tcPr>
            <w:tcW w:w="3980" w:type="dxa"/>
            <w:vAlign w:val="bottom"/>
          </w:tcPr>
          <w:p>
            <w:pPr>
              <w:spacing w:after="0"/>
              <w:rPr>
                <w:sz w:val="20"/>
                <w:szCs w:val="20"/>
                <w:color w:val="auto"/>
              </w:rPr>
            </w:pPr>
          </w:p>
        </w:tc>
        <w:tc>
          <w:tcPr>
            <w:tcW w:w="72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May 15, 2021</w:t>
            </w:r>
          </w:p>
        </w:tc>
      </w:tr>
      <w:tr>
        <w:trPr>
          <w:trHeight w:val="414"/>
        </w:trPr>
        <w:tc>
          <w:tcPr>
            <w:tcW w:w="3980" w:type="dxa"/>
            <w:vAlign w:val="bottom"/>
          </w:tcPr>
          <w:p>
            <w:pPr>
              <w:spacing w:after="0"/>
              <w:rPr>
                <w:sz w:val="24"/>
                <w:szCs w:val="24"/>
                <w:color w:val="auto"/>
              </w:rPr>
            </w:pPr>
          </w:p>
        </w:tc>
        <w:tc>
          <w:tcPr>
            <w:tcW w:w="72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2028 Notes: Semi-annually on March 15 and September 15, commencing on</w:t>
            </w:r>
          </w:p>
        </w:tc>
      </w:tr>
      <w:tr>
        <w:trPr>
          <w:trHeight w:val="234"/>
        </w:trPr>
        <w:tc>
          <w:tcPr>
            <w:tcW w:w="3980" w:type="dxa"/>
            <w:vAlign w:val="bottom"/>
          </w:tcPr>
          <w:p>
            <w:pPr>
              <w:spacing w:after="0"/>
              <w:rPr>
                <w:sz w:val="20"/>
                <w:szCs w:val="20"/>
                <w:color w:val="auto"/>
              </w:rPr>
            </w:pPr>
          </w:p>
        </w:tc>
        <w:tc>
          <w:tcPr>
            <w:tcW w:w="72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March 15, 2021</w:t>
            </w:r>
          </w:p>
        </w:tc>
      </w:tr>
      <w:tr>
        <w:trPr>
          <w:trHeight w:val="414"/>
        </w:trPr>
        <w:tc>
          <w:tcPr>
            <w:tcW w:w="3980" w:type="dxa"/>
            <w:vAlign w:val="bottom"/>
          </w:tcPr>
          <w:p>
            <w:pPr>
              <w:spacing w:after="0"/>
              <w:rPr>
                <w:sz w:val="24"/>
                <w:szCs w:val="24"/>
                <w:color w:val="auto"/>
              </w:rPr>
            </w:pPr>
          </w:p>
        </w:tc>
        <w:tc>
          <w:tcPr>
            <w:tcW w:w="72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2031 Notes: Semi-annually on March 15 and September 15, commencing on</w:t>
            </w:r>
          </w:p>
        </w:tc>
      </w:tr>
      <w:tr>
        <w:trPr>
          <w:trHeight w:val="234"/>
        </w:trPr>
        <w:tc>
          <w:tcPr>
            <w:tcW w:w="3980" w:type="dxa"/>
            <w:vAlign w:val="bottom"/>
          </w:tcPr>
          <w:p>
            <w:pPr>
              <w:spacing w:after="0"/>
              <w:rPr>
                <w:sz w:val="20"/>
                <w:szCs w:val="20"/>
                <w:color w:val="auto"/>
              </w:rPr>
            </w:pPr>
          </w:p>
        </w:tc>
        <w:tc>
          <w:tcPr>
            <w:tcW w:w="72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March 15, 2021</w:t>
            </w:r>
          </w:p>
        </w:tc>
      </w:tr>
      <w:tr>
        <w:trPr>
          <w:trHeight w:val="414"/>
        </w:trPr>
        <w:tc>
          <w:tcPr>
            <w:tcW w:w="3980" w:type="dxa"/>
            <w:vAlign w:val="bottom"/>
          </w:tcPr>
          <w:p>
            <w:pPr>
              <w:spacing w:after="0"/>
              <w:rPr>
                <w:sz w:val="24"/>
                <w:szCs w:val="24"/>
                <w:color w:val="auto"/>
              </w:rPr>
            </w:pPr>
          </w:p>
        </w:tc>
        <w:tc>
          <w:tcPr>
            <w:tcW w:w="202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9"/>
              </w:rPr>
              <w:t>2050</w:t>
            </w:r>
          </w:p>
        </w:tc>
        <w:tc>
          <w:tcPr>
            <w:tcW w:w="5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Notes: Semi-annually on May 15 and November 15, commencing on</w:t>
            </w:r>
          </w:p>
        </w:tc>
      </w:tr>
      <w:tr>
        <w:trPr>
          <w:trHeight w:val="234"/>
        </w:trPr>
        <w:tc>
          <w:tcPr>
            <w:tcW w:w="3980" w:type="dxa"/>
            <w:vAlign w:val="bottom"/>
          </w:tcPr>
          <w:p>
            <w:pPr>
              <w:spacing w:after="0"/>
              <w:rPr>
                <w:sz w:val="20"/>
                <w:szCs w:val="20"/>
                <w:color w:val="auto"/>
              </w:rPr>
            </w:pPr>
          </w:p>
        </w:tc>
        <w:tc>
          <w:tcPr>
            <w:tcW w:w="72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May 15, 2021</w:t>
            </w:r>
          </w:p>
        </w:tc>
      </w:tr>
      <w:tr>
        <w:trPr>
          <w:trHeight w:val="41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72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The 2025 Notes are redeemable at any time prior to October 15, 2025 (one</w:t>
            </w:r>
          </w:p>
        </w:tc>
      </w:tr>
      <w:tr>
        <w:trPr>
          <w:trHeight w:val="234"/>
        </w:trPr>
        <w:tc>
          <w:tcPr>
            <w:tcW w:w="3980" w:type="dxa"/>
            <w:vAlign w:val="bottom"/>
          </w:tcPr>
          <w:p>
            <w:pPr>
              <w:spacing w:after="0"/>
              <w:rPr>
                <w:sz w:val="20"/>
                <w:szCs w:val="20"/>
                <w:color w:val="auto"/>
              </w:rPr>
            </w:pPr>
          </w:p>
        </w:tc>
        <w:tc>
          <w:tcPr>
            <w:tcW w:w="72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month prior to the maturity date), in whole or from time to time in part, at the</w:t>
            </w:r>
          </w:p>
        </w:tc>
      </w:tr>
    </w:tbl>
    <w:p>
      <w:pPr>
        <w:ind w:left="5620"/>
        <w:spacing w:after="0"/>
        <w:rPr>
          <w:sz w:val="20"/>
          <w:szCs w:val="20"/>
          <w:color w:val="auto"/>
        </w:rPr>
      </w:pPr>
      <w:r>
        <w:rPr>
          <w:rFonts w:ascii="Times New Roman" w:cs="Times New Roman" w:eastAsia="Times New Roman" w:hAnsi="Times New Roman"/>
          <w:sz w:val="18"/>
          <w:szCs w:val="18"/>
          <w:color w:val="auto"/>
        </w:rPr>
        <w:t>option of the Company, at a make whole redemption price using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applicable Treasury rate plus 7.5 basis points (as defined and described in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further detail in the Preliminary Prospectus Supplement). The 2025 Notes are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redeemable on or after October 15, 2025 (one month prior to the maturity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in whole or from time to time in part, at the option of the Company, at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2028 Notes are redeemable at any time prior to January 15, 2028 (two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months prior to the maturity date), in whole or from time to time in part, at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option of the Company, at a make whole redemption price using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applicable Treasury rate plus 10 basis points (as defined and described in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further detail in the Preliminary Prospectus Supplement). The 2028 Notes are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redeemable on or after January 15, 2028 (two months prior to the maturity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in whole or from time to time in part, at the option of the Company, at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ind w:left="5620"/>
        <w:spacing w:after="0"/>
        <w:rPr>
          <w:sz w:val="20"/>
          <w:szCs w:val="20"/>
          <w:color w:val="auto"/>
        </w:rPr>
      </w:pPr>
      <w:r>
        <w:rPr>
          <w:rFonts w:ascii="Times New Roman" w:cs="Times New Roman" w:eastAsia="Times New Roman" w:hAnsi="Times New Roman"/>
          <w:sz w:val="18"/>
          <w:szCs w:val="18"/>
          <w:color w:val="auto"/>
        </w:rPr>
        <w:t>The 2031 Notes are redeemable at any time prior to December 15, 2030</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(three months prior to the maturity date), in whole or from time to time in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 at the option of the Company, at a make whole redemption price using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applicable Treasury rate plus 12.5 basis points (as defined and described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 further detail in the Preliminary Prospectus Supplement). The 2031 Notes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are redeemable on or after December 15, 2030 (three months prior to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maturity date), in whole or from time to time in part, at the option of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Company, at par.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2050 Notes are redeemable at any time prior to May 15, 2050 (six</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months prior to the maturity date), in whole or from time to time in part, at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option of the Company, at a make whole redemption price using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applicable Treasury rate plus 15 basis points (as defined and described in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further detail in the Preliminary Prospectus Supplement). The 2050 Notes are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redeemable on or after May 15, 2050 (six months prior to the maturity date),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 whole or from time to time in part, at the option of the Company, at par.</w:t>
      </w:r>
    </w:p>
    <w:p>
      <w:pPr>
        <w:sectPr>
          <w:pgSz w:w="11900" w:h="16838" w:orient="portrait"/>
          <w:cols w:equalWidth="0" w:num="1">
            <w:col w:w="11240"/>
          </w:cols>
          <w:pgMar w:left="320" w:top="931"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CUSIP/ISIN: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Notes: 94106L BL2 / US94106LBL27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 Notes: 94106L BN8 / US94106LBN82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2031 Notes: 94106L BP3 / US94106LBP31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2050 Notes: 94106L BM0 / US94106LBM00</w:t>
      </w:r>
    </w:p>
    <w:p>
      <w:pPr>
        <w:spacing w:after="0" w:line="200" w:lineRule="exact"/>
        <w:rPr>
          <w:sz w:val="20"/>
          <w:szCs w:val="20"/>
          <w:color w:val="auto"/>
        </w:rPr>
      </w:pPr>
    </w:p>
    <w:p>
      <w:pPr>
        <w:sectPr>
          <w:pgSz w:w="11900" w:h="16838" w:orient="portrait"/>
          <w:cols w:equalWidth="0" w:num="2">
            <w:col w:w="4900" w:space="720"/>
            <w:col w:w="5620"/>
          </w:cols>
          <w:pgMar w:left="320" w:top="931"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00" w:lineRule="exact"/>
        <w:rPr>
          <w:sz w:val="20"/>
          <w:szCs w:val="20"/>
          <w:color w:val="auto"/>
        </w:rPr>
      </w:pPr>
    </w:p>
    <w:p>
      <w:pPr>
        <w:sectPr>
          <w:pgSz w:w="11900" w:h="16838" w:orient="portrait"/>
          <w:cols w:equalWidth="0" w:num="2">
            <w:col w:w="4900" w:space="720"/>
            <w:col w:w="5620"/>
          </w:cols>
          <w:pgMar w:left="320" w:top="931"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MFR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Mischler Financial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Siebert Williams Shank &amp; Co.,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Brothers &amp; Co.</w:t>
      </w:r>
    </w:p>
    <w:p>
      <w:pPr>
        <w:spacing w:after="0" w:line="200" w:lineRule="exact"/>
        <w:rPr>
          <w:sz w:val="20"/>
          <w:szCs w:val="20"/>
          <w:color w:val="auto"/>
        </w:rPr>
      </w:pPr>
    </w:p>
    <w:p>
      <w:pPr>
        <w:sectPr>
          <w:pgSz w:w="11900" w:h="16838" w:orient="portrait"/>
          <w:cols w:equalWidth="0" w:num="2">
            <w:col w:w="4900" w:space="720"/>
            <w:col w:w="5620"/>
          </w:cols>
          <w:pgMar w:left="320" w:top="931" w:right="339" w:bottom="1440" w:gutter="0" w:footer="0" w:header="0"/>
          <w:type w:val="continuous"/>
        </w:sectPr>
      </w:pPr>
    </w:p>
    <w:p>
      <w:pPr>
        <w:spacing w:after="0" w:line="34" w:lineRule="exact"/>
        <w:rPr>
          <w:sz w:val="20"/>
          <w:szCs w:val="20"/>
          <w:color w:val="auto"/>
        </w:rPr>
      </w:pPr>
    </w:p>
    <w:p>
      <w:pPr>
        <w:ind w:left="5560" w:right="1320" w:hanging="5552"/>
        <w:spacing w:after="0" w:line="783" w:lineRule="auto"/>
        <w:tabs>
          <w:tab w:leader="none" w:pos="14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subject to review or withdrawal at any time.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 w:name="page4"/>
    <w:bookmarkEnd w:id="3"/>
    <w:p>
      <w:pPr>
        <w:ind w:firstLine="8"/>
        <w:spacing w:after="0" w:line="256" w:lineRule="auto"/>
        <w:tabs>
          <w:tab w:leader="none" w:pos="2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expects delivery of the notes will be made against payment therefor on or about November 17, 2020, which is the seventh business day following the date of pricing of the notes (such settlement being referred to as “T+7”). Under Rule 15c6-1 of the Securities Exchange Act of 1934, as amended, trades in the secondary market generally are required to settle in two business days unless the parties to any such trade expressly agree otherwise. Accordingly, purchasers who wish to trade the notes on the date of pricing of the notes or the next succeeding four business days will be required, by virtue of the fact that the notes initially will settle in T+7, to specify an alternate settlement cycle at the time of any such trade to prevent failed settlement and should consult their own advisers.</w:t>
      </w:r>
    </w:p>
    <w:p>
      <w:pPr>
        <w:spacing w:after="0" w:line="18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MiFID II professionals/ECPs-only/No PRIIPs KID – in the European Economic Area (EEA), the manufacturer target market (MiFID II product governance) is eligible counterparties and professional clients only (all distribution channels). No PRIIPs key information document (KID) has been prepared as not available to retail in the EEA.</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information in this term sheet supplements the information provided in the preliminary prospectus supplement dated November 5, 2020. To the extent information in this term sheet conflicts with information in the preliminary prospectus supplement, this term sheet controls.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Barclays Capital Inc. toll-free at (888) 603-5847; (2) Mizuho Securities USA LLC toll-free at (866) 271-7403; (3) BofA Securities, Inc. toll-free at (800) 294-1322; (4) J.P. Morgan Securities LLC collect at (212) 834-4533; or (5) Scotia Capital (USA) Inc. toll-free at (800)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372-3930.</w:t>
      </w:r>
    </w:p>
    <w:p>
      <w:pPr>
        <w:spacing w:after="0" w:line="20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2020-11-06T05:32:32Z</dcterms:created>
  <dcterms:modified xsi:type="dcterms:W3CDTF">2020-11-06T05:32:32Z</dcterms:modified>
</cp:coreProperties>
</file>