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523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2323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Aardsma David A</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STREET</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05/27/2010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79"/>
        <w:spacing w:after="0"/>
        <w:rPr>
          <w:sz w:val="20"/>
          <w:szCs w:val="20"/>
          <w:color w:val="auto"/>
        </w:rPr>
      </w:pPr>
      <w:r>
        <w:rPr>
          <w:rFonts w:ascii="Arial" w:cs="Arial" w:eastAsia="Arial" w:hAnsi="Arial"/>
          <w:sz w:val="17"/>
          <w:szCs w:val="17"/>
          <w:color w:val="0000FF"/>
        </w:rPr>
        <w:t>Sr. VP, Sales and Marketing</w:t>
      </w:r>
    </w:p>
    <w:p>
      <w:pPr>
        <w:spacing w:after="0" w:line="398" w:lineRule="exact"/>
        <w:rPr>
          <w:sz w:val="24"/>
          <w:szCs w:val="24"/>
          <w:color w:val="auto"/>
        </w:rPr>
      </w:pPr>
    </w:p>
    <w:p>
      <w:pPr>
        <w:sectPr>
          <w:pgSz w:w="11900" w:h="16838" w:orient="portrait"/>
          <w:cols w:equalWidth="0" w:num="3">
            <w:col w:w="3340" w:space="720"/>
            <w:col w:w="3340" w:space="641"/>
            <w:col w:w="3479"/>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TX</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77002</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20" w:type="dxa"/>
            <w:vAlign w:val="bottom"/>
            <w:gridSpan w:val="3"/>
          </w:tcPr>
          <w:p>
            <w:pPr>
              <w:jc w:val="center"/>
              <w:ind w:left="690"/>
              <w:spacing w:after="0"/>
              <w:rPr>
                <w:sz w:val="20"/>
                <w:szCs w:val="20"/>
                <w:color w:val="auto"/>
              </w:rPr>
            </w:pPr>
            <w:r>
              <w:rPr>
                <w:rFonts w:ascii="Arial" w:cs="Arial" w:eastAsia="Arial" w:hAnsi="Arial"/>
                <w:sz w:val="17"/>
                <w:szCs w:val="17"/>
                <w:color w:val="0000FF"/>
                <w:w w:val="93"/>
              </w:rPr>
              <w:t>05/27/2010</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18"/>
              <w:spacing w:after="0"/>
              <w:rPr>
                <w:sz w:val="20"/>
                <w:szCs w:val="20"/>
                <w:color w:val="auto"/>
              </w:rPr>
            </w:pPr>
            <w:r>
              <w:rPr>
                <w:rFonts w:ascii="Arial" w:cs="Arial" w:eastAsia="Arial" w:hAnsi="Arial"/>
                <w:sz w:val="13"/>
                <w:szCs w:val="13"/>
                <w:color w:val="0000FF"/>
              </w:rPr>
              <w:t>M</w:t>
            </w:r>
          </w:p>
        </w:tc>
        <w:tc>
          <w:tcPr>
            <w:tcW w:w="720" w:type="dxa"/>
            <w:vAlign w:val="bottom"/>
          </w:tcPr>
          <w:p>
            <w:pPr>
              <w:ind w:left="260"/>
              <w:spacing w:after="0"/>
              <w:rPr>
                <w:sz w:val="20"/>
                <w:szCs w:val="20"/>
                <w:color w:val="auto"/>
              </w:rPr>
            </w:pPr>
            <w:r>
              <w:rPr>
                <w:rFonts w:ascii="Arial" w:cs="Arial" w:eastAsia="Arial" w:hAnsi="Arial"/>
                <w:sz w:val="17"/>
                <w:szCs w:val="17"/>
                <w:color w:val="0000FF"/>
              </w:rPr>
              <w:t>9,000</w:t>
            </w:r>
          </w:p>
        </w:tc>
        <w:tc>
          <w:tcPr>
            <w:tcW w:w="680" w:type="dxa"/>
            <w:vAlign w:val="bottom"/>
          </w:tcPr>
          <w:p>
            <w:pPr>
              <w:ind w:left="34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19.25</w:t>
            </w:r>
          </w:p>
        </w:tc>
        <w:tc>
          <w:tcPr>
            <w:tcW w:w="1320" w:type="dxa"/>
            <w:vAlign w:val="bottom"/>
            <w:gridSpan w:val="3"/>
          </w:tcPr>
          <w:p>
            <w:pPr>
              <w:ind w:left="240"/>
              <w:spacing w:after="0"/>
              <w:rPr>
                <w:sz w:val="20"/>
                <w:szCs w:val="20"/>
                <w:color w:val="auto"/>
              </w:rPr>
            </w:pPr>
            <w:r>
              <w:rPr>
                <w:rFonts w:ascii="Arial" w:cs="Arial" w:eastAsia="Arial" w:hAnsi="Arial"/>
                <w:sz w:val="17"/>
                <w:szCs w:val="17"/>
                <w:color w:val="0000FF"/>
              </w:rPr>
              <w:t>47,668.2672</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20" w:type="dxa"/>
            <w:vAlign w:val="bottom"/>
            <w:gridSpan w:val="3"/>
          </w:tcPr>
          <w:p>
            <w:pPr>
              <w:jc w:val="center"/>
              <w:ind w:left="690"/>
              <w:spacing w:after="0"/>
              <w:rPr>
                <w:sz w:val="20"/>
                <w:szCs w:val="20"/>
                <w:color w:val="auto"/>
              </w:rPr>
            </w:pPr>
            <w:r>
              <w:rPr>
                <w:rFonts w:ascii="Arial" w:cs="Arial" w:eastAsia="Arial" w:hAnsi="Arial"/>
                <w:sz w:val="17"/>
                <w:szCs w:val="17"/>
                <w:color w:val="0000FF"/>
                <w:w w:val="93"/>
              </w:rPr>
              <w:t>05/27/2010</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18"/>
              <w:spacing w:after="0"/>
              <w:rPr>
                <w:sz w:val="20"/>
                <w:szCs w:val="20"/>
                <w:color w:val="auto"/>
              </w:rPr>
            </w:pPr>
            <w:r>
              <w:rPr>
                <w:rFonts w:ascii="Arial" w:cs="Arial" w:eastAsia="Arial" w:hAnsi="Arial"/>
                <w:sz w:val="13"/>
                <w:szCs w:val="13"/>
                <w:color w:val="0000FF"/>
                <w:w w:val="91"/>
              </w:rPr>
              <w:t>S</w:t>
            </w:r>
          </w:p>
        </w:tc>
        <w:tc>
          <w:tcPr>
            <w:tcW w:w="720" w:type="dxa"/>
            <w:vAlign w:val="bottom"/>
          </w:tcPr>
          <w:p>
            <w:pPr>
              <w:ind w:left="260"/>
              <w:spacing w:after="0"/>
              <w:rPr>
                <w:sz w:val="20"/>
                <w:szCs w:val="20"/>
                <w:color w:val="auto"/>
              </w:rPr>
            </w:pPr>
            <w:r>
              <w:rPr>
                <w:rFonts w:ascii="Arial" w:cs="Arial" w:eastAsia="Arial" w:hAnsi="Arial"/>
                <w:sz w:val="17"/>
                <w:szCs w:val="17"/>
                <w:color w:val="0000FF"/>
              </w:rPr>
              <w:t>6,706</w:t>
            </w:r>
          </w:p>
        </w:tc>
        <w:tc>
          <w:tcPr>
            <w:tcW w:w="680" w:type="dxa"/>
            <w:vAlign w:val="bottom"/>
          </w:tcPr>
          <w:p>
            <w:pPr>
              <w:ind w:left="340"/>
              <w:spacing w:after="0"/>
              <w:rPr>
                <w:sz w:val="20"/>
                <w:szCs w:val="20"/>
                <w:color w:val="auto"/>
              </w:rPr>
            </w:pPr>
            <w:r>
              <w:rPr>
                <w:rFonts w:ascii="Arial" w:cs="Arial" w:eastAsia="Arial" w:hAnsi="Arial"/>
                <w:sz w:val="17"/>
                <w:szCs w:val="17"/>
                <w:color w:val="0000FF"/>
              </w:rPr>
              <w:t>D</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32.4</w:t>
            </w:r>
          </w:p>
        </w:tc>
        <w:tc>
          <w:tcPr>
            <w:tcW w:w="40" w:type="dxa"/>
            <w:vAlign w:val="bottom"/>
          </w:tcPr>
          <w:p>
            <w:pPr>
              <w:spacing w:after="0"/>
              <w:rPr>
                <w:sz w:val="22"/>
                <w:szCs w:val="22"/>
                <w:color w:val="auto"/>
              </w:rPr>
            </w:pPr>
          </w:p>
        </w:tc>
        <w:tc>
          <w:tcPr>
            <w:tcW w:w="1320" w:type="dxa"/>
            <w:vAlign w:val="bottom"/>
            <w:gridSpan w:val="3"/>
          </w:tcPr>
          <w:p>
            <w:pPr>
              <w:ind w:left="240"/>
              <w:spacing w:after="0"/>
              <w:rPr>
                <w:sz w:val="20"/>
                <w:szCs w:val="20"/>
                <w:color w:val="auto"/>
              </w:rPr>
            </w:pPr>
            <w:r>
              <w:rPr>
                <w:rFonts w:ascii="Arial" w:cs="Arial" w:eastAsia="Arial" w:hAnsi="Arial"/>
                <w:sz w:val="17"/>
                <w:szCs w:val="17"/>
                <w:color w:val="0000FF"/>
              </w:rPr>
              <w:t>40,962.2672</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9"/>
              <w:spacing w:after="0"/>
              <w:rPr>
                <w:sz w:val="20"/>
                <w:szCs w:val="20"/>
                <w:color w:val="auto"/>
              </w:rPr>
            </w:pPr>
            <w:r>
              <w:rPr>
                <w:rFonts w:ascii="Arial" w:cs="Arial" w:eastAsia="Arial" w:hAnsi="Arial"/>
                <w:sz w:val="17"/>
                <w:szCs w:val="17"/>
                <w:color w:val="0000FF"/>
                <w:w w:val="88"/>
              </w:rPr>
              <w:t>5.7539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0000FF"/>
                <w:w w:val="91"/>
              </w:rPr>
              <w:t>2,217.3604</w:t>
            </w:r>
            <w:r>
              <w:rPr>
                <w:rFonts w:ascii="Arial" w:cs="Arial" w:eastAsia="Arial" w:hAnsi="Arial"/>
                <w:sz w:val="22"/>
                <w:szCs w:val="22"/>
                <w:color w:val="008000"/>
                <w:w w:val="91"/>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jc w:val="center"/>
              <w:ind w:righ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13"/>
                <w:szCs w:val="13"/>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color w:val="0000FF"/>
              </w:rPr>
              <w:t>05/27/2010</w:t>
            </w: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434"/>
              <w:spacing w:after="0"/>
              <w:rPr>
                <w:sz w:val="20"/>
                <w:szCs w:val="20"/>
                <w:color w:val="auto"/>
              </w:rPr>
            </w:pPr>
            <w:r>
              <w:rPr>
                <w:rFonts w:ascii="Arial" w:cs="Arial" w:eastAsia="Arial" w:hAnsi="Arial"/>
                <w:sz w:val="13"/>
                <w:szCs w:val="13"/>
                <w:color w:val="0000FF"/>
              </w:rPr>
              <w:t>A</w:t>
            </w:r>
          </w:p>
        </w:tc>
        <w:tc>
          <w:tcPr>
            <w:tcW w:w="600" w:type="dxa"/>
            <w:vAlign w:val="bottom"/>
          </w:tcPr>
          <w:p>
            <w:pPr>
              <w:ind w:left="120"/>
              <w:spacing w:after="0"/>
              <w:rPr>
                <w:sz w:val="20"/>
                <w:szCs w:val="20"/>
                <w:color w:val="auto"/>
              </w:rPr>
            </w:pPr>
            <w:r>
              <w:rPr>
                <w:rFonts w:ascii="Arial" w:cs="Arial" w:eastAsia="Arial" w:hAnsi="Arial"/>
                <w:sz w:val="13"/>
                <w:szCs w:val="13"/>
                <w:color w:val="0000FF"/>
              </w:rPr>
              <w:t>5.7539</w:t>
            </w:r>
          </w:p>
        </w:tc>
        <w:tc>
          <w:tcPr>
            <w:tcW w:w="440" w:type="dxa"/>
            <w:vAlign w:val="bottom"/>
          </w:tcPr>
          <w:p>
            <w:pPr>
              <w:spacing w:after="0"/>
              <w:rPr>
                <w:sz w:val="13"/>
                <w:szCs w:val="13"/>
                <w:color w:val="auto"/>
              </w:rPr>
            </w:pP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0000FF"/>
                <w:w w:val="98"/>
              </w:rPr>
              <w:t>08/08/1988</w:t>
            </w:r>
          </w:p>
        </w:tc>
        <w:tc>
          <w:tcPr>
            <w:tcW w:w="720" w:type="dxa"/>
            <w:vAlign w:val="bottom"/>
          </w:tcPr>
          <w:p>
            <w:pPr>
              <w:ind w:left="40"/>
              <w:spacing w:after="0"/>
              <w:rPr>
                <w:sz w:val="20"/>
                <w:szCs w:val="20"/>
                <w:color w:val="auto"/>
              </w:rPr>
            </w:pPr>
            <w:r>
              <w:rPr>
                <w:rFonts w:ascii="Arial" w:cs="Arial" w:eastAsia="Arial" w:hAnsi="Arial"/>
                <w:sz w:val="13"/>
                <w:szCs w:val="13"/>
                <w:color w:val="0000FF"/>
              </w:rPr>
              <w:t>08/08/1988</w:t>
            </w:r>
          </w:p>
        </w:tc>
        <w:tc>
          <w:tcPr>
            <w:tcW w:w="6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5"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19.25</w:t>
            </w:r>
          </w:p>
        </w:tc>
        <w:tc>
          <w:tcPr>
            <w:tcW w:w="140" w:type="dxa"/>
            <w:vAlign w:val="bottom"/>
          </w:tcPr>
          <w:p>
            <w:pPr>
              <w:spacing w:after="0"/>
              <w:rPr>
                <w:sz w:val="12"/>
                <w:szCs w:val="12"/>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3"/>
                <w:szCs w:val="13"/>
                <w:color w:val="0000FF"/>
              </w:rPr>
              <w:t>05/27/2010</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center"/>
              <w:ind w:right="414"/>
              <w:spacing w:after="0"/>
              <w:rPr>
                <w:sz w:val="20"/>
                <w:szCs w:val="20"/>
                <w:color w:val="auto"/>
              </w:rPr>
            </w:pPr>
            <w:r>
              <w:rPr>
                <w:rFonts w:ascii="Arial" w:cs="Arial" w:eastAsia="Arial" w:hAnsi="Arial"/>
                <w:sz w:val="13"/>
                <w:szCs w:val="13"/>
                <w:color w:val="0000FF"/>
              </w:rPr>
              <w:t>M</w:t>
            </w:r>
          </w:p>
        </w:tc>
        <w:tc>
          <w:tcPr>
            <w:tcW w:w="600" w:type="dxa"/>
            <w:vAlign w:val="bottom"/>
          </w:tcPr>
          <w:p>
            <w:pPr>
              <w:spacing w:after="0"/>
              <w:rPr>
                <w:sz w:val="12"/>
                <w:szCs w:val="12"/>
                <w:color w:val="auto"/>
              </w:rPr>
            </w:pPr>
          </w:p>
        </w:tc>
        <w:tc>
          <w:tcPr>
            <w:tcW w:w="440" w:type="dxa"/>
            <w:vAlign w:val="bottom"/>
            <w:vMerge w:val="restart"/>
          </w:tcPr>
          <w:p>
            <w:pPr>
              <w:ind w:left="20"/>
              <w:spacing w:after="0"/>
              <w:rPr>
                <w:sz w:val="20"/>
                <w:szCs w:val="20"/>
                <w:color w:val="auto"/>
              </w:rPr>
            </w:pPr>
            <w:r>
              <w:rPr>
                <w:rFonts w:ascii="Arial" w:cs="Arial" w:eastAsia="Arial" w:hAnsi="Arial"/>
                <w:sz w:val="13"/>
                <w:szCs w:val="13"/>
                <w:color w:val="0000FF"/>
              </w:rPr>
              <w:t>9,000</w:t>
            </w:r>
          </w:p>
        </w:tc>
        <w:tc>
          <w:tcPr>
            <w:tcW w:w="800" w:type="dxa"/>
            <w:vAlign w:val="bottom"/>
            <w:gridSpan w:val="2"/>
            <w:vMerge w:val="restart"/>
          </w:tcPr>
          <w:p>
            <w:pPr>
              <w:jc w:val="right"/>
              <w:ind w:right="318"/>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0000FF"/>
              </w:rPr>
              <w:t>06/05/2010</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49"/>
              <w:spacing w:after="0"/>
              <w:rPr>
                <w:sz w:val="20"/>
                <w:szCs w:val="20"/>
                <w:color w:val="auto"/>
              </w:rPr>
            </w:pPr>
            <w:r>
              <w:rPr>
                <w:rFonts w:ascii="Arial" w:cs="Arial" w:eastAsia="Arial" w:hAnsi="Arial"/>
                <w:sz w:val="17"/>
                <w:szCs w:val="17"/>
                <w:color w:val="0000FF"/>
                <w:w w:val="98"/>
              </w:rPr>
              <w:t>9,000</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Phantom stock units accrued under the Waste Management, Inc. 409A Deferral Savings Plan, a supplemental retirement savings plan. A phantom stock unit is equivalent to one share of Common Stock.</w:t>
      </w:r>
    </w:p>
    <w:p>
      <w:pPr>
        <w:spacing w:after="0" w:line="60" w:lineRule="exact"/>
        <w:rPr>
          <w:rFonts w:ascii="Arial" w:cs="Arial" w:eastAsia="Arial" w:hAnsi="Arial"/>
          <w:sz w:val="12"/>
          <w:szCs w:val="12"/>
          <w:color w:val="008000"/>
        </w:rPr>
      </w:pPr>
    </w:p>
    <w:p>
      <w:pPr>
        <w:ind w:left="40" w:right="32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Participant's Company stock fund account on any given date may not exactly equal the number of share equivalents represented by a prior balance plus additions due to variables affecting the determination of Company stock fund unit values under the Plan on any such date.</w:t>
      </w:r>
    </w:p>
    <w:p>
      <w:pPr>
        <w:spacing w:after="0" w:line="15" w:lineRule="exact"/>
        <w:rPr>
          <w:rFonts w:ascii="Arial" w:cs="Arial" w:eastAsia="Arial" w:hAnsi="Arial"/>
          <w:sz w:val="13"/>
          <w:szCs w:val="13"/>
          <w:color w:val="008000"/>
        </w:rPr>
      </w:pPr>
    </w:p>
    <w:p>
      <w:pPr>
        <w:ind w:left="40" w:right="2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1993 Stock Incentive Plan. The stock option originally vested in 25% annual increments commencing on the first anniversary of the date of grant. The Compensation committee of the Board of Directors accelerated the vesting of the Company's outstanding options effective December 28, 2005.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06/01/2010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955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spacing w:after="0" w:line="5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15387"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2019-12-18T07:14:36Z</dcterms:created>
  <dcterms:modified xsi:type="dcterms:W3CDTF">2019-12-18T07:14:36Z</dcterms:modified>
</cp:coreProperties>
</file>