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10,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60"/>
          </w:cols>
          <w:pgMar w:left="240" w:top="544" w:right="299" w:bottom="212"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212"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60"/>
          </w:cols>
          <w:pgMar w:left="240" w:top="544" w:right="299" w:bottom="212"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212"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right="1080" w:firstLine="648"/>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right="320" w:firstLine="648"/>
        <w:spacing w:after="0" w:line="264" w:lineRule="auto"/>
        <w:rPr>
          <w:sz w:val="20"/>
          <w:szCs w:val="20"/>
          <w:color w:val="auto"/>
        </w:rPr>
      </w:pPr>
      <w:r>
        <w:rPr>
          <w:rFonts w:ascii="Arial" w:cs="Arial" w:eastAsia="Arial" w:hAnsi="Arial"/>
          <w:sz w:val="18"/>
          <w:szCs w:val="18"/>
          <w:color w:val="auto"/>
        </w:rPr>
        <w:t>On April 10, 2018, Mr. Bradbury H. Anderson notified Waste Management, Inc. (the “Company”) of his decision to resign from his positions as Chairman of the Board and as a director of the Company, effectively immediately. Mr. Anderson resigned due to personal reasons and not due to any disagreement on any matter relating to the Company’s operations, policies or practices.</w:t>
      </w:r>
    </w:p>
    <w:p>
      <w:pPr>
        <w:spacing w:after="0" w:line="181" w:lineRule="exact"/>
        <w:rPr>
          <w:sz w:val="24"/>
          <w:szCs w:val="24"/>
          <w:color w:val="auto"/>
        </w:rPr>
      </w:pPr>
    </w:p>
    <w:p>
      <w:pPr>
        <w:ind w:firstLine="648"/>
        <w:spacing w:after="0" w:line="308" w:lineRule="auto"/>
        <w:rPr>
          <w:sz w:val="20"/>
          <w:szCs w:val="20"/>
          <w:color w:val="auto"/>
        </w:rPr>
      </w:pPr>
      <w:r>
        <w:rPr>
          <w:rFonts w:ascii="Arial" w:cs="Arial" w:eastAsia="Arial" w:hAnsi="Arial"/>
          <w:sz w:val="17"/>
          <w:szCs w:val="17"/>
          <w:color w:val="auto"/>
        </w:rPr>
        <w:t>In accordance with the Company’s By-Laws, Mr. Thomas H. Weidemeyer, Chairman of the Nominating and Governance Committee of the Board of Directors, will perform the duties of the Chairman of the Board on an interim basis until a successor is elected by the members of the Board.</w:t>
      </w:r>
    </w:p>
    <w:p>
      <w:pPr>
        <w:spacing w:after="0" w:line="14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360"/>
          </w:cols>
          <w:pgMar w:left="240" w:top="544" w:right="299" w:bottom="212" w:gutter="0" w:footer="0" w:header="0"/>
          <w:type w:val="continuous"/>
        </w:sectPr>
      </w:pPr>
    </w:p>
    <w:bookmarkStart w:id="1" w:name="page2"/>
    <w:bookmarkEnd w:id="1"/>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2"/>
          </w:tcPr>
          <w:p>
            <w:pPr>
              <w:ind w:left="224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 April 10, 2018</w:t>
            </w:r>
          </w:p>
        </w:tc>
        <w:tc>
          <w:tcPr>
            <w:tcW w:w="7840" w:type="dxa"/>
            <w:vAlign w:val="bottom"/>
            <w:gridSpan w:val="2"/>
          </w:tcPr>
          <w:p>
            <w:pPr>
              <w:ind w:left="2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and Chief Legal Officer</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2019-12-05T18:09:06Z</dcterms:created>
  <dcterms:modified xsi:type="dcterms:W3CDTF">2019-12-05T18:09:06Z</dcterms:modified>
</cp:coreProperties>
</file>