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3"/>
        </w:trPr>
        <w:tc>
          <w:tcPr>
            <w:tcW w:w="1400" w:type="dxa"/>
            <w:vAlign w:val="bottom"/>
            <w:gridSpan w:val="9"/>
          </w:tcPr>
          <w:p>
            <w:pPr>
              <w:spacing w:after="0"/>
              <w:rPr>
                <w:sz w:val="20"/>
                <w:szCs w:val="20"/>
                <w:color w:val="auto"/>
              </w:rPr>
            </w:pPr>
            <w:r>
              <w:rPr>
                <w:rFonts w:ascii="Arial" w:cs="Arial" w:eastAsia="Arial" w:hAnsi="Arial"/>
                <w:sz w:val="21"/>
                <w:szCs w:val="21"/>
                <w:color w:val="auto"/>
              </w:rPr>
              <w:t>SEC Form 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19"/>
          </w:tcPr>
          <w:p>
            <w:pPr>
              <w:ind w:left="2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14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5"/>
            <w:vMerge w:val="restart"/>
          </w:tcPr>
          <w:p>
            <w:pPr>
              <w:ind w:left="120"/>
              <w:spacing w:after="0" w:line="141" w:lineRule="exact"/>
              <w:rPr>
                <w:sz w:val="20"/>
                <w:szCs w:val="20"/>
                <w:color w:val="auto"/>
              </w:rPr>
            </w:pPr>
            <w:r>
              <w:rPr>
                <w:rFonts w:ascii="Arial" w:cs="Arial" w:eastAsia="Arial" w:hAnsi="Arial"/>
                <w:sz w:val="13"/>
                <w:szCs w:val="13"/>
                <w:color w:val="auto"/>
              </w:rPr>
              <w:t>Washington, D.C. 20549</w:t>
            </w: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5"/>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60" w:type="dxa"/>
            <w:vAlign w:val="bottom"/>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gridSpan w:val="8"/>
            <w:vMerge w:val="restart"/>
          </w:tcPr>
          <w:p>
            <w:pPr>
              <w:ind w:left="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80" w:type="dxa"/>
            <w:vAlign w:val="bottom"/>
            <w:gridSpan w:val="5"/>
            <w:vMerge w:val="restart"/>
          </w:tcPr>
          <w:p>
            <w:pPr>
              <w:ind w:left="100"/>
              <w:spacing w:after="0" w:line="102"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19"/>
            <w:vMerge w:val="restart"/>
          </w:tcPr>
          <w:p>
            <w:pPr>
              <w:jc w:val="center"/>
              <w:ind w:right="56"/>
              <w:spacing w:after="0" w:line="223" w:lineRule="exact"/>
              <w:rPr>
                <w:sz w:val="20"/>
                <w:szCs w:val="20"/>
                <w:color w:val="auto"/>
              </w:rPr>
            </w:pPr>
            <w:r>
              <w:rPr>
                <w:rFonts w:ascii="Arial" w:cs="Arial" w:eastAsia="Arial" w:hAnsi="Arial"/>
                <w:sz w:val="21"/>
                <w:szCs w:val="21"/>
                <w:b w:val="1"/>
                <w:bCs w:val="1"/>
                <w:color w:val="auto"/>
              </w:rPr>
              <w:t>ANNUAL STATEMENT OF CHANGES IN BENEFICIAL</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480" w:type="dxa"/>
            <w:vAlign w:val="bottom"/>
            <w:tcBorders>
              <w:top w:val="single" w:sz="8" w:color="808080"/>
              <w:bottom w:val="single" w:sz="8" w:color="2C2C2C"/>
            </w:tcBorders>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6420" w:type="dxa"/>
            <w:vAlign w:val="bottom"/>
            <w:gridSpan w:val="19"/>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5"/>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19"/>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gridSpan w:val="5"/>
            <w:vMerge w:val="continue"/>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5"/>
            <w:vMerge w:val="restart"/>
          </w:tcPr>
          <w:p>
            <w:pPr>
              <w:jc w:val="center"/>
              <w:ind w:right="420"/>
              <w:spacing w:after="0"/>
              <w:rPr>
                <w:sz w:val="20"/>
                <w:szCs w:val="20"/>
                <w:color w:val="auto"/>
              </w:rPr>
            </w:pPr>
            <w:r>
              <w:rPr>
                <w:rFonts w:ascii="Arial" w:cs="Arial" w:eastAsia="Arial" w:hAnsi="Arial"/>
                <w:sz w:val="21"/>
                <w:szCs w:val="21"/>
                <w:b w:val="1"/>
                <w:bCs w:val="1"/>
                <w:color w:val="auto"/>
              </w:rPr>
              <w:t>OWNERSHIP</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5"/>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80" w:type="dxa"/>
            <w:vAlign w:val="bottom"/>
            <w:gridSpan w:val="5"/>
            <w:vMerge w:val="continue"/>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700" w:type="dxa"/>
            <w:vAlign w:val="bottom"/>
            <w:gridSpan w:val="18"/>
            <w:vMerge w:val="restart"/>
          </w:tcPr>
          <w:p>
            <w:pPr>
              <w:jc w:val="center"/>
              <w:ind w:left="52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700" w:type="dxa"/>
            <w:vAlign w:val="bottom"/>
            <w:gridSpan w:val="18"/>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9"/>
            <w:vMerge w:val="restart"/>
          </w:tcPr>
          <w:p>
            <w:pPr>
              <w:spacing w:after="0"/>
              <w:rPr>
                <w:sz w:val="20"/>
                <w:szCs w:val="20"/>
                <w:color w:val="auto"/>
              </w:rPr>
            </w:pPr>
            <w:r>
              <w:rPr>
                <w:rFonts w:ascii="Arial" w:cs="Arial" w:eastAsia="Arial" w:hAnsi="Arial"/>
                <w:sz w:val="17"/>
                <w:szCs w:val="17"/>
                <w:color w:val="0000FF"/>
                <w:highlight w:val="white"/>
              </w:rPr>
              <w:t xml:space="preserve">X  </w:t>
            </w:r>
            <w:r>
              <w:rPr>
                <w:rFonts w:ascii="Arial" w:cs="Arial" w:eastAsia="Arial" w:hAnsi="Arial"/>
                <w:sz w:val="12"/>
                <w:szCs w:val="12"/>
                <w:color w:val="000000"/>
              </w:rPr>
              <w:t>Form 4 Transactions Reported.</w:t>
            </w:r>
          </w:p>
        </w:tc>
        <w:tc>
          <w:tcPr>
            <w:tcW w:w="5700" w:type="dxa"/>
            <w:vAlign w:val="bottom"/>
            <w:gridSpan w:val="18"/>
            <w:vMerge w:val="continue"/>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9"/>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00" w:type="dxa"/>
            <w:vAlign w:val="bottom"/>
            <w:gridSpan w:val="10"/>
          </w:tcPr>
          <w:p>
            <w:pPr>
              <w:jc w:val="center"/>
              <w:ind w:right="140"/>
              <w:spacing w:after="0" w:line="101" w:lineRule="exact"/>
              <w:rPr>
                <w:sz w:val="20"/>
                <w:szCs w:val="20"/>
                <w:color w:val="auto"/>
              </w:rPr>
            </w:pPr>
            <w:r>
              <w:rPr>
                <w:rFonts w:ascii="Arial" w:cs="Arial" w:eastAsia="Arial" w:hAnsi="Arial"/>
                <w:sz w:val="11"/>
                <w:szCs w:val="11"/>
                <w:color w:val="auto"/>
              </w:rPr>
              <w:t>or Section 30(h) of the Investment Company Act of 1940</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140" w:type="dxa"/>
            <w:vAlign w:val="bottom"/>
            <w:tcBorders>
              <w:top w:val="single" w:sz="8" w:color="2C2C2C"/>
              <w:bottom w:val="single" w:sz="8" w:color="2C2C2C"/>
            </w:tcBorders>
            <w:gridSpan w:val="2"/>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gridSpan w:val="11"/>
          </w:tcPr>
          <w:p>
            <w:pPr>
              <w:spacing w:after="0"/>
              <w:rPr>
                <w:sz w:val="6"/>
                <w:szCs w:val="6"/>
                <w:color w:val="auto"/>
              </w:rPr>
            </w:pPr>
          </w:p>
        </w:tc>
        <w:tc>
          <w:tcPr>
            <w:tcW w:w="120" w:type="dxa"/>
            <w:vAlign w:val="bottom"/>
            <w:tcBorders>
              <w:bottom w:val="single" w:sz="8" w:color="808080"/>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9"/>
          </w:tcPr>
          <w:p>
            <w:pPr>
              <w:spacing w:after="0" w:line="21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1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5"/>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Batchelor Steve</w:t>
              </w:r>
            </w:hyperlink>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60" w:type="dxa"/>
            <w:vAlign w:val="bottom"/>
            <w:gridSpan w:val="10"/>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color w:val="0000EE"/>
                </w:rPr>
                <w:t xml:space="preserve">WASTE MANAGEMENT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7"/>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gridSpan w:val="7"/>
            <w:vMerge w:val="continue"/>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40" w:type="dxa"/>
            <w:vAlign w:val="bottom"/>
            <w:tcBorders>
              <w:bottom w:val="single" w:sz="8" w:color="0000EE"/>
            </w:tcBorders>
            <w:gridSpan w:val="5"/>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340" w:type="dxa"/>
            <w:vAlign w:val="bottom"/>
            <w:gridSpan w:val="5"/>
          </w:tcPr>
          <w:p>
            <w:pPr>
              <w:spacing w:after="0"/>
              <w:rPr>
                <w:sz w:val="4"/>
                <w:szCs w:val="4"/>
                <w:color w:val="auto"/>
              </w:rPr>
            </w:pPr>
          </w:p>
        </w:tc>
        <w:tc>
          <w:tcPr>
            <w:tcW w:w="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3"/>
            <w:vMerge w:val="restart"/>
          </w:tcPr>
          <w:p>
            <w:pPr>
              <w:ind w:left="280"/>
              <w:spacing w:after="0"/>
              <w:rPr>
                <w:sz w:val="20"/>
                <w:szCs w:val="20"/>
                <w:color w:val="auto"/>
              </w:rPr>
            </w:pPr>
            <w:r>
              <w:rPr>
                <w:rFonts w:ascii="Arial" w:cs="Arial" w:eastAsia="Arial" w:hAnsi="Arial"/>
                <w:sz w:val="17"/>
                <w:szCs w:val="17"/>
                <w:color w:val="0000FF"/>
                <w:w w:val="87"/>
              </w:rPr>
              <w:t>X</w:t>
            </w:r>
          </w:p>
        </w:tc>
        <w:tc>
          <w:tcPr>
            <w:tcW w:w="1220" w:type="dxa"/>
            <w:vAlign w:val="bottom"/>
            <w:gridSpan w:val="4"/>
          </w:tcPr>
          <w:p>
            <w:pPr>
              <w:ind w:left="220"/>
              <w:spacing w:after="0" w:line="141" w:lineRule="exact"/>
              <w:rPr>
                <w:sz w:val="20"/>
                <w:szCs w:val="20"/>
                <w:color w:val="auto"/>
              </w:rPr>
            </w:pPr>
            <w:r>
              <w:rPr>
                <w:rFonts w:ascii="Arial" w:cs="Arial" w:eastAsia="Arial" w:hAnsi="Arial"/>
                <w:sz w:val="13"/>
                <w:szCs w:val="13"/>
                <w:color w:val="auto"/>
              </w:rPr>
              <w:t>Officer (give title</w:t>
            </w:r>
          </w:p>
        </w:tc>
        <w:tc>
          <w:tcPr>
            <w:tcW w:w="480" w:type="dxa"/>
            <w:vAlign w:val="bottom"/>
          </w:tcPr>
          <w:p>
            <w:pPr>
              <w:spacing w:after="0"/>
              <w:rPr>
                <w:sz w:val="13"/>
                <w:szCs w:val="13"/>
                <w:color w:val="auto"/>
              </w:rPr>
            </w:pPr>
          </w:p>
        </w:tc>
        <w:tc>
          <w:tcPr>
            <w:tcW w:w="1460" w:type="dxa"/>
            <w:vAlign w:val="bottom"/>
            <w:gridSpan w:val="7"/>
          </w:tcPr>
          <w:p>
            <w:pPr>
              <w:ind w:left="180"/>
              <w:spacing w:after="0" w:line="14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20" w:type="dxa"/>
            <w:vAlign w:val="bottom"/>
            <w:tcBorders>
              <w:top w:val="single" w:sz="8" w:color="EEEEEE"/>
            </w:tcBorders>
          </w:tcPr>
          <w:p>
            <w:pPr>
              <w:spacing w:after="0"/>
              <w:rPr>
                <w:sz w:val="9"/>
                <w:szCs w:val="9"/>
                <w:color w:val="auto"/>
              </w:rPr>
            </w:pPr>
          </w:p>
        </w:tc>
        <w:tc>
          <w:tcPr>
            <w:tcW w:w="440" w:type="dxa"/>
            <w:vAlign w:val="bottom"/>
            <w:tcBorders>
              <w:top w:val="single" w:sz="8" w:color="EEEEEE"/>
            </w:tcBorders>
          </w:tcPr>
          <w:p>
            <w:pPr>
              <w:spacing w:after="0"/>
              <w:rPr>
                <w:sz w:val="9"/>
                <w:szCs w:val="9"/>
                <w:color w:val="auto"/>
              </w:rPr>
            </w:pPr>
          </w:p>
        </w:tc>
        <w:tc>
          <w:tcPr>
            <w:tcW w:w="68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100" w:type="dxa"/>
            <w:vAlign w:val="bottom"/>
            <w:tcBorders>
              <w:top w:val="single" w:sz="8" w:color="EEEEEE"/>
            </w:tcBorders>
          </w:tcPr>
          <w:p>
            <w:pPr>
              <w:spacing w:after="0"/>
              <w:rPr>
                <w:sz w:val="9"/>
                <w:szCs w:val="9"/>
                <w:color w:val="auto"/>
              </w:rPr>
            </w:pPr>
          </w:p>
        </w:tc>
        <w:tc>
          <w:tcPr>
            <w:tcW w:w="1180" w:type="dxa"/>
            <w:vAlign w:val="bottom"/>
            <w:tcBorders>
              <w:top w:val="single" w:sz="8" w:color="EEEEEE"/>
            </w:tcBorders>
          </w:tcPr>
          <w:p>
            <w:pPr>
              <w:spacing w:after="0"/>
              <w:rPr>
                <w:sz w:val="9"/>
                <w:szCs w:val="9"/>
                <w:color w:val="auto"/>
              </w:rPr>
            </w:pPr>
          </w:p>
        </w:tc>
        <w:tc>
          <w:tcPr>
            <w:tcW w:w="60" w:type="dxa"/>
            <w:vAlign w:val="bottom"/>
            <w:tcBorders>
              <w:top w:val="single" w:sz="8" w:color="EEEEEE"/>
            </w:tcBorders>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Borders>
              <w:top w:val="single" w:sz="8" w:color="2C2C2C"/>
            </w:tcBorders>
            <w:gridSpan w:val="11"/>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200" w:type="dxa"/>
            <w:vAlign w:val="bottom"/>
            <w:tcBorders>
              <w:top w:val="single" w:sz="8" w:color="2C2C2C"/>
            </w:tcBorders>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4"/>
            <w:vMerge w:val="restart"/>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5"/>
                <w:szCs w:val="5"/>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gridSpan w:val="11"/>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120" w:type="dxa"/>
            <w:vAlign w:val="bottom"/>
            <w:gridSpan w:val="6"/>
            <w:vMerge w:val="restart"/>
          </w:tcPr>
          <w:p>
            <w:pPr>
              <w:ind w:left="220"/>
              <w:spacing w:after="0"/>
              <w:rPr>
                <w:sz w:val="20"/>
                <w:szCs w:val="20"/>
                <w:color w:val="auto"/>
              </w:rPr>
            </w:pPr>
            <w:r>
              <w:rPr>
                <w:rFonts w:ascii="Arial" w:cs="Arial" w:eastAsia="Arial" w:hAnsi="Arial"/>
                <w:sz w:val="17"/>
                <w:szCs w:val="17"/>
                <w:color w:val="0000FF"/>
              </w:rPr>
              <w:t>12/31/2019</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7"/>
            <w:vMerge w:val="restart"/>
          </w:tcPr>
          <w:p>
            <w:pPr>
              <w:ind w:left="300"/>
              <w:spacing w:after="0"/>
              <w:rPr>
                <w:sz w:val="20"/>
                <w:szCs w:val="20"/>
                <w:color w:val="auto"/>
              </w:rPr>
            </w:pPr>
            <w:r>
              <w:rPr>
                <w:rFonts w:ascii="Arial" w:cs="Arial" w:eastAsia="Arial" w:hAnsi="Arial"/>
                <w:sz w:val="17"/>
                <w:szCs w:val="17"/>
                <w:color w:val="0000FF"/>
                <w:w w:val="93"/>
              </w:rPr>
              <w:t>Sr. Vice President Operations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40" w:type="dxa"/>
            <w:vAlign w:val="bottom"/>
            <w:gridSpan w:val="8"/>
            <w:vMerge w:val="restart"/>
          </w:tcPr>
          <w:p>
            <w:pPr>
              <w:spacing w:after="0"/>
              <w:rPr>
                <w:sz w:val="20"/>
                <w:szCs w:val="20"/>
                <w:color w:val="auto"/>
              </w:rPr>
            </w:pPr>
            <w:r>
              <w:rPr>
                <w:rFonts w:ascii="Arial" w:cs="Arial" w:eastAsia="Arial" w:hAnsi="Arial"/>
                <w:sz w:val="17"/>
                <w:szCs w:val="17"/>
                <w:color w:val="0000FF"/>
              </w:rPr>
              <w:t>1001 FANNIN STREET</w:t>
            </w:r>
          </w:p>
        </w:tc>
        <w:tc>
          <w:tcPr>
            <w:tcW w:w="118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7"/>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40" w:type="dxa"/>
            <w:vAlign w:val="bottom"/>
            <w:gridSpan w:val="8"/>
            <w:vMerge w:val="continue"/>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11"/>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560" w:type="dxa"/>
            <w:vAlign w:val="bottom"/>
            <w:gridSpan w:val="1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460" w:type="dxa"/>
            <w:vAlign w:val="bottom"/>
            <w:gridSpan w:val="10"/>
            <w:vMerge w:val="continue"/>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56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5"/>
          </w:tcPr>
          <w:p>
            <w:pPr>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gridSpan w:val="6"/>
          </w:tcPr>
          <w:p>
            <w:pPr>
              <w:ind w:left="220"/>
              <w:spacing w:after="0" w:line="188" w:lineRule="exact"/>
              <w:rPr>
                <w:sz w:val="20"/>
                <w:szCs w:val="20"/>
                <w:color w:val="auto"/>
              </w:rPr>
            </w:pPr>
            <w:r>
              <w:rPr>
                <w:rFonts w:ascii="Arial" w:cs="Arial" w:eastAsia="Arial" w:hAnsi="Arial"/>
                <w:sz w:val="17"/>
                <w:szCs w:val="17"/>
                <w:color w:val="0000FF"/>
              </w:rPr>
              <w:t>01/14/2020</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spacing w:after="0"/>
              <w:rPr>
                <w:sz w:val="20"/>
                <w:szCs w:val="20"/>
                <w:color w:val="auto"/>
              </w:rPr>
            </w:pPr>
            <w:r>
              <w:rPr>
                <w:rFonts w:ascii="Arial" w:cs="Arial" w:eastAsia="Arial" w:hAnsi="Arial"/>
                <w:sz w:val="17"/>
                <w:szCs w:val="17"/>
                <w:color w:val="0000FF"/>
              </w:rPr>
              <w:t>HOUSTON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TX</w:t>
            </w:r>
          </w:p>
        </w:tc>
        <w:tc>
          <w:tcPr>
            <w:tcW w:w="1180" w:type="dxa"/>
            <w:vAlign w:val="bottom"/>
          </w:tcPr>
          <w:p>
            <w:pPr>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12"/>
          </w:tcPr>
          <w:p>
            <w:pPr>
              <w:ind w:left="24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restart"/>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15"/>
                <w:szCs w:val="15"/>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9"/>
          </w:tcPr>
          <w:p>
            <w:pPr>
              <w:spacing w:after="0"/>
              <w:rPr>
                <w:sz w:val="20"/>
                <w:szCs w:val="20"/>
                <w:color w:val="auto"/>
              </w:rPr>
            </w:pPr>
            <w:r>
              <w:rPr>
                <w:rFonts w:ascii="Arial" w:cs="Arial" w:eastAsia="Arial" w:hAnsi="Arial"/>
                <w:sz w:val="12"/>
                <w:szCs w:val="12"/>
                <w:b w:val="1"/>
                <w:bCs w:val="1"/>
                <w:color w:val="auto"/>
              </w:rPr>
              <w:t>1. Title of Security (Instr. 3)</w:t>
            </w:r>
          </w:p>
        </w:tc>
        <w:tc>
          <w:tcPr>
            <w:tcW w:w="118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540" w:type="dxa"/>
            <w:vAlign w:val="bottom"/>
            <w:gridSpan w:val="9"/>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2160" w:type="dxa"/>
            <w:vAlign w:val="bottom"/>
            <w:gridSpan w:val="5"/>
          </w:tcPr>
          <w:p>
            <w:pPr>
              <w:ind w:left="120"/>
              <w:spacing w:after="0" w:line="134" w:lineRule="exact"/>
              <w:rPr>
                <w:sz w:val="20"/>
                <w:szCs w:val="20"/>
                <w:color w:val="auto"/>
              </w:rPr>
            </w:pPr>
            <w:r>
              <w:rPr>
                <w:rFonts w:ascii="Arial" w:cs="Arial" w:eastAsia="Arial" w:hAnsi="Arial"/>
                <w:sz w:val="12"/>
                <w:szCs w:val="12"/>
                <w:b w:val="1"/>
                <w:bCs w:val="1"/>
                <w:color w:val="auto"/>
              </w:rPr>
              <w:t>Transaction  (D) (Instr. 3, 4 and 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6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5"/>
            <w:vMerge w:val="restart"/>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vMerge w:val="restart"/>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6"/>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1"/>
                <w:szCs w:val="11"/>
                <w:color w:val="auto"/>
              </w:rPr>
            </w:pPr>
          </w:p>
        </w:tc>
        <w:tc>
          <w:tcPr>
            <w:tcW w:w="106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6"/>
              </w:rPr>
              <w:t>Amount</w:t>
            </w:r>
          </w:p>
        </w:tc>
        <w:tc>
          <w:tcPr>
            <w:tcW w:w="4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w w:val="88"/>
              </w:rPr>
              <w:t>Price</w:t>
            </w: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vMerge w:val="restart"/>
          </w:tcPr>
          <w:p>
            <w:pPr>
              <w:ind w:left="160"/>
              <w:spacing w:after="0"/>
              <w:rPr>
                <w:sz w:val="20"/>
                <w:szCs w:val="20"/>
                <w:color w:val="auto"/>
              </w:rPr>
            </w:pPr>
            <w:r>
              <w:rPr>
                <w:rFonts w:ascii="Arial" w:cs="Arial" w:eastAsia="Arial" w:hAnsi="Arial"/>
                <w:sz w:val="12"/>
                <w:szCs w:val="12"/>
                <w:b w:val="1"/>
                <w:bCs w:val="1"/>
                <w:color w:val="auto"/>
                <w:w w:val="83"/>
              </w:rPr>
              <w:t>(D)</w:t>
            </w: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5"/>
          </w:tcPr>
          <w:p>
            <w:pPr>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5"/>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(Instr. 3)</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5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6"/>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5"/>
          </w:tcPr>
          <w:p>
            <w:pPr>
              <w:spacing w:after="0"/>
              <w:rPr>
                <w:sz w:val="20"/>
                <w:szCs w:val="20"/>
                <w:color w:val="auto"/>
              </w:rPr>
            </w:pPr>
            <w:r>
              <w:rPr>
                <w:rFonts w:ascii="Arial" w:cs="Arial" w:eastAsia="Arial" w:hAnsi="Arial"/>
                <w:sz w:val="13"/>
                <w:szCs w:val="13"/>
                <w:color w:val="0000FF"/>
              </w:rPr>
              <w:t>Phantom</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5"/>
            <w:vMerge w:val="restart"/>
          </w:tcPr>
          <w:p>
            <w:pPr>
              <w:spacing w:after="0" w:line="145"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00"/>
              <w:spacing w:after="0" w:line="145" w:lineRule="exact"/>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0.0000</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restart"/>
          </w:tcPr>
          <w:p>
            <w:pPr>
              <w:jc w:val="right"/>
              <w:ind w:right="170"/>
              <w:spacing w:after="0" w:line="145" w:lineRule="exact"/>
              <w:rPr>
                <w:sz w:val="20"/>
                <w:szCs w:val="20"/>
                <w:color w:val="auto"/>
              </w:rPr>
            </w:pPr>
            <w:r>
              <w:rPr>
                <w:rFonts w:ascii="Arial" w:cs="Arial" w:eastAsia="Arial" w:hAnsi="Arial"/>
                <w:sz w:val="13"/>
                <w:szCs w:val="13"/>
                <w:color w:val="0000FF"/>
              </w:rPr>
              <w:t>05/01/2019</w:t>
            </w: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4C</w:t>
            </w:r>
          </w:p>
        </w:tc>
        <w:tc>
          <w:tcPr>
            <w:tcW w:w="300" w:type="dxa"/>
            <w:vAlign w:val="bottom"/>
          </w:tcPr>
          <w:p>
            <w:pPr>
              <w:spacing w:after="0"/>
              <w:rPr>
                <w:sz w:val="6"/>
                <w:szCs w:val="6"/>
                <w:color w:val="auto"/>
              </w:rPr>
            </w:pPr>
          </w:p>
        </w:tc>
        <w:tc>
          <w:tcPr>
            <w:tcW w:w="540" w:type="dxa"/>
            <w:vAlign w:val="bottom"/>
            <w:vMerge w:val="restart"/>
          </w:tcPr>
          <w:p>
            <w:pPr>
              <w:ind w:left="20"/>
              <w:spacing w:after="0" w:line="145" w:lineRule="exact"/>
              <w:rPr>
                <w:sz w:val="20"/>
                <w:szCs w:val="20"/>
                <w:color w:val="auto"/>
              </w:rPr>
            </w:pPr>
            <w:r>
              <w:rPr>
                <w:rFonts w:ascii="Arial" w:cs="Arial" w:eastAsia="Arial" w:hAnsi="Arial"/>
                <w:sz w:val="13"/>
                <w:szCs w:val="13"/>
                <w:color w:val="0000FF"/>
              </w:rPr>
              <w:t>636.629</w:t>
            </w:r>
          </w:p>
        </w:tc>
        <w:tc>
          <w:tcPr>
            <w:tcW w:w="860" w:type="dxa"/>
            <w:vAlign w:val="bottom"/>
            <w:gridSpan w:val="2"/>
            <w:vMerge w:val="restart"/>
          </w:tcPr>
          <w:p>
            <w:pPr>
              <w:ind w:left="100"/>
              <w:spacing w:after="0" w:line="145" w:lineRule="exact"/>
              <w:rPr>
                <w:sz w:val="20"/>
                <w:szCs w:val="20"/>
                <w:color w:val="auto"/>
              </w:rPr>
            </w:pPr>
            <w:r>
              <w:rPr>
                <w:rFonts w:ascii="Arial" w:cs="Arial" w:eastAsia="Arial" w:hAnsi="Arial"/>
                <w:sz w:val="13"/>
                <w:szCs w:val="13"/>
                <w:color w:val="0000FF"/>
              </w:rPr>
              <w:t>08/08/1988</w:t>
            </w:r>
          </w:p>
        </w:tc>
        <w:tc>
          <w:tcPr>
            <w:tcW w:w="760" w:type="dxa"/>
            <w:vAlign w:val="bottom"/>
            <w:gridSpan w:val="2"/>
            <w:vMerge w:val="restart"/>
          </w:tcPr>
          <w:p>
            <w:pPr>
              <w:ind w:left="20"/>
              <w:spacing w:after="0" w:line="145" w:lineRule="exact"/>
              <w:rPr>
                <w:sz w:val="20"/>
                <w:szCs w:val="20"/>
                <w:color w:val="auto"/>
              </w:rPr>
            </w:pPr>
            <w:r>
              <w:rPr>
                <w:rFonts w:ascii="Arial" w:cs="Arial" w:eastAsia="Arial" w:hAnsi="Arial"/>
                <w:sz w:val="13"/>
                <w:szCs w:val="13"/>
                <w:color w:val="0000FF"/>
              </w:rPr>
              <w:t>08/08/1988</w:t>
            </w:r>
          </w:p>
        </w:tc>
        <w:tc>
          <w:tcPr>
            <w:tcW w:w="640" w:type="dxa"/>
            <w:vAlign w:val="bottom"/>
            <w:gridSpan w:val="2"/>
            <w:vMerge w:val="continue"/>
          </w:tcPr>
          <w:p>
            <w:pPr>
              <w:spacing w:after="0"/>
              <w:rPr>
                <w:sz w:val="6"/>
                <w:szCs w:val="6"/>
                <w:color w:val="auto"/>
              </w:rPr>
            </w:pPr>
          </w:p>
        </w:tc>
        <w:tc>
          <w:tcPr>
            <w:tcW w:w="540" w:type="dxa"/>
            <w:vAlign w:val="bottom"/>
            <w:gridSpan w:val="2"/>
            <w:vMerge w:val="restart"/>
          </w:tcPr>
          <w:p>
            <w:pPr>
              <w:ind w:left="20"/>
              <w:spacing w:after="0" w:line="145" w:lineRule="exact"/>
              <w:rPr>
                <w:sz w:val="20"/>
                <w:szCs w:val="20"/>
                <w:color w:val="auto"/>
              </w:rPr>
            </w:pPr>
            <w:r>
              <w:rPr>
                <w:rFonts w:ascii="Arial" w:cs="Arial" w:eastAsia="Arial" w:hAnsi="Arial"/>
                <w:sz w:val="13"/>
                <w:szCs w:val="13"/>
                <w:color w:val="0000FF"/>
              </w:rPr>
              <w:t>636.629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106.05</w:t>
            </w:r>
          </w:p>
        </w:tc>
        <w:tc>
          <w:tcPr>
            <w:tcW w:w="980" w:type="dxa"/>
            <w:vAlign w:val="bottom"/>
            <w:gridSpan w:val="4"/>
            <w:vMerge w:val="restart"/>
          </w:tcPr>
          <w:p>
            <w:pPr>
              <w:ind w:left="120"/>
              <w:spacing w:after="0" w:line="145" w:lineRule="exact"/>
              <w:rPr>
                <w:sz w:val="20"/>
                <w:szCs w:val="20"/>
                <w:color w:val="auto"/>
              </w:rPr>
            </w:pPr>
            <w:r>
              <w:rPr>
                <w:rFonts w:ascii="Arial" w:cs="Arial" w:eastAsia="Arial" w:hAnsi="Arial"/>
                <w:sz w:val="13"/>
                <w:szCs w:val="13"/>
                <w:color w:val="0000FF"/>
              </w:rPr>
              <w:t>4,950.4002</w:t>
            </w:r>
          </w:p>
        </w:tc>
        <w:tc>
          <w:tcPr>
            <w:tcW w:w="400" w:type="dxa"/>
            <w:vAlign w:val="bottom"/>
            <w:vMerge w:val="restart"/>
          </w:tcPr>
          <w:p>
            <w:pPr>
              <w:ind w:left="260"/>
              <w:spacing w:after="0" w:line="145"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5"/>
            <w:vMerge w:val="restart"/>
          </w:tcPr>
          <w:p>
            <w:pPr>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-5464175</wp:posOffset>
            </wp:positionV>
            <wp:extent cx="7323455" cy="5463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3455" cy="54635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Batchelor has allocated deferred compensation under the Company's 409A Deferral Savings Plan into an account that mirrors the Company's 401(k) Waste Management, Inc. stock fund, although the amounts are not actually invested in stock or funds. This form reports a cash distribution from that stock fund that was automatically triggered by Mr. Batchelor's prior election but was not reported at the time of distribution.</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Amended to show "4" in the transaction code that should have been a "C4" on the original filing.</w:t>
      </w:r>
    </w:p>
    <w:p>
      <w:pPr>
        <w:spacing w:after="0" w:line="8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Debra Woods, Attorney-in-fact  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956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0"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761525" TargetMode="External"/><Relationship Id="rId9"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2020-01-30T09:09:31Z</dcterms:created>
  <dcterms:modified xsi:type="dcterms:W3CDTF">2020-01-30T09:09:31Z</dcterms:modified>
</cp:coreProperties>
</file>