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Washington, D.C. 20549</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FORM 8-K/A</w:t>
      </w:r>
    </w:p>
    <w:p>
      <w:pPr>
        <w:spacing w:after="0" w:line="198"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CURRENT REPORT</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198" w:lineRule="exact"/>
        <w:rPr>
          <w:sz w:val="24"/>
          <w:szCs w:val="24"/>
          <w:color w:val="auto"/>
        </w:rPr>
      </w:pPr>
    </w:p>
    <w:p>
      <w:pPr>
        <w:spacing w:after="0"/>
        <w:tabs>
          <w:tab w:leader="none" w:pos="5000" w:val="left"/>
        </w:tabs>
        <w:rPr>
          <w:sz w:val="20"/>
          <w:szCs w:val="20"/>
          <w:color w:val="auto"/>
        </w:rPr>
      </w:pPr>
      <w:r>
        <w:rPr>
          <w:rFonts w:ascii="Courier New" w:cs="Courier New" w:eastAsia="Courier New" w:hAnsi="Courier New"/>
          <w:sz w:val="16"/>
          <w:szCs w:val="16"/>
          <w:color w:val="auto"/>
        </w:rPr>
        <w:t>DATE OF REPORT (date of earliest event reported):</w:t>
        <w:tab/>
        <w:t>March 12, 1997</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USA WASTE SERVICES, INC.</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98" w:lineRule="exact"/>
        <w:rPr>
          <w:sz w:val="24"/>
          <w:szCs w:val="24"/>
          <w:color w:val="auto"/>
        </w:rPr>
      </w:pPr>
    </w:p>
    <w:p>
      <w:pPr>
        <w:ind w:left="2460"/>
        <w:spacing w:after="0"/>
        <w:rPr>
          <w:sz w:val="20"/>
          <w:szCs w:val="20"/>
          <w:color w:val="auto"/>
        </w:rPr>
      </w:pPr>
      <w:r>
        <w:rPr>
          <w:rFonts w:ascii="Courier New" w:cs="Courier New" w:eastAsia="Courier New" w:hAnsi="Courier New"/>
          <w:sz w:val="16"/>
          <w:szCs w:val="16"/>
          <w:color w:val="auto"/>
        </w:rPr>
        <w:t>Commission file number 1-12154</w:t>
      </w:r>
    </w:p>
    <w:p>
      <w:pPr>
        <w:spacing w:after="0" w:line="8" w:lineRule="exact"/>
        <w:rPr>
          <w:sz w:val="24"/>
          <w:szCs w:val="24"/>
          <w:color w:val="auto"/>
        </w:rPr>
      </w:pPr>
    </w:p>
    <w:p>
      <w:pPr>
        <w:ind w:left="47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3" w:right="1440" w:bottom="1440" w:gutter="0" w:footer="0" w:header="0"/>
        </w:sectPr>
      </w:pPr>
    </w:p>
    <w:p>
      <w:pPr>
        <w:spacing w:after="0" w:line="8" w:lineRule="exact"/>
        <w:rPr>
          <w:sz w:val="24"/>
          <w:szCs w:val="24"/>
          <w:color w:val="auto"/>
        </w:rPr>
      </w:pPr>
    </w:p>
    <w:p>
      <w:pPr>
        <w:ind w:left="1780"/>
        <w:spacing w:after="0"/>
        <w:rPr>
          <w:sz w:val="20"/>
          <w:szCs w:val="20"/>
          <w:color w:val="auto"/>
        </w:rPr>
      </w:pPr>
      <w:r>
        <w:rPr>
          <w:rFonts w:ascii="Courier New" w:cs="Courier New" w:eastAsia="Courier New" w:hAnsi="Courier New"/>
          <w:sz w:val="16"/>
          <w:szCs w:val="16"/>
          <w:color w:val="auto"/>
        </w:rPr>
        <w:t>DELAWARE</w:t>
      </w:r>
    </w:p>
    <w:p>
      <w:pPr>
        <w:spacing w:after="0" w:line="8" w:lineRule="exact"/>
        <w:rPr>
          <w:sz w:val="24"/>
          <w:szCs w:val="24"/>
          <w:color w:val="auto"/>
        </w:rPr>
      </w:pPr>
    </w:p>
    <w:p>
      <w:pPr>
        <w:ind w:left="600"/>
        <w:spacing w:after="0"/>
        <w:rPr>
          <w:sz w:val="20"/>
          <w:szCs w:val="20"/>
          <w:color w:val="auto"/>
        </w:rPr>
      </w:pPr>
      <w:r>
        <w:rPr>
          <w:rFonts w:ascii="Courier New" w:cs="Courier New" w:eastAsia="Courier New" w:hAnsi="Courier New"/>
          <w:sz w:val="16"/>
          <w:szCs w:val="16"/>
          <w:color w:val="auto"/>
        </w:rPr>
        <w:t>(State or other jurisdiction of</w:t>
      </w:r>
    </w:p>
    <w:p>
      <w:pPr>
        <w:spacing w:after="0" w:line="8" w:lineRule="exact"/>
        <w:rPr>
          <w:sz w:val="24"/>
          <w:szCs w:val="24"/>
          <w:color w:val="auto"/>
        </w:rPr>
      </w:pPr>
    </w:p>
    <w:p>
      <w:pPr>
        <w:ind w:left="70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ind w:left="500"/>
        <w:spacing w:after="0"/>
        <w:rPr>
          <w:sz w:val="20"/>
          <w:szCs w:val="20"/>
          <w:color w:val="auto"/>
        </w:rPr>
      </w:pPr>
      <w:r>
        <w:rPr>
          <w:rFonts w:ascii="Courier New" w:cs="Courier New" w:eastAsia="Courier New" w:hAnsi="Courier New"/>
          <w:sz w:val="16"/>
          <w:szCs w:val="16"/>
          <w:color w:val="auto"/>
        </w:rPr>
        <w:t>73-1309529</w:t>
      </w:r>
    </w:p>
    <w:p>
      <w:pPr>
        <w:spacing w:after="0" w:line="8"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98" w:lineRule="exact"/>
        <w:rPr>
          <w:sz w:val="24"/>
          <w:szCs w:val="24"/>
          <w:color w:val="auto"/>
        </w:rPr>
      </w:pPr>
    </w:p>
    <w:p>
      <w:pPr>
        <w:sectPr>
          <w:pgSz w:w="11900" w:h="16838" w:orient="portrait"/>
          <w:cols w:equalWidth="0" w:num="2">
            <w:col w:w="4800" w:space="720"/>
            <w:col w:w="4699"/>
          </w:cols>
          <w:pgMar w:left="240" w:top="243" w:right="1440" w:bottom="1440" w:gutter="0" w:footer="0" w:header="0"/>
          <w:type w:val="continuous"/>
        </w:sectPr>
      </w:pPr>
    </w:p>
    <w:p>
      <w:pPr>
        <w:jc w:val="center"/>
        <w:ind w:right="1060"/>
        <w:spacing w:after="0"/>
        <w:rPr>
          <w:sz w:val="20"/>
          <w:szCs w:val="20"/>
          <w:color w:val="auto"/>
        </w:rPr>
      </w:pPr>
      <w:r>
        <w:rPr>
          <w:rFonts w:ascii="Courier New" w:cs="Courier New" w:eastAsia="Courier New" w:hAnsi="Courier New"/>
          <w:sz w:val="16"/>
          <w:szCs w:val="16"/>
          <w:color w:val="auto"/>
        </w:rPr>
        <w:t>1001 FANNIN, SUITE 4000</w:t>
      </w:r>
    </w:p>
    <w:p>
      <w:pPr>
        <w:spacing w:after="0" w:line="8" w:lineRule="exact"/>
        <w:rPr>
          <w:sz w:val="24"/>
          <w:szCs w:val="24"/>
          <w:color w:val="auto"/>
        </w:rPr>
      </w:pPr>
    </w:p>
    <w:p>
      <w:pPr>
        <w:jc w:val="center"/>
        <w:ind w:right="960"/>
        <w:spacing w:after="0"/>
        <w:rPr>
          <w:sz w:val="20"/>
          <w:szCs w:val="20"/>
          <w:color w:val="auto"/>
        </w:rPr>
      </w:pPr>
      <w:r>
        <w:rPr>
          <w:rFonts w:ascii="Courier New" w:cs="Courier New" w:eastAsia="Courier New" w:hAnsi="Courier New"/>
          <w:sz w:val="16"/>
          <w:szCs w:val="16"/>
          <w:color w:val="auto"/>
        </w:rPr>
        <w:t>HOUSTON, TEXAS</w:t>
      </w:r>
    </w:p>
    <w:p>
      <w:pPr>
        <w:spacing w:after="0" w:line="8" w:lineRule="exact"/>
        <w:rPr>
          <w:sz w:val="24"/>
          <w:szCs w:val="24"/>
          <w:color w:val="auto"/>
        </w:rPr>
      </w:pPr>
    </w:p>
    <w:p>
      <w:pPr>
        <w:jc w:val="center"/>
        <w:ind w:right="96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77002</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198" w:lineRule="exact"/>
        <w:rPr>
          <w:sz w:val="24"/>
          <w:szCs w:val="24"/>
          <w:color w:val="auto"/>
        </w:rPr>
      </w:pPr>
    </w:p>
    <w:p>
      <w:pPr>
        <w:sectPr>
          <w:pgSz w:w="11900" w:h="16838" w:orient="portrait"/>
          <w:cols w:equalWidth="0" w:num="2">
            <w:col w:w="5300" w:space="720"/>
            <w:col w:w="4199"/>
          </w:cols>
          <w:pgMar w:left="240" w:top="24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(713) 512-6200</w:t>
      </w:r>
    </w:p>
    <w:p>
      <w:pPr>
        <w:sectPr>
          <w:pgSz w:w="11900" w:h="16838" w:orient="portrait"/>
          <w:cols w:equalWidth="0" w:num="2">
            <w:col w:w="5020" w:space="200"/>
            <w:col w:w="4999"/>
          </w:cols>
          <w:pgMar w:left="240" w:top="243"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FINANCIAL STATEMENTS AND EXHIBITS</w:t>
      </w:r>
    </w:p>
    <w:p>
      <w:pPr>
        <w:spacing w:after="0" w:line="198" w:lineRule="exact"/>
        <w:rPr>
          <w:sz w:val="20"/>
          <w:szCs w:val="20"/>
          <w:color w:val="auto"/>
        </w:rPr>
      </w:pPr>
    </w:p>
    <w:p>
      <w:pPr>
        <w:ind w:left="1680" w:hanging="890"/>
        <w:spacing w:after="0"/>
        <w:tabs>
          <w:tab w:leader="none" w:pos="16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 OF THE BUSINESS ACQUIRED</w:t>
      </w:r>
    </w:p>
    <w:p>
      <w:pPr>
        <w:spacing w:after="0" w:line="198" w:lineRule="exact"/>
        <w:rPr>
          <w:sz w:val="20"/>
          <w:szCs w:val="20"/>
          <w:color w:val="auto"/>
        </w:rPr>
      </w:pPr>
    </w:p>
    <w:p>
      <w:pPr>
        <w:ind w:left="780" w:right="2339"/>
        <w:spacing w:after="0" w:line="251" w:lineRule="auto"/>
        <w:rPr>
          <w:sz w:val="20"/>
          <w:szCs w:val="20"/>
          <w:color w:val="auto"/>
        </w:rPr>
      </w:pPr>
      <w:r>
        <w:rPr>
          <w:rFonts w:ascii="Courier New" w:cs="Courier New" w:eastAsia="Courier New" w:hAnsi="Courier New"/>
          <w:sz w:val="16"/>
          <w:szCs w:val="16"/>
          <w:color w:val="auto"/>
        </w:rPr>
        <w:t>The audited historical combined balance sheet of Laidlaw Solid Waste Management Group - Canadian Operations as at August 31, 1996 and combined statements of operations and cash flows for the year then ended and the unaudited historical combined balance sheet of Laidlaw Solid Waste Management Group - Canadian Operations as at November 30, 1996 and combined statements of operations and cash flows for the three months ended November 30, 1996 are set forth as ATTACHMENT A and are incorporated herein by reference.</w:t>
      </w:r>
    </w:p>
    <w:p>
      <w:pPr>
        <w:spacing w:after="0" w:line="190" w:lineRule="exact"/>
        <w:rPr>
          <w:sz w:val="20"/>
          <w:szCs w:val="20"/>
          <w:color w:val="auto"/>
        </w:rPr>
      </w:pPr>
    </w:p>
    <w:p>
      <w:pPr>
        <w:ind w:left="1780" w:hanging="990"/>
        <w:spacing w:after="0"/>
        <w:tabs>
          <w:tab w:leader="none" w:pos="17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FINANCIAL INFORMATION</w:t>
      </w:r>
    </w:p>
    <w:p>
      <w:pPr>
        <w:spacing w:after="0" w:line="198" w:lineRule="exact"/>
        <w:rPr>
          <w:sz w:val="20"/>
          <w:szCs w:val="20"/>
          <w:color w:val="auto"/>
        </w:rPr>
      </w:pPr>
    </w:p>
    <w:p>
      <w:pPr>
        <w:ind w:left="780" w:right="2439"/>
        <w:spacing w:after="0" w:line="253" w:lineRule="auto"/>
        <w:rPr>
          <w:sz w:val="20"/>
          <w:szCs w:val="20"/>
          <w:color w:val="auto"/>
        </w:rPr>
      </w:pPr>
      <w:r>
        <w:rPr>
          <w:rFonts w:ascii="Courier New" w:cs="Courier New" w:eastAsia="Courier New" w:hAnsi="Courier New"/>
          <w:sz w:val="16"/>
          <w:szCs w:val="16"/>
          <w:color w:val="auto"/>
        </w:rPr>
        <w:t>Pro forma financial information for the business acquired subsequent to December 31, 1996 is set forth as ATTACHMENT B and are incorporated herein by reference.</w:t>
      </w:r>
    </w:p>
    <w:p>
      <w:pPr>
        <w:spacing w:after="0" w:line="185" w:lineRule="exact"/>
        <w:rPr>
          <w:sz w:val="20"/>
          <w:szCs w:val="20"/>
          <w:color w:val="auto"/>
        </w:rPr>
      </w:pPr>
    </w:p>
    <w:p>
      <w:pPr>
        <w:ind w:left="1780" w:hanging="990"/>
        <w:spacing w:after="0"/>
        <w:tabs>
          <w:tab w:leader="none" w:pos="17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98" w:lineRule="exact"/>
        <w:rPr>
          <w:sz w:val="20"/>
          <w:szCs w:val="20"/>
          <w:color w:val="auto"/>
        </w:rPr>
      </w:pPr>
    </w:p>
    <w:p>
      <w:pPr>
        <w:ind w:left="780"/>
        <w:spacing w:after="0"/>
        <w:tabs>
          <w:tab w:leader="none" w:pos="1460"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6"/>
          <w:szCs w:val="16"/>
          <w:color w:val="auto"/>
        </w:rPr>
        <w:t>Consent of Independent Accountants.</w:t>
      </w:r>
    </w:p>
    <w:p>
      <w:pPr>
        <w:sectPr>
          <w:pgSz w:w="11900" w:h="16838" w:orient="portrait"/>
          <w:cols w:equalWidth="0" w:num="1">
            <w:col w:w="10219"/>
          </w:cols>
          <w:pgMar w:left="240" w:top="306"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377"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SIGNATURES</w:t>
      </w:r>
    </w:p>
    <w:p>
      <w:pPr>
        <w:spacing w:after="0" w:line="198" w:lineRule="exact"/>
        <w:rPr>
          <w:sz w:val="20"/>
          <w:szCs w:val="20"/>
          <w:color w:val="auto"/>
        </w:rPr>
      </w:pPr>
    </w:p>
    <w:p>
      <w:pPr>
        <w:ind w:right="2619" w:firstLine="887"/>
        <w:spacing w:after="0" w:line="25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USA WASTE SERVICES, INC.</w:t>
      </w:r>
    </w:p>
    <w:p>
      <w:pPr>
        <w:spacing w:after="0" w:line="198" w:lineRule="exact"/>
        <w:rPr>
          <w:sz w:val="20"/>
          <w:szCs w:val="20"/>
          <w:color w:val="auto"/>
        </w:rPr>
      </w:pPr>
    </w:p>
    <w:p>
      <w:pPr>
        <w:ind w:left="3940"/>
        <w:spacing w:after="0"/>
        <w:tabs>
          <w:tab w:leader="none" w:pos="4420" w:val="left"/>
          <w:tab w:leader="none" w:pos="4920" w:val="left"/>
        </w:tabs>
        <w:rPr>
          <w:sz w:val="20"/>
          <w:szCs w:val="20"/>
          <w:color w:val="auto"/>
        </w:rPr>
      </w:pPr>
      <w:r>
        <w:rPr>
          <w:rFonts w:ascii="Courier New" w:cs="Courier New" w:eastAsia="Courier New" w:hAnsi="Courier New"/>
          <w:sz w:val="16"/>
          <w:szCs w:val="16"/>
          <w:color w:val="auto"/>
        </w:rPr>
        <w:t>By:</w:t>
        <w:tab/>
        <w:t>/s/</w:t>
        <w:tab/>
        <w:t>GREGORY T. SANGALIS</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Gregory T. Sangalis</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Vice President, General Counsel</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&amp; Secretary</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15, 1997</w:t>
      </w:r>
    </w:p>
    <w:p>
      <w:pPr>
        <w:sectPr>
          <w:pgSz w:w="11900" w:h="16838" w:orient="portrait"/>
          <w:cols w:equalWidth="0" w:num="1">
            <w:col w:w="10219"/>
          </w:cols>
          <w:pgMar w:left="240" w:top="306"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4</w:t>
      </w:r>
    </w:p>
    <w:p>
      <w:pPr>
        <w:spacing w:after="0" w:line="198" w:lineRule="exact"/>
        <w:rPr>
          <w:sz w:val="20"/>
          <w:szCs w:val="20"/>
          <w:color w:val="auto"/>
        </w:rPr>
      </w:pPr>
    </w:p>
    <w:p>
      <w:pPr>
        <w:ind w:left="6600"/>
        <w:spacing w:after="0"/>
        <w:rPr>
          <w:sz w:val="20"/>
          <w:szCs w:val="20"/>
          <w:color w:val="auto"/>
        </w:rPr>
      </w:pPr>
      <w:r>
        <w:rPr>
          <w:rFonts w:ascii="Courier New" w:cs="Courier New" w:eastAsia="Courier New" w:hAnsi="Courier New"/>
          <w:sz w:val="16"/>
          <w:szCs w:val="16"/>
          <w:color w:val="auto"/>
        </w:rPr>
        <w:t>Attachment A</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388"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We have audited the accompanying combined balance sheet of Laidlaw Solid Waste Management Group - Canadian Operations (as defined in Note 1) as of August 31, 1996 and the related combined statements of operations and cash flows for the year then ended. These financial statements are the responsibility of the management of Laidlaw Inc. Our responsibility is to express an opinion on these financial statements based on our audit.</w:t>
      </w:r>
    </w:p>
    <w:p>
      <w:pPr>
        <w:spacing w:after="0" w:line="190"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w:t>
      </w:r>
    </w:p>
    <w:p>
      <w:pPr>
        <w:ind w:right="2619"/>
        <w:spacing w:after="0" w:line="252" w:lineRule="auto"/>
        <w:rPr>
          <w:sz w:val="20"/>
          <w:szCs w:val="20"/>
          <w:color w:val="auto"/>
        </w:rPr>
      </w:pPr>
      <w:r>
        <w:rPr>
          <w:rFonts w:ascii="Courier New" w:cs="Courier New" w:eastAsia="Courier New" w:hAnsi="Courier New"/>
          <w:sz w:val="16"/>
          <w:szCs w:val="16"/>
          <w:color w:val="auto"/>
        </w:rPr>
        <w:t>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7"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combined financial position of the Laidlaw Solid Waste Management Group - Canadian Operations as of August 31, 1996, and the combined results of its operations and its cash flows for the year then ended in conformity with United States generally accepted accounting principles.</w:t>
      </w:r>
    </w:p>
    <w:p>
      <w:pPr>
        <w:sectPr>
          <w:pgSz w:w="11900" w:h="16838" w:orient="portrait"/>
          <w:cols w:equalWidth="0" w:num="1">
            <w:col w:w="10219"/>
          </w:cols>
          <w:pgMar w:left="240" w:top="3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860"/>
        <w:spacing w:after="0" w:line="253" w:lineRule="auto"/>
        <w:rPr>
          <w:sz w:val="20"/>
          <w:szCs w:val="20"/>
          <w:color w:val="auto"/>
        </w:rPr>
      </w:pPr>
      <w:r>
        <w:rPr>
          <w:rFonts w:ascii="Courier New" w:cs="Courier New" w:eastAsia="Courier New" w:hAnsi="Courier New"/>
          <w:sz w:val="16"/>
          <w:szCs w:val="16"/>
          <w:color w:val="auto"/>
        </w:rPr>
        <w:t>October 16, 1996 (except for Notes 1 and 8 which are as at January 15, 1997) Hamilton, Canada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Coopers &amp; Lybrand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Chartered Accountants</w:t>
      </w:r>
    </w:p>
    <w:p>
      <w:pPr>
        <w:sectPr>
          <w:pgSz w:w="11900" w:h="16838" w:orient="portrait"/>
          <w:cols w:equalWidth="0" w:num="2">
            <w:col w:w="5000" w:space="720"/>
            <w:col w:w="4499"/>
          </w:cols>
          <w:pgMar w:left="240" w:top="306" w:right="1440" w:bottom="1440" w:gutter="0" w:footer="0" w:header="0"/>
          <w:type w:val="continuous"/>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5</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LAIDLAW SOLID WASTE MANAGEMENT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 - CANADIAN OPERATIONS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COMBINED BALANCE SHEETS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$000's)</w:t>
      </w:r>
    </w:p>
    <w:p>
      <w:pPr>
        <w:spacing w:after="0" w:line="388" w:lineRule="exact"/>
        <w:rPr>
          <w:sz w:val="20"/>
          <w:szCs w:val="20"/>
          <w:color w:val="auto"/>
        </w:rPr>
      </w:pPr>
    </w:p>
    <w:p>
      <w:pPr>
        <w:ind w:left="200" w:hanging="199"/>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(Unaudited)</w:t>
      </w:r>
    </w:p>
    <w:p>
      <w:pPr>
        <w:spacing w:after="0" w:line="8" w:lineRule="exact"/>
        <w:rPr>
          <w:rFonts w:ascii="Courier New" w:cs="Courier New" w:eastAsia="Courier New" w:hAnsi="Courier New"/>
          <w:sz w:val="16"/>
          <w:szCs w:val="16"/>
          <w:color w:val="auto"/>
        </w:rPr>
      </w:pPr>
    </w:p>
    <w:p>
      <w:pPr>
        <w:ind w:left="4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November 30  August 31</w:t>
      </w:r>
    </w:p>
    <w:p>
      <w:pPr>
        <w:spacing w:after="0" w:line="8" w:lineRule="exact"/>
        <w:rPr>
          <w:sz w:val="20"/>
          <w:szCs w:val="20"/>
          <w:color w:val="auto"/>
        </w:rPr>
      </w:pPr>
    </w:p>
    <w:p>
      <w:pPr>
        <w:jc w:val="center"/>
        <w:ind w:left="1100"/>
        <w:spacing w:after="0"/>
        <w:tabs>
          <w:tab w:leader="none" w:pos="760" w:val="left"/>
        </w:tabs>
        <w:rPr>
          <w:sz w:val="20"/>
          <w:szCs w:val="20"/>
          <w:color w:val="auto"/>
        </w:rPr>
      </w:pP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6"/>
          <w:szCs w:val="16"/>
          <w:color w:val="auto"/>
        </w:rPr>
        <w:t>1996</w:t>
      </w:r>
    </w:p>
    <w:p>
      <w:pPr>
        <w:spacing w:after="0" w:line="8" w:lineRule="exact"/>
        <w:rPr>
          <w:sz w:val="20"/>
          <w:szCs w:val="20"/>
          <w:color w:val="auto"/>
        </w:rPr>
      </w:pPr>
    </w:p>
    <w:p>
      <w:pPr>
        <w:jc w:val="center"/>
        <w:ind w:left="1200"/>
        <w:spacing w:after="0"/>
        <w:tabs>
          <w:tab w:leader="none" w:pos="11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8" w:lineRule="exact"/>
        <w:rPr>
          <w:sz w:val="20"/>
          <w:szCs w:val="20"/>
          <w:color w:val="auto"/>
        </w:rPr>
      </w:pPr>
    </w:p>
    <w:p>
      <w:pPr>
        <w:ind w:left="200" w:hanging="199"/>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ASSETS</w:t>
      </w:r>
    </w:p>
    <w:p>
      <w:pPr>
        <w:spacing w:after="0" w:line="197"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CURRENT ASSETS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80" w:type="dxa"/>
            <w:vAlign w:val="bottom"/>
          </w:tcPr>
          <w:p>
            <w:pPr>
              <w:spacing w:after="0"/>
              <w:rPr>
                <w:sz w:val="20"/>
                <w:szCs w:val="20"/>
                <w:color w:val="auto"/>
              </w:rPr>
            </w:pPr>
            <w:r>
              <w:rPr>
                <w:rFonts w:ascii="Courier New" w:cs="Courier New" w:eastAsia="Courier New" w:hAnsi="Courier New"/>
                <w:sz w:val="16"/>
                <w:szCs w:val="16"/>
                <w:color w:val="auto"/>
              </w:rPr>
              <w:t>Trade and other accounts receivable (net of</w:t>
            </w: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4880" w:type="dxa"/>
            <w:vAlign w:val="bottom"/>
          </w:tcPr>
          <w:p>
            <w:pPr>
              <w:ind w:left="400"/>
              <w:spacing w:after="0"/>
              <w:rPr>
                <w:sz w:val="20"/>
                <w:szCs w:val="20"/>
                <w:color w:val="auto"/>
              </w:rPr>
            </w:pPr>
            <w:r>
              <w:rPr>
                <w:rFonts w:ascii="Courier New" w:cs="Courier New" w:eastAsia="Courier New" w:hAnsi="Courier New"/>
                <w:sz w:val="16"/>
                <w:szCs w:val="16"/>
                <w:color w:val="auto"/>
              </w:rPr>
              <w:t>allowance for doubtful accounts of $622;</w:t>
            </w: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4880" w:type="dxa"/>
            <w:vAlign w:val="bottom"/>
          </w:tcPr>
          <w:p>
            <w:pPr>
              <w:ind w:left="400"/>
              <w:spacing w:after="0"/>
              <w:rPr>
                <w:sz w:val="20"/>
                <w:szCs w:val="20"/>
                <w:color w:val="auto"/>
              </w:rPr>
            </w:pPr>
            <w:r>
              <w:rPr>
                <w:rFonts w:ascii="Courier New" w:cs="Courier New" w:eastAsia="Courier New" w:hAnsi="Courier New"/>
                <w:sz w:val="16"/>
                <w:szCs w:val="16"/>
                <w:color w:val="auto"/>
              </w:rPr>
              <w:t>August 31, 1996 - $634)</w:t>
            </w:r>
          </w:p>
        </w:tc>
        <w:tc>
          <w:tcPr>
            <w:tcW w:w="11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44,573</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42,562</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Inventories</w:t>
            </w:r>
          </w:p>
        </w:tc>
        <w:tc>
          <w:tcPr>
            <w:tcW w:w="11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2,574</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2,613</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Income taxes recoverable (Note 8)</w:t>
            </w:r>
          </w:p>
        </w:tc>
        <w:tc>
          <w:tcPr>
            <w:tcW w:w="11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47,536</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49,236</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Other current assets</w:t>
            </w:r>
          </w:p>
        </w:tc>
        <w:tc>
          <w:tcPr>
            <w:tcW w:w="11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5,263</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5,919</w:t>
            </w:r>
          </w:p>
        </w:tc>
      </w:tr>
      <w:tr>
        <w:trPr>
          <w:trHeight w:val="190"/>
        </w:trPr>
        <w:tc>
          <w:tcPr>
            <w:tcW w:w="4880" w:type="dxa"/>
            <w:vAlign w:val="bottom"/>
          </w:tcPr>
          <w:p>
            <w:pPr>
              <w:spacing w:after="0"/>
              <w:rPr>
                <w:sz w:val="16"/>
                <w:szCs w:val="16"/>
                <w:color w:val="auto"/>
              </w:rPr>
            </w:pPr>
          </w:p>
        </w:tc>
        <w:tc>
          <w:tcPr>
            <w:tcW w:w="11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880" w:type="dxa"/>
            <w:vAlign w:val="bottom"/>
          </w:tcPr>
          <w:p>
            <w:pPr>
              <w:spacing w:after="0"/>
              <w:rPr>
                <w:sz w:val="16"/>
                <w:szCs w:val="16"/>
                <w:color w:val="auto"/>
              </w:rPr>
            </w:pPr>
          </w:p>
        </w:tc>
        <w:tc>
          <w:tcPr>
            <w:tcW w:w="11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99,946</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100,330</w:t>
            </w:r>
          </w:p>
        </w:tc>
      </w:tr>
      <w:tr>
        <w:trPr>
          <w:trHeight w:val="190"/>
        </w:trPr>
        <w:tc>
          <w:tcPr>
            <w:tcW w:w="4880" w:type="dxa"/>
            <w:vAlign w:val="bottom"/>
          </w:tcPr>
          <w:p>
            <w:pPr>
              <w:spacing w:after="0"/>
              <w:rPr>
                <w:sz w:val="16"/>
                <w:szCs w:val="16"/>
                <w:color w:val="auto"/>
              </w:rPr>
            </w:pPr>
          </w:p>
        </w:tc>
        <w:tc>
          <w:tcPr>
            <w:tcW w:w="11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FIXED ASSETS</w:t>
            </w: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79"/>
        </w:trPr>
        <w:tc>
          <w:tcPr>
            <w:tcW w:w="4880" w:type="dxa"/>
            <w:vAlign w:val="bottom"/>
          </w:tcPr>
          <w:p>
            <w:pPr>
              <w:spacing w:after="0"/>
              <w:rPr>
                <w:sz w:val="20"/>
                <w:szCs w:val="20"/>
                <w:color w:val="auto"/>
              </w:rPr>
            </w:pPr>
            <w:r>
              <w:rPr>
                <w:rFonts w:ascii="Courier New" w:cs="Courier New" w:eastAsia="Courier New" w:hAnsi="Courier New"/>
                <w:sz w:val="16"/>
                <w:szCs w:val="16"/>
                <w:color w:val="auto"/>
              </w:rPr>
              <w:t>Land, landfill sites and improvements</w:t>
            </w:r>
          </w:p>
        </w:tc>
        <w:tc>
          <w:tcPr>
            <w:tcW w:w="11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73,412</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72,042</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Buildings</w:t>
            </w:r>
          </w:p>
        </w:tc>
        <w:tc>
          <w:tcPr>
            <w:tcW w:w="11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29,911</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27,897</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Vehicles and other</w:t>
            </w:r>
          </w:p>
        </w:tc>
        <w:tc>
          <w:tcPr>
            <w:tcW w:w="11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239,478</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229,665</w:t>
            </w:r>
          </w:p>
        </w:tc>
      </w:tr>
      <w:tr>
        <w:trPr>
          <w:trHeight w:val="190"/>
        </w:trPr>
        <w:tc>
          <w:tcPr>
            <w:tcW w:w="4880" w:type="dxa"/>
            <w:vAlign w:val="bottom"/>
          </w:tcPr>
          <w:p>
            <w:pPr>
              <w:spacing w:after="0"/>
              <w:rPr>
                <w:sz w:val="16"/>
                <w:szCs w:val="16"/>
                <w:color w:val="auto"/>
              </w:rPr>
            </w:pPr>
          </w:p>
        </w:tc>
        <w:tc>
          <w:tcPr>
            <w:tcW w:w="11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880" w:type="dxa"/>
            <w:vAlign w:val="bottom"/>
          </w:tcPr>
          <w:p>
            <w:pPr>
              <w:spacing w:after="0"/>
              <w:rPr>
                <w:sz w:val="16"/>
                <w:szCs w:val="16"/>
                <w:color w:val="auto"/>
              </w:rPr>
            </w:pPr>
          </w:p>
        </w:tc>
        <w:tc>
          <w:tcPr>
            <w:tcW w:w="11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342,801</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329,604</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11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(170,794)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(164,594)</w:t>
            </w:r>
          </w:p>
        </w:tc>
      </w:tr>
      <w:tr>
        <w:trPr>
          <w:trHeight w:val="190"/>
        </w:trPr>
        <w:tc>
          <w:tcPr>
            <w:tcW w:w="4880" w:type="dxa"/>
            <w:vAlign w:val="bottom"/>
          </w:tcPr>
          <w:p>
            <w:pPr>
              <w:spacing w:after="0"/>
              <w:rPr>
                <w:sz w:val="16"/>
                <w:szCs w:val="16"/>
                <w:color w:val="auto"/>
              </w:rPr>
            </w:pPr>
          </w:p>
        </w:tc>
        <w:tc>
          <w:tcPr>
            <w:tcW w:w="11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880" w:type="dxa"/>
            <w:vAlign w:val="bottom"/>
          </w:tcPr>
          <w:p>
            <w:pPr>
              <w:spacing w:after="0"/>
              <w:rPr>
                <w:sz w:val="16"/>
                <w:szCs w:val="16"/>
                <w:color w:val="auto"/>
              </w:rPr>
            </w:pPr>
          </w:p>
        </w:tc>
        <w:tc>
          <w:tcPr>
            <w:tcW w:w="11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172,007</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165,010</w:t>
            </w:r>
          </w:p>
        </w:tc>
      </w:tr>
      <w:tr>
        <w:trPr>
          <w:trHeight w:val="190"/>
        </w:trPr>
        <w:tc>
          <w:tcPr>
            <w:tcW w:w="4880" w:type="dxa"/>
            <w:vAlign w:val="bottom"/>
          </w:tcPr>
          <w:p>
            <w:pPr>
              <w:spacing w:after="0"/>
              <w:rPr>
                <w:sz w:val="16"/>
                <w:szCs w:val="16"/>
                <w:color w:val="auto"/>
              </w:rPr>
            </w:pPr>
          </w:p>
        </w:tc>
        <w:tc>
          <w:tcPr>
            <w:tcW w:w="11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79"/>
        </w:trPr>
        <w:tc>
          <w:tcPr>
            <w:tcW w:w="4880" w:type="dxa"/>
            <w:vAlign w:val="bottom"/>
          </w:tcPr>
          <w:p>
            <w:pPr>
              <w:spacing w:after="0"/>
              <w:rPr>
                <w:sz w:val="20"/>
                <w:szCs w:val="20"/>
                <w:color w:val="auto"/>
              </w:rPr>
            </w:pPr>
            <w:r>
              <w:rPr>
                <w:rFonts w:ascii="Courier New" w:cs="Courier New" w:eastAsia="Courier New" w:hAnsi="Courier New"/>
                <w:sz w:val="16"/>
                <w:szCs w:val="16"/>
                <w:color w:val="auto"/>
              </w:rPr>
              <w:t>Goodwill (net of accumulated amortization</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0"/>
        </w:trPr>
        <w:tc>
          <w:tcPr>
            <w:tcW w:w="4880" w:type="dxa"/>
            <w:vAlign w:val="bottom"/>
          </w:tcPr>
          <w:p>
            <w:pPr>
              <w:ind w:left="400"/>
              <w:spacing w:after="0"/>
              <w:rPr>
                <w:sz w:val="20"/>
                <w:szCs w:val="20"/>
                <w:color w:val="auto"/>
              </w:rPr>
            </w:pPr>
            <w:r>
              <w:rPr>
                <w:rFonts w:ascii="Courier New" w:cs="Courier New" w:eastAsia="Courier New" w:hAnsi="Courier New"/>
                <w:sz w:val="16"/>
                <w:szCs w:val="16"/>
                <w:color w:val="auto"/>
              </w:rPr>
              <w:t>of $18,401; August 31, 1996 - $17,363)</w:t>
            </w:r>
          </w:p>
        </w:tc>
        <w:tc>
          <w:tcPr>
            <w:tcW w:w="11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116,566</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113,490</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Deferred charges</w:t>
            </w:r>
          </w:p>
        </w:tc>
        <w:tc>
          <w:tcPr>
            <w:tcW w:w="11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11,399</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11,351</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1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1,388</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1,482</w:t>
            </w:r>
          </w:p>
        </w:tc>
      </w:tr>
      <w:tr>
        <w:trPr>
          <w:trHeight w:val="190"/>
        </w:trPr>
        <w:tc>
          <w:tcPr>
            <w:tcW w:w="4880" w:type="dxa"/>
            <w:vAlign w:val="bottom"/>
          </w:tcPr>
          <w:p>
            <w:pPr>
              <w:spacing w:after="0"/>
              <w:rPr>
                <w:sz w:val="16"/>
                <w:szCs w:val="16"/>
                <w:color w:val="auto"/>
              </w:rPr>
            </w:pPr>
          </w:p>
        </w:tc>
        <w:tc>
          <w:tcPr>
            <w:tcW w:w="11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880" w:type="dxa"/>
            <w:vAlign w:val="bottom"/>
          </w:tcPr>
          <w:p>
            <w:pPr>
              <w:spacing w:after="0"/>
              <w:rPr>
                <w:sz w:val="16"/>
                <w:szCs w:val="16"/>
                <w:color w:val="auto"/>
              </w:rPr>
            </w:pPr>
          </w:p>
        </w:tc>
        <w:tc>
          <w:tcPr>
            <w:tcW w:w="11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129,353</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126,323</w:t>
            </w:r>
          </w:p>
        </w:tc>
      </w:tr>
      <w:tr>
        <w:trPr>
          <w:trHeight w:val="190"/>
        </w:trPr>
        <w:tc>
          <w:tcPr>
            <w:tcW w:w="4880" w:type="dxa"/>
            <w:vAlign w:val="bottom"/>
          </w:tcPr>
          <w:p>
            <w:pPr>
              <w:spacing w:after="0"/>
              <w:rPr>
                <w:sz w:val="16"/>
                <w:szCs w:val="16"/>
                <w:color w:val="auto"/>
              </w:rPr>
            </w:pPr>
          </w:p>
        </w:tc>
        <w:tc>
          <w:tcPr>
            <w:tcW w:w="11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880" w:type="dxa"/>
            <w:vAlign w:val="bottom"/>
          </w:tcPr>
          <w:p>
            <w:pPr>
              <w:spacing w:after="0"/>
              <w:rPr>
                <w:sz w:val="16"/>
                <w:szCs w:val="16"/>
                <w:color w:val="auto"/>
              </w:rPr>
            </w:pPr>
          </w:p>
        </w:tc>
        <w:tc>
          <w:tcPr>
            <w:tcW w:w="11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401,306</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391,663</w:t>
            </w:r>
          </w:p>
        </w:tc>
      </w:tr>
      <w:tr>
        <w:trPr>
          <w:trHeight w:val="190"/>
        </w:trPr>
        <w:tc>
          <w:tcPr>
            <w:tcW w:w="4880" w:type="dxa"/>
            <w:vAlign w:val="bottom"/>
          </w:tcPr>
          <w:p>
            <w:pPr>
              <w:spacing w:after="0"/>
              <w:rPr>
                <w:sz w:val="16"/>
                <w:szCs w:val="16"/>
                <w:color w:val="auto"/>
              </w:rPr>
            </w:pPr>
          </w:p>
        </w:tc>
        <w:tc>
          <w:tcPr>
            <w:tcW w:w="11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306"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LAIDLAW SOLID WASTE MANAGEMENT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 - CANADIAN OPERATIONS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COMBINED BALANCE SHEETS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$000's)</w:t>
      </w:r>
    </w:p>
    <w:p>
      <w:pPr>
        <w:spacing w:after="0" w:line="388" w:lineRule="exact"/>
        <w:rPr>
          <w:sz w:val="20"/>
          <w:szCs w:val="20"/>
          <w:color w:val="auto"/>
        </w:rPr>
      </w:pPr>
    </w:p>
    <w:p>
      <w:pPr>
        <w:ind w:left="200" w:hanging="199"/>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(Unaudited)</w:t>
      </w:r>
    </w:p>
    <w:p>
      <w:pPr>
        <w:spacing w:after="0" w:line="8" w:lineRule="exact"/>
        <w:rPr>
          <w:sz w:val="20"/>
          <w:szCs w:val="20"/>
          <w:color w:val="auto"/>
        </w:rPr>
      </w:pPr>
    </w:p>
    <w:tbl>
      <w:tblPr>
        <w:tblLayout w:type="fixed"/>
        <w:tblInd w:w="4140" w:type="dxa"/>
        <w:tblCellMar>
          <w:top w:w="0" w:type="dxa"/>
          <w:left w:w="0" w:type="dxa"/>
          <w:bottom w:w="0" w:type="dxa"/>
          <w:right w:w="0" w:type="dxa"/>
        </w:tblCellMar>
      </w:tblPr>
      <w:tr>
        <w:trPr>
          <w:trHeight w:val="185"/>
        </w:trPr>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November 30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August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90"/>
        </w:trPr>
        <w:tc>
          <w:tcPr>
            <w:tcW w:w="12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1996</w:t>
            </w:r>
          </w:p>
        </w:tc>
        <w:tc>
          <w:tcPr>
            <w:tcW w:w="102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1996</w:t>
            </w:r>
          </w:p>
        </w:tc>
      </w:tr>
      <w:tr>
        <w:trPr>
          <w:trHeight w:val="190"/>
        </w:trPr>
        <w:tc>
          <w:tcPr>
            <w:tcW w:w="12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r>
    </w:tbl>
    <w:p>
      <w:pPr>
        <w:spacing w:after="0" w:line="5" w:lineRule="exact"/>
        <w:rPr>
          <w:sz w:val="20"/>
          <w:szCs w:val="20"/>
          <w:color w:val="auto"/>
        </w:rPr>
      </w:pPr>
    </w:p>
    <w:p>
      <w:pPr>
        <w:ind w:left="200" w:hanging="199"/>
        <w:spacing w:after="0"/>
        <w:tabs>
          <w:tab w:leader="none" w:pos="2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w:t>
      </w:r>
    </w:p>
    <w:p>
      <w:pPr>
        <w:spacing w:after="0" w:line="197"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CURRENT LIABILITIES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Accounts payable</w:t>
            </w: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28,425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29,237</w:t>
            </w:r>
          </w:p>
        </w:tc>
      </w:tr>
      <w:tr>
        <w:trPr>
          <w:trHeight w:val="190"/>
        </w:trPr>
        <w:tc>
          <w:tcPr>
            <w:tcW w:w="4280" w:type="dxa"/>
            <w:vAlign w:val="bottom"/>
          </w:tcPr>
          <w:p>
            <w:pPr>
              <w:spacing w:after="0"/>
              <w:rPr>
                <w:sz w:val="20"/>
                <w:szCs w:val="20"/>
                <w:color w:val="auto"/>
              </w:rPr>
            </w:pPr>
            <w:r>
              <w:rPr>
                <w:rFonts w:ascii="Courier New" w:cs="Courier New" w:eastAsia="Courier New" w:hAnsi="Courier New"/>
                <w:sz w:val="16"/>
                <w:szCs w:val="16"/>
                <w:color w:val="auto"/>
              </w:rPr>
              <w:t>Accrued liabilities</w:t>
            </w: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9,727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9,324</w:t>
            </w:r>
          </w:p>
        </w:tc>
      </w:tr>
      <w:tr>
        <w:trPr>
          <w:trHeight w:val="190"/>
        </w:trPr>
        <w:tc>
          <w:tcPr>
            <w:tcW w:w="4280" w:type="dxa"/>
            <w:vAlign w:val="bottom"/>
          </w:tcPr>
          <w:p>
            <w:pPr>
              <w:spacing w:after="0"/>
              <w:rPr>
                <w:sz w:val="20"/>
                <w:szCs w:val="20"/>
                <w:color w:val="auto"/>
              </w:rPr>
            </w:pPr>
            <w:r>
              <w:rPr>
                <w:rFonts w:ascii="Courier New" w:cs="Courier New" w:eastAsia="Courier New" w:hAnsi="Courier New"/>
                <w:sz w:val="16"/>
                <w:szCs w:val="16"/>
                <w:color w:val="auto"/>
              </w:rPr>
              <w:t>Current portion of long-term debt (Note 3)</w:t>
            </w: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77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243</w:t>
            </w:r>
          </w:p>
        </w:tc>
      </w:tr>
      <w:tr>
        <w:trPr>
          <w:trHeight w:val="190"/>
        </w:trPr>
        <w:tc>
          <w:tcPr>
            <w:tcW w:w="4280" w:type="dxa"/>
            <w:vAlign w:val="bottom"/>
          </w:tcPr>
          <w:p>
            <w:pPr>
              <w:spacing w:after="0"/>
              <w:rPr>
                <w:sz w:val="16"/>
                <w:szCs w:val="16"/>
                <w:color w:val="auto"/>
              </w:rPr>
            </w:pP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280" w:type="dxa"/>
            <w:vAlign w:val="bottom"/>
          </w:tcPr>
          <w:p>
            <w:pPr>
              <w:spacing w:after="0"/>
              <w:rPr>
                <w:sz w:val="16"/>
                <w:szCs w:val="16"/>
                <w:color w:val="auto"/>
              </w:rPr>
            </w:pP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38,229</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38,804</w:t>
            </w:r>
          </w:p>
        </w:tc>
      </w:tr>
      <w:tr>
        <w:trPr>
          <w:trHeight w:val="190"/>
        </w:trPr>
        <w:tc>
          <w:tcPr>
            <w:tcW w:w="4280" w:type="dxa"/>
            <w:vAlign w:val="bottom"/>
          </w:tcPr>
          <w:p>
            <w:pPr>
              <w:spacing w:after="0"/>
              <w:rPr>
                <w:sz w:val="20"/>
                <w:szCs w:val="20"/>
                <w:color w:val="auto"/>
              </w:rPr>
            </w:pPr>
            <w:r>
              <w:rPr>
                <w:rFonts w:ascii="Courier New" w:cs="Courier New" w:eastAsia="Courier New" w:hAnsi="Courier New"/>
                <w:sz w:val="16"/>
                <w:szCs w:val="16"/>
                <w:color w:val="auto"/>
              </w:rPr>
              <w:t>LONG-TERM DEBT (Note 3)</w:t>
            </w: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142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264</w:t>
            </w:r>
          </w:p>
        </w:tc>
      </w:tr>
      <w:tr>
        <w:trPr>
          <w:trHeight w:val="379"/>
        </w:trPr>
        <w:tc>
          <w:tcPr>
            <w:tcW w:w="4280" w:type="dxa"/>
            <w:vAlign w:val="bottom"/>
          </w:tcPr>
          <w:p>
            <w:pPr>
              <w:spacing w:after="0"/>
              <w:rPr>
                <w:sz w:val="20"/>
                <w:szCs w:val="20"/>
                <w:color w:val="auto"/>
              </w:rPr>
            </w:pPr>
            <w:r>
              <w:rPr>
                <w:rFonts w:ascii="Courier New" w:cs="Courier New" w:eastAsia="Courier New" w:hAnsi="Courier New"/>
                <w:sz w:val="16"/>
                <w:szCs w:val="16"/>
                <w:color w:val="auto"/>
              </w:rPr>
              <w:t>DEFERRED INCOME TAXES (Note 8)</w:t>
            </w: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21,235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21,130</w:t>
            </w:r>
          </w:p>
        </w:tc>
      </w:tr>
      <w:tr>
        <w:trPr>
          <w:trHeight w:val="379"/>
        </w:trPr>
        <w:tc>
          <w:tcPr>
            <w:tcW w:w="4280" w:type="dxa"/>
            <w:vAlign w:val="bottom"/>
          </w:tcPr>
          <w:p>
            <w:pPr>
              <w:spacing w:after="0"/>
              <w:rPr>
                <w:sz w:val="20"/>
                <w:szCs w:val="20"/>
                <w:color w:val="auto"/>
              </w:rPr>
            </w:pPr>
            <w:r>
              <w:rPr>
                <w:rFonts w:ascii="Courier New" w:cs="Courier New" w:eastAsia="Courier New" w:hAnsi="Courier New"/>
                <w:sz w:val="16"/>
                <w:szCs w:val="16"/>
                <w:color w:val="auto"/>
              </w:rPr>
              <w:t>ENVIRONMENTAL AND OTHER LONG-TERM</w:t>
            </w: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0"/>
        </w:trPr>
        <w:tc>
          <w:tcPr>
            <w:tcW w:w="4280" w:type="dxa"/>
            <w:vAlign w:val="bottom"/>
          </w:tcPr>
          <w:p>
            <w:pPr>
              <w:ind w:left="400"/>
              <w:spacing w:after="0"/>
              <w:rPr>
                <w:sz w:val="20"/>
                <w:szCs w:val="20"/>
                <w:color w:val="auto"/>
              </w:rPr>
            </w:pPr>
            <w:r>
              <w:rPr>
                <w:rFonts w:ascii="Courier New" w:cs="Courier New" w:eastAsia="Courier New" w:hAnsi="Courier New"/>
                <w:sz w:val="16"/>
                <w:szCs w:val="16"/>
                <w:color w:val="auto"/>
              </w:rPr>
              <w:t>LIABILITIES (Note 4)</w:t>
            </w: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8,497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8,360</w:t>
            </w:r>
          </w:p>
        </w:tc>
      </w:tr>
      <w:tr>
        <w:trPr>
          <w:trHeight w:val="190"/>
        </w:trPr>
        <w:tc>
          <w:tcPr>
            <w:tcW w:w="4280" w:type="dxa"/>
            <w:vAlign w:val="bottom"/>
          </w:tcPr>
          <w:p>
            <w:pPr>
              <w:spacing w:after="0"/>
              <w:rPr>
                <w:sz w:val="16"/>
                <w:szCs w:val="16"/>
                <w:color w:val="auto"/>
              </w:rPr>
            </w:pP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280" w:type="dxa"/>
            <w:vAlign w:val="bottom"/>
          </w:tcPr>
          <w:p>
            <w:pPr>
              <w:spacing w:after="0"/>
              <w:rPr>
                <w:sz w:val="16"/>
                <w:szCs w:val="16"/>
                <w:color w:val="auto"/>
              </w:rPr>
            </w:pP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68,103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68,558</w:t>
            </w:r>
          </w:p>
        </w:tc>
      </w:tr>
      <w:tr>
        <w:trPr>
          <w:trHeight w:val="190"/>
        </w:trPr>
        <w:tc>
          <w:tcPr>
            <w:tcW w:w="4280" w:type="dxa"/>
            <w:vAlign w:val="bottom"/>
          </w:tcPr>
          <w:p>
            <w:pPr>
              <w:spacing w:after="0"/>
              <w:rPr>
                <w:sz w:val="16"/>
                <w:szCs w:val="16"/>
                <w:color w:val="auto"/>
              </w:rPr>
            </w:pP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28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 (Note 5)</w:t>
            </w:r>
          </w:p>
        </w:tc>
        <w:tc>
          <w:tcPr>
            <w:tcW w:w="1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79"/>
        </w:trPr>
        <w:tc>
          <w:tcPr>
            <w:tcW w:w="4280" w:type="dxa"/>
            <w:vAlign w:val="bottom"/>
          </w:tcPr>
          <w:p>
            <w:pPr>
              <w:spacing w:after="0"/>
              <w:rPr>
                <w:sz w:val="20"/>
                <w:szCs w:val="20"/>
                <w:color w:val="auto"/>
              </w:rPr>
            </w:pPr>
            <w:r>
              <w:rPr>
                <w:rFonts w:ascii="Courier New" w:cs="Courier New" w:eastAsia="Courier New" w:hAnsi="Courier New"/>
                <w:sz w:val="16"/>
                <w:szCs w:val="16"/>
                <w:color w:val="auto"/>
              </w:rPr>
              <w:t>NET INVESTMENT BY LAIDLAW INC.</w:t>
            </w: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333,203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323,105</w:t>
            </w:r>
          </w:p>
        </w:tc>
      </w:tr>
      <w:tr>
        <w:trPr>
          <w:trHeight w:val="190"/>
        </w:trPr>
        <w:tc>
          <w:tcPr>
            <w:tcW w:w="4280" w:type="dxa"/>
            <w:vAlign w:val="bottom"/>
          </w:tcPr>
          <w:p>
            <w:pPr>
              <w:spacing w:after="0"/>
              <w:rPr>
                <w:sz w:val="16"/>
                <w:szCs w:val="16"/>
                <w:color w:val="auto"/>
              </w:rPr>
            </w:pP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280" w:type="dxa"/>
            <w:vAlign w:val="bottom"/>
          </w:tcPr>
          <w:p>
            <w:pPr>
              <w:spacing w:after="0"/>
              <w:rPr>
                <w:sz w:val="16"/>
                <w:szCs w:val="16"/>
                <w:color w:val="auto"/>
              </w:rPr>
            </w:pP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401,306</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391,663</w:t>
            </w:r>
          </w:p>
        </w:tc>
      </w:tr>
      <w:tr>
        <w:trPr>
          <w:trHeight w:val="190"/>
        </w:trPr>
        <w:tc>
          <w:tcPr>
            <w:tcW w:w="4280" w:type="dxa"/>
            <w:vAlign w:val="bottom"/>
          </w:tcPr>
          <w:p>
            <w:pPr>
              <w:spacing w:after="0"/>
              <w:rPr>
                <w:sz w:val="16"/>
                <w:szCs w:val="16"/>
                <w:color w:val="auto"/>
              </w:rPr>
            </w:pPr>
          </w:p>
        </w:tc>
        <w:tc>
          <w:tcPr>
            <w:tcW w:w="1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306"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LAIDLAW SOLID WASTE MANAGEMENT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 - CANADIAN OPERATIONS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COMBINED STATEMENTS OF OPERATIONS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$000's)</w:t>
      </w:r>
    </w:p>
    <w:p>
      <w:pPr>
        <w:spacing w:after="0" w:line="388" w:lineRule="exact"/>
        <w:rPr>
          <w:sz w:val="20"/>
          <w:szCs w:val="20"/>
          <w:color w:val="auto"/>
        </w:rPr>
      </w:pPr>
    </w:p>
    <w:p>
      <w:pPr>
        <w:ind w:left="200" w:hanging="199"/>
        <w:spacing w:after="0"/>
        <w:tabs>
          <w:tab w:leader="none" w:pos="2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5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(Unaudited)</w:t>
      </w:r>
    </w:p>
    <w:p>
      <w:pPr>
        <w:spacing w:after="0" w:line="8" w:lineRule="exact"/>
        <w:rPr>
          <w:rFonts w:ascii="Courier New" w:cs="Courier New" w:eastAsia="Courier New" w:hAnsi="Courier New"/>
          <w:sz w:val="16"/>
          <w:szCs w:val="16"/>
          <w:color w:val="auto"/>
        </w:rPr>
      </w:pPr>
    </w:p>
    <w:p>
      <w:pPr>
        <w:ind w:left="5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 the</w:t>
      </w:r>
    </w:p>
    <w:p>
      <w:pPr>
        <w:spacing w:after="0" w:line="8" w:lineRule="exact"/>
        <w:rPr>
          <w:sz w:val="20"/>
          <w:szCs w:val="20"/>
          <w:color w:val="auto"/>
        </w:rPr>
      </w:pPr>
    </w:p>
    <w:p>
      <w:pPr>
        <w:ind w:left="5220"/>
        <w:spacing w:after="0"/>
        <w:tabs>
          <w:tab w:leader="none" w:pos="6780" w:val="left"/>
        </w:tabs>
        <w:rPr>
          <w:sz w:val="20"/>
          <w:szCs w:val="20"/>
          <w:color w:val="auto"/>
        </w:rPr>
      </w:pPr>
      <w:r>
        <w:rPr>
          <w:rFonts w:ascii="Courier New" w:cs="Courier New" w:eastAsia="Courier New" w:hAnsi="Courier New"/>
          <w:sz w:val="16"/>
          <w:szCs w:val="16"/>
          <w:color w:val="auto"/>
        </w:rPr>
        <w:t>Three Months</w:t>
      </w:r>
      <w:r>
        <w:rPr>
          <w:sz w:val="20"/>
          <w:szCs w:val="20"/>
          <w:color w:val="auto"/>
        </w:rPr>
        <w:tab/>
      </w:r>
      <w:r>
        <w:rPr>
          <w:rFonts w:ascii="Courier New" w:cs="Courier New" w:eastAsia="Courier New" w:hAnsi="Courier New"/>
          <w:sz w:val="16"/>
          <w:szCs w:val="16"/>
          <w:color w:val="auto"/>
        </w:rPr>
        <w:t>For the</w:t>
      </w:r>
    </w:p>
    <w:p>
      <w:pPr>
        <w:spacing w:after="0" w:line="8" w:lineRule="exact"/>
        <w:rPr>
          <w:sz w:val="20"/>
          <w:szCs w:val="20"/>
          <w:color w:val="auto"/>
        </w:rPr>
      </w:pPr>
    </w:p>
    <w:p>
      <w:pPr>
        <w:ind w:left="5620"/>
        <w:spacing w:after="0"/>
        <w:tabs>
          <w:tab w:leader="none" w:pos="6680" w:val="left"/>
        </w:tabs>
        <w:rPr>
          <w:sz w:val="20"/>
          <w:szCs w:val="20"/>
          <w:color w:val="auto"/>
        </w:rPr>
      </w:pPr>
      <w:r>
        <w:rPr>
          <w:rFonts w:ascii="Courier New" w:cs="Courier New" w:eastAsia="Courier New" w:hAnsi="Courier New"/>
          <w:sz w:val="16"/>
          <w:szCs w:val="16"/>
          <w:color w:val="auto"/>
        </w:rPr>
        <w:t>Ended</w:t>
      </w:r>
      <w:r>
        <w:rPr>
          <w:sz w:val="20"/>
          <w:szCs w:val="20"/>
          <w:color w:val="auto"/>
        </w:rPr>
        <w:tab/>
      </w:r>
      <w:r>
        <w:rPr>
          <w:rFonts w:ascii="Courier New" w:cs="Courier New" w:eastAsia="Courier New" w:hAnsi="Courier New"/>
          <w:sz w:val="16"/>
          <w:szCs w:val="16"/>
          <w:color w:val="auto"/>
        </w:rPr>
        <w:t>Year Ended</w:t>
      </w:r>
    </w:p>
    <w:p>
      <w:pPr>
        <w:spacing w:after="0" w:line="8" w:lineRule="exact"/>
        <w:rPr>
          <w:sz w:val="20"/>
          <w:szCs w:val="20"/>
          <w:color w:val="auto"/>
        </w:rPr>
      </w:pPr>
    </w:p>
    <w:p>
      <w:pPr>
        <w:ind w:left="5320"/>
        <w:spacing w:after="0"/>
        <w:tabs>
          <w:tab w:leader="none" w:pos="6680" w:val="left"/>
        </w:tabs>
        <w:rPr>
          <w:sz w:val="20"/>
          <w:szCs w:val="20"/>
          <w:color w:val="auto"/>
        </w:rPr>
      </w:pPr>
      <w:r>
        <w:rPr>
          <w:rFonts w:ascii="Courier New" w:cs="Courier New" w:eastAsia="Courier New" w:hAnsi="Courier New"/>
          <w:sz w:val="16"/>
          <w:szCs w:val="16"/>
          <w:color w:val="auto"/>
        </w:rPr>
        <w:t>November 30</w:t>
      </w:r>
      <w:r>
        <w:rPr>
          <w:sz w:val="20"/>
          <w:szCs w:val="20"/>
          <w:color w:val="auto"/>
        </w:rPr>
        <w:tab/>
      </w:r>
      <w:r>
        <w:rPr>
          <w:rFonts w:ascii="Courier New" w:cs="Courier New" w:eastAsia="Courier New" w:hAnsi="Courier New"/>
          <w:sz w:val="16"/>
          <w:szCs w:val="16"/>
          <w:color w:val="auto"/>
        </w:rPr>
        <w:t>August 31</w:t>
      </w:r>
    </w:p>
    <w:p>
      <w:pPr>
        <w:spacing w:after="0" w:line="8" w:lineRule="exact"/>
        <w:rPr>
          <w:sz w:val="20"/>
          <w:szCs w:val="20"/>
          <w:color w:val="auto"/>
        </w:rPr>
      </w:pPr>
    </w:p>
    <w:p>
      <w:pPr>
        <w:ind w:left="5620"/>
        <w:spacing w:after="0"/>
        <w:tabs>
          <w:tab w:leader="none" w:pos="6880" w:val="left"/>
        </w:tabs>
        <w:rPr>
          <w:sz w:val="20"/>
          <w:szCs w:val="20"/>
          <w:color w:val="auto"/>
        </w:rPr>
      </w:pP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6"/>
          <w:szCs w:val="16"/>
          <w:color w:val="auto"/>
        </w:rPr>
        <w:t>1996</w:t>
      </w:r>
    </w:p>
    <w:p>
      <w:pPr>
        <w:spacing w:after="0" w:line="8" w:lineRule="exact"/>
        <w:rPr>
          <w:sz w:val="20"/>
          <w:szCs w:val="20"/>
          <w:color w:val="auto"/>
        </w:rPr>
      </w:pPr>
    </w:p>
    <w:p>
      <w:pPr>
        <w:ind w:left="5720"/>
        <w:spacing w:after="0"/>
        <w:tabs>
          <w:tab w:leader="none" w:pos="70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71,549</w:t>
            </w: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262,179</w:t>
            </w:r>
          </w:p>
        </w:tc>
      </w:tr>
      <w:tr>
        <w:trPr>
          <w:trHeight w:val="190"/>
        </w:trPr>
        <w:tc>
          <w:tcPr>
            <w:tcW w:w="5380" w:type="dxa"/>
            <w:vAlign w:val="bottom"/>
          </w:tcPr>
          <w:p>
            <w:pPr>
              <w:spacing w:after="0"/>
              <w:rPr>
                <w:sz w:val="16"/>
                <w:szCs w:val="16"/>
                <w:color w:val="auto"/>
              </w:rPr>
            </w:pP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380" w:type="dxa"/>
            <w:vAlign w:val="bottom"/>
          </w:tcPr>
          <w:p>
            <w:pPr>
              <w:spacing w:after="0"/>
              <w:rPr>
                <w:sz w:val="20"/>
                <w:szCs w:val="20"/>
                <w:color w:val="auto"/>
              </w:rPr>
            </w:pPr>
            <w:r>
              <w:rPr>
                <w:rFonts w:ascii="Courier New" w:cs="Courier New" w:eastAsia="Courier New" w:hAnsi="Courier New"/>
                <w:sz w:val="16"/>
                <w:szCs w:val="16"/>
                <w:color w:val="auto"/>
              </w:rPr>
              <w:t>Operating expenses (Note 6)</w:t>
            </w: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51,648</w:t>
            </w: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188,759</w:t>
            </w:r>
          </w:p>
        </w:tc>
      </w:tr>
      <w:tr>
        <w:trPr>
          <w:trHeight w:val="190"/>
        </w:trPr>
        <w:tc>
          <w:tcPr>
            <w:tcW w:w="538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 expenses (Note 6)</w:t>
            </w: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5,098</w:t>
            </w: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19,175</w:t>
            </w:r>
          </w:p>
        </w:tc>
      </w:tr>
      <w:tr>
        <w:trPr>
          <w:trHeight w:val="190"/>
        </w:trPr>
        <w:tc>
          <w:tcPr>
            <w:tcW w:w="538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7,413</w:t>
            </w: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30,121</w:t>
            </w:r>
          </w:p>
        </w:tc>
      </w:tr>
      <w:tr>
        <w:trPr>
          <w:trHeight w:val="190"/>
        </w:trPr>
        <w:tc>
          <w:tcPr>
            <w:tcW w:w="5380" w:type="dxa"/>
            <w:vAlign w:val="bottom"/>
          </w:tcPr>
          <w:p>
            <w:pPr>
              <w:spacing w:after="0"/>
              <w:rPr>
                <w:sz w:val="16"/>
                <w:szCs w:val="16"/>
                <w:color w:val="auto"/>
              </w:rPr>
            </w:pP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38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7,390</w:t>
            </w: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24,124</w:t>
            </w:r>
          </w:p>
        </w:tc>
      </w:tr>
      <w:tr>
        <w:trPr>
          <w:trHeight w:val="190"/>
        </w:trPr>
        <w:tc>
          <w:tcPr>
            <w:tcW w:w="5380" w:type="dxa"/>
            <w:vAlign w:val="bottom"/>
          </w:tcPr>
          <w:p>
            <w:pPr>
              <w:spacing w:after="0"/>
              <w:rPr>
                <w:sz w:val="16"/>
                <w:szCs w:val="16"/>
                <w:color w:val="auto"/>
              </w:rPr>
            </w:pP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380" w:type="dxa"/>
            <w:vAlign w:val="bottom"/>
          </w:tcPr>
          <w:p>
            <w:pPr>
              <w:spacing w:after="0"/>
              <w:rPr>
                <w:sz w:val="20"/>
                <w:szCs w:val="20"/>
                <w:color w:val="auto"/>
              </w:rPr>
            </w:pPr>
            <w:r>
              <w:rPr>
                <w:rFonts w:ascii="Courier New" w:cs="Courier New" w:eastAsia="Courier New" w:hAnsi="Courier New"/>
                <w:sz w:val="16"/>
                <w:szCs w:val="16"/>
                <w:color w:val="auto"/>
              </w:rPr>
              <w:t>Allocated interest expense (Note 1)</w:t>
            </w: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2,680</w:t>
            </w: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11,244</w:t>
            </w:r>
          </w:p>
        </w:tc>
      </w:tr>
      <w:tr>
        <w:trPr>
          <w:trHeight w:val="190"/>
        </w:trPr>
        <w:tc>
          <w:tcPr>
            <w:tcW w:w="5380" w:type="dxa"/>
            <w:vAlign w:val="bottom"/>
          </w:tcPr>
          <w:p>
            <w:pPr>
              <w:spacing w:after="0"/>
              <w:rPr>
                <w:sz w:val="20"/>
                <w:szCs w:val="20"/>
                <w:color w:val="auto"/>
              </w:rPr>
            </w:pPr>
            <w:r>
              <w:rPr>
                <w:rFonts w:ascii="Courier New" w:cs="Courier New" w:eastAsia="Courier New" w:hAnsi="Courier New"/>
                <w:sz w:val="16"/>
                <w:szCs w:val="16"/>
                <w:color w:val="auto"/>
              </w:rPr>
              <w:t>Interest portion of closure and post-closure costs</w:t>
            </w: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102</w:t>
            </w: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406</w:t>
            </w:r>
          </w:p>
        </w:tc>
      </w:tr>
      <w:tr>
        <w:trPr>
          <w:trHeight w:val="190"/>
        </w:trPr>
        <w:tc>
          <w:tcPr>
            <w:tcW w:w="5380" w:type="dxa"/>
            <w:vAlign w:val="bottom"/>
          </w:tcPr>
          <w:p>
            <w:pPr>
              <w:spacing w:after="0"/>
              <w:rPr>
                <w:sz w:val="20"/>
                <w:szCs w:val="20"/>
                <w:color w:val="auto"/>
              </w:rPr>
            </w:pPr>
            <w:r>
              <w:rPr>
                <w:rFonts w:ascii="Courier New" w:cs="Courier New" w:eastAsia="Courier New" w:hAnsi="Courier New"/>
                <w:sz w:val="16"/>
                <w:szCs w:val="16"/>
                <w:color w:val="auto"/>
              </w:rPr>
              <w:t>Interest on long-term debt and other interest</w:t>
            </w: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147</w:t>
            </w: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250</w:t>
            </w:r>
          </w:p>
        </w:tc>
      </w:tr>
      <w:tr>
        <w:trPr>
          <w:trHeight w:val="190"/>
        </w:trPr>
        <w:tc>
          <w:tcPr>
            <w:tcW w:w="5380" w:type="dxa"/>
            <w:vAlign w:val="bottom"/>
          </w:tcPr>
          <w:p>
            <w:pPr>
              <w:spacing w:after="0"/>
              <w:rPr>
                <w:sz w:val="20"/>
                <w:szCs w:val="20"/>
                <w:color w:val="auto"/>
              </w:rPr>
            </w:pPr>
            <w:r>
              <w:rPr>
                <w:rFonts w:ascii="Courier New" w:cs="Courier New" w:eastAsia="Courier New" w:hAnsi="Courier New"/>
                <w:sz w:val="16"/>
                <w:szCs w:val="16"/>
                <w:color w:val="auto"/>
              </w:rPr>
              <w:t>Interest, dividend and other income</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(344)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(1,139)</w:t>
            </w:r>
          </w:p>
        </w:tc>
      </w:tr>
      <w:tr>
        <w:trPr>
          <w:trHeight w:val="190"/>
        </w:trPr>
        <w:tc>
          <w:tcPr>
            <w:tcW w:w="5380" w:type="dxa"/>
            <w:vAlign w:val="bottom"/>
          </w:tcPr>
          <w:p>
            <w:pPr>
              <w:spacing w:after="0"/>
              <w:rPr>
                <w:sz w:val="16"/>
                <w:szCs w:val="16"/>
                <w:color w:val="auto"/>
              </w:rPr>
            </w:pP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38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4,805</w:t>
            </w: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13,363</w:t>
            </w:r>
          </w:p>
        </w:tc>
      </w:tr>
      <w:tr>
        <w:trPr>
          <w:trHeight w:val="379"/>
        </w:trPr>
        <w:tc>
          <w:tcPr>
            <w:tcW w:w="5380" w:type="dxa"/>
            <w:vAlign w:val="bottom"/>
          </w:tcPr>
          <w:p>
            <w:pPr>
              <w:spacing w:after="0"/>
              <w:rPr>
                <w:sz w:val="20"/>
                <w:szCs w:val="20"/>
                <w:color w:val="auto"/>
              </w:rPr>
            </w:pPr>
            <w:r>
              <w:rPr>
                <w:rFonts w:ascii="Courier New" w:cs="Courier New" w:eastAsia="Courier New" w:hAnsi="Courier New"/>
                <w:sz w:val="16"/>
                <w:szCs w:val="16"/>
                <w:color w:val="auto"/>
              </w:rPr>
              <w:t>DEFERRED INCOME TAX EXPENSE (Notes 1 and 8)</w:t>
            </w: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2,419</w:t>
            </w: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6,775</w:t>
            </w:r>
          </w:p>
        </w:tc>
      </w:tr>
      <w:tr>
        <w:trPr>
          <w:trHeight w:val="190"/>
        </w:trPr>
        <w:tc>
          <w:tcPr>
            <w:tcW w:w="5380" w:type="dxa"/>
            <w:vAlign w:val="bottom"/>
          </w:tcPr>
          <w:p>
            <w:pPr>
              <w:spacing w:after="0"/>
              <w:rPr>
                <w:sz w:val="16"/>
                <w:szCs w:val="16"/>
                <w:color w:val="auto"/>
              </w:rPr>
            </w:pP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3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2,386</w:t>
            </w: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6,588</w:t>
            </w:r>
          </w:p>
        </w:tc>
      </w:tr>
      <w:tr>
        <w:trPr>
          <w:trHeight w:val="190"/>
        </w:trPr>
        <w:tc>
          <w:tcPr>
            <w:tcW w:w="5380" w:type="dxa"/>
            <w:vAlign w:val="bottom"/>
          </w:tcPr>
          <w:p>
            <w:pPr>
              <w:spacing w:after="0"/>
              <w:rPr>
                <w:sz w:val="16"/>
                <w:szCs w:val="16"/>
                <w:color w:val="auto"/>
              </w:rPr>
            </w:pP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306"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6"/>
          <w:szCs w:val="16"/>
          <w:color w:val="auto"/>
        </w:rPr>
        <w:t>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LAIDLAW SOLID WASTE MANAGEMENT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 - CANADIAN OPERATIONS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COMBINED STATEMENTS OF CASH FLOWS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$000's)</w:t>
      </w:r>
    </w:p>
    <w:p>
      <w:pPr>
        <w:spacing w:after="0" w:line="8" w:lineRule="exact"/>
        <w:rPr>
          <w:sz w:val="20"/>
          <w:szCs w:val="20"/>
          <w:color w:val="auto"/>
        </w:rPr>
      </w:pPr>
    </w:p>
    <w:p>
      <w:pPr>
        <w:ind w:left="200" w:hanging="199"/>
        <w:spacing w:after="0"/>
        <w:tabs>
          <w:tab w:leader="none" w:pos="2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377"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5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(Unaudited)</w:t>
      </w:r>
    </w:p>
    <w:p>
      <w:pPr>
        <w:spacing w:after="0" w:line="8" w:lineRule="exact"/>
        <w:rPr>
          <w:rFonts w:ascii="Courier New" w:cs="Courier New" w:eastAsia="Courier New" w:hAnsi="Courier New"/>
          <w:sz w:val="16"/>
          <w:szCs w:val="16"/>
          <w:color w:val="auto"/>
        </w:rPr>
      </w:pPr>
    </w:p>
    <w:p>
      <w:pPr>
        <w:ind w:left="55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 the</w:t>
      </w:r>
    </w:p>
    <w:p>
      <w:pPr>
        <w:spacing w:after="0" w:line="8" w:lineRule="exact"/>
        <w:rPr>
          <w:sz w:val="20"/>
          <w:szCs w:val="20"/>
          <w:color w:val="auto"/>
        </w:rPr>
      </w:pPr>
    </w:p>
    <w:tbl>
      <w:tblPr>
        <w:tblLayout w:type="fixed"/>
        <w:tblInd w:w="5320" w:type="dxa"/>
        <w:tblCellMar>
          <w:top w:w="0" w:type="dxa"/>
          <w:left w:w="0" w:type="dxa"/>
          <w:bottom w:w="0" w:type="dxa"/>
          <w:right w:w="0" w:type="dxa"/>
        </w:tblCellMar>
      </w:tblPr>
      <w:tr>
        <w:trPr>
          <w:trHeight w:val="185"/>
        </w:trPr>
        <w:tc>
          <w:tcPr>
            <w:tcW w:w="128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Three Months</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For</w:t>
            </w:r>
          </w:p>
        </w:tc>
        <w:tc>
          <w:tcPr>
            <w:tcW w:w="56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r>
      <w:tr>
        <w:trPr>
          <w:trHeight w:val="190"/>
        </w:trPr>
        <w:tc>
          <w:tcPr>
            <w:tcW w:w="1280" w:type="dxa"/>
            <w:vAlign w:val="bottom"/>
          </w:tcPr>
          <w:p>
            <w:pPr>
              <w:jc w:val="center"/>
              <w:ind w:right="98"/>
              <w:spacing w:after="0"/>
              <w:rPr>
                <w:sz w:val="20"/>
                <w:szCs w:val="20"/>
                <w:color w:val="auto"/>
              </w:rPr>
            </w:pPr>
            <w:r>
              <w:rPr>
                <w:rFonts w:ascii="Courier New" w:cs="Courier New" w:eastAsia="Courier New" w:hAnsi="Courier New"/>
                <w:sz w:val="16"/>
                <w:szCs w:val="16"/>
                <w:color w:val="auto"/>
              </w:rPr>
              <w:t>Ended</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Year</w:t>
            </w:r>
          </w:p>
        </w:tc>
        <w:tc>
          <w:tcPr>
            <w:tcW w:w="560" w:type="dxa"/>
            <w:vAlign w:val="bottom"/>
          </w:tcPr>
          <w:p>
            <w:pPr>
              <w:ind w:left="60"/>
              <w:spacing w:after="0"/>
              <w:rPr>
                <w:sz w:val="20"/>
                <w:szCs w:val="20"/>
                <w:color w:val="auto"/>
              </w:rPr>
            </w:pPr>
            <w:r>
              <w:rPr>
                <w:rFonts w:ascii="Courier New" w:cs="Courier New" w:eastAsia="Courier New" w:hAnsi="Courier New"/>
                <w:sz w:val="16"/>
                <w:szCs w:val="16"/>
                <w:color w:val="auto"/>
                <w:w w:val="99"/>
              </w:rPr>
              <w:t>Ended</w:t>
            </w:r>
          </w:p>
        </w:tc>
      </w:tr>
      <w:tr>
        <w:trPr>
          <w:trHeight w:val="190"/>
        </w:trPr>
        <w:tc>
          <w:tcPr>
            <w:tcW w:w="1280" w:type="dxa"/>
            <w:vAlign w:val="bottom"/>
          </w:tcPr>
          <w:p>
            <w:pPr>
              <w:jc w:val="center"/>
              <w:ind w:right="118"/>
              <w:spacing w:after="0"/>
              <w:rPr>
                <w:sz w:val="20"/>
                <w:szCs w:val="20"/>
                <w:color w:val="auto"/>
              </w:rPr>
            </w:pPr>
            <w:r>
              <w:rPr>
                <w:rFonts w:ascii="Courier New" w:cs="Courier New" w:eastAsia="Courier New" w:hAnsi="Courier New"/>
                <w:sz w:val="16"/>
                <w:szCs w:val="16"/>
                <w:color w:val="auto"/>
              </w:rPr>
              <w:t>November 30</w:t>
            </w:r>
          </w:p>
        </w:tc>
        <w:tc>
          <w:tcPr>
            <w:tcW w:w="11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August 31</w:t>
            </w:r>
          </w:p>
        </w:tc>
      </w:tr>
      <w:tr>
        <w:trPr>
          <w:trHeight w:val="190"/>
        </w:trPr>
        <w:tc>
          <w:tcPr>
            <w:tcW w:w="12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1996</w:t>
            </w:r>
          </w:p>
        </w:tc>
        <w:tc>
          <w:tcPr>
            <w:tcW w:w="110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1996</w:t>
            </w:r>
          </w:p>
        </w:tc>
      </w:tr>
      <w:tr>
        <w:trPr>
          <w:trHeight w:val="190"/>
        </w:trPr>
        <w:tc>
          <w:tcPr>
            <w:tcW w:w="1280" w:type="dxa"/>
            <w:vAlign w:val="bottom"/>
          </w:tcPr>
          <w:p>
            <w:pPr>
              <w:jc w:val="center"/>
              <w:ind w:right="98"/>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6"/>
                <w:szCs w:val="16"/>
                <w:color w:val="auto"/>
              </w:rPr>
            </w:pPr>
          </w:p>
        </w:tc>
      </w:tr>
    </w:tbl>
    <w:p>
      <w:pPr>
        <w:spacing w:after="0" w:line="5" w:lineRule="exact"/>
        <w:rPr>
          <w:sz w:val="20"/>
          <w:szCs w:val="20"/>
          <w:color w:val="auto"/>
        </w:rPr>
      </w:pPr>
    </w:p>
    <w:p>
      <w:pPr>
        <w:ind w:left="200" w:hanging="199"/>
        <w:spacing w:after="0"/>
        <w:tabs>
          <w:tab w:leader="none" w:pos="2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NET CASH PROVIDED BY (USED IN):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2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9,829</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28,887</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11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(13,922)</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(65,871)</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14,191</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96,850</w:t>
            </w:r>
          </w:p>
        </w:tc>
      </w:tr>
      <w:tr>
        <w:trPr>
          <w:trHeight w:val="190"/>
        </w:trPr>
        <w:tc>
          <w:tcPr>
            <w:tcW w:w="5320" w:type="dxa"/>
            <w:vAlign w:val="bottom"/>
          </w:tcPr>
          <w:p>
            <w:pPr>
              <w:spacing w:after="0"/>
              <w:rPr>
                <w:sz w:val="16"/>
                <w:szCs w:val="16"/>
                <w:color w:val="auto"/>
              </w:rPr>
            </w:pP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320" w:type="dxa"/>
            <w:vAlign w:val="bottom"/>
          </w:tcPr>
          <w:p>
            <w:pPr>
              <w:spacing w:after="0"/>
              <w:rPr>
                <w:sz w:val="16"/>
                <w:szCs w:val="16"/>
                <w:color w:val="auto"/>
              </w:rPr>
            </w:pP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10,098</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59,866</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NET INVESTMENT BY LAIDLAW INC. - BEGINNING OF PERIOD</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323,105</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263,239</w:t>
            </w:r>
          </w:p>
        </w:tc>
      </w:tr>
      <w:tr>
        <w:trPr>
          <w:trHeight w:val="190"/>
        </w:trPr>
        <w:tc>
          <w:tcPr>
            <w:tcW w:w="5320" w:type="dxa"/>
            <w:vAlign w:val="bottom"/>
          </w:tcPr>
          <w:p>
            <w:pPr>
              <w:spacing w:after="0"/>
              <w:rPr>
                <w:sz w:val="16"/>
                <w:szCs w:val="16"/>
                <w:color w:val="auto"/>
              </w:rPr>
            </w:pP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NET INVESTMENT BY LAIDLAW INC. - END OF PERIOD</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333,203</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323,105</w:t>
            </w:r>
          </w:p>
        </w:tc>
      </w:tr>
      <w:tr>
        <w:trPr>
          <w:trHeight w:val="190"/>
        </w:trPr>
        <w:tc>
          <w:tcPr>
            <w:tcW w:w="5320" w:type="dxa"/>
            <w:vAlign w:val="bottom"/>
          </w:tcPr>
          <w:p>
            <w:pPr>
              <w:spacing w:after="0"/>
              <w:rPr>
                <w:sz w:val="16"/>
                <w:szCs w:val="16"/>
                <w:color w:val="auto"/>
              </w:rPr>
            </w:pP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9"/>
        </w:trPr>
        <w:tc>
          <w:tcPr>
            <w:tcW w:w="53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2,386</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6,588</w:t>
            </w:r>
          </w:p>
        </w:tc>
      </w:tr>
      <w:tr>
        <w:trPr>
          <w:trHeight w:val="379"/>
        </w:trPr>
        <w:tc>
          <w:tcPr>
            <w:tcW w:w="5320" w:type="dxa"/>
            <w:vAlign w:val="bottom"/>
          </w:tcPr>
          <w:p>
            <w:pPr>
              <w:ind w:left="400"/>
              <w:spacing w:after="0"/>
              <w:rPr>
                <w:sz w:val="20"/>
                <w:szCs w:val="20"/>
                <w:color w:val="auto"/>
              </w:rPr>
            </w:pPr>
            <w:r>
              <w:rPr>
                <w:rFonts w:ascii="Courier New" w:cs="Courier New" w:eastAsia="Courier New" w:hAnsi="Courier New"/>
                <w:sz w:val="16"/>
                <w:szCs w:val="16"/>
                <w:color w:val="auto"/>
              </w:rPr>
              <w:t>Items not affecting cash:</w:t>
            </w: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9"/>
        </w:trPr>
        <w:tc>
          <w:tcPr>
            <w:tcW w:w="5320" w:type="dxa"/>
            <w:vAlign w:val="bottom"/>
          </w:tcPr>
          <w:p>
            <w:pPr>
              <w:ind w:left="700"/>
              <w:spacing w:after="0"/>
              <w:rPr>
                <w:sz w:val="20"/>
                <w:szCs w:val="20"/>
                <w:color w:val="auto"/>
              </w:rPr>
            </w:pPr>
            <w:r>
              <w:rPr>
                <w:rFonts w:ascii="Courier New" w:cs="Courier New" w:eastAsia="Courier New" w:hAnsi="Courier New"/>
                <w:sz w:val="16"/>
                <w:szCs w:val="16"/>
                <w:color w:val="auto"/>
              </w:rPr>
              <w:t>Depreciation and amortization</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7,413</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30,121</w:t>
            </w:r>
          </w:p>
        </w:tc>
      </w:tr>
      <w:tr>
        <w:trPr>
          <w:trHeight w:val="190"/>
        </w:trPr>
        <w:tc>
          <w:tcPr>
            <w:tcW w:w="5320" w:type="dxa"/>
            <w:vAlign w:val="bottom"/>
          </w:tcPr>
          <w:p>
            <w:pPr>
              <w:ind w:left="700"/>
              <w:spacing w:after="0"/>
              <w:rPr>
                <w:sz w:val="20"/>
                <w:szCs w:val="20"/>
                <w:color w:val="auto"/>
              </w:rPr>
            </w:pPr>
            <w:r>
              <w:rPr>
                <w:rFonts w:ascii="Courier New" w:cs="Courier New" w:eastAsia="Courier New" w:hAnsi="Courier New"/>
                <w:sz w:val="16"/>
                <w:szCs w:val="16"/>
                <w:color w:val="auto"/>
              </w:rPr>
              <w:t>Deferred income taxes</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1,329</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6,775</w:t>
            </w:r>
          </w:p>
        </w:tc>
      </w:tr>
      <w:tr>
        <w:trPr>
          <w:trHeight w:val="190"/>
        </w:trPr>
        <w:tc>
          <w:tcPr>
            <w:tcW w:w="5320" w:type="dxa"/>
            <w:vAlign w:val="bottom"/>
          </w:tcPr>
          <w:p>
            <w:pPr>
              <w:ind w:left="700"/>
              <w:spacing w:after="0"/>
              <w:rPr>
                <w:sz w:val="20"/>
                <w:szCs w:val="20"/>
                <w:color w:val="auto"/>
              </w:rPr>
            </w:pPr>
            <w:r>
              <w:rPr>
                <w:rFonts w:ascii="Courier New" w:cs="Courier New" w:eastAsia="Courier New" w:hAnsi="Courier New"/>
                <w:sz w:val="16"/>
                <w:szCs w:val="16"/>
                <w:color w:val="auto"/>
              </w:rPr>
              <w:t>Other</w:t>
            </w:r>
          </w:p>
        </w:tc>
        <w:tc>
          <w:tcPr>
            <w:tcW w:w="11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(408)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(3,725)</w:t>
            </w:r>
          </w:p>
        </w:tc>
      </w:tr>
      <w:tr>
        <w:trPr>
          <w:trHeight w:val="190"/>
        </w:trPr>
        <w:tc>
          <w:tcPr>
            <w:tcW w:w="5320" w:type="dxa"/>
            <w:vAlign w:val="bottom"/>
          </w:tcPr>
          <w:p>
            <w:pPr>
              <w:spacing w:after="0"/>
              <w:rPr>
                <w:sz w:val="16"/>
                <w:szCs w:val="16"/>
                <w:color w:val="auto"/>
              </w:rPr>
            </w:pP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320" w:type="dxa"/>
            <w:vAlign w:val="bottom"/>
          </w:tcPr>
          <w:p>
            <w:pPr>
              <w:spacing w:after="0"/>
              <w:rPr>
                <w:sz w:val="16"/>
                <w:szCs w:val="16"/>
                <w:color w:val="auto"/>
              </w:rPr>
            </w:pP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10,720</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39,759</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Cash used in financing working capital</w:t>
            </w: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0"/>
        </w:trPr>
        <w:tc>
          <w:tcPr>
            <w:tcW w:w="5320" w:type="dxa"/>
            <w:vAlign w:val="bottom"/>
          </w:tcPr>
          <w:p>
            <w:pPr>
              <w:ind w:left="400"/>
              <w:spacing w:after="0"/>
              <w:rPr>
                <w:sz w:val="20"/>
                <w:szCs w:val="20"/>
                <w:color w:val="auto"/>
              </w:rPr>
            </w:pPr>
            <w:r>
              <w:rPr>
                <w:rFonts w:ascii="Courier New" w:cs="Courier New" w:eastAsia="Courier New" w:hAnsi="Courier New"/>
                <w:sz w:val="16"/>
                <w:szCs w:val="16"/>
                <w:color w:val="auto"/>
              </w:rPr>
              <w:t>excluding the effect of acquisitions:</w:t>
            </w: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9"/>
        </w:trPr>
        <w:tc>
          <w:tcPr>
            <w:tcW w:w="5320" w:type="dxa"/>
            <w:vAlign w:val="bottom"/>
          </w:tcPr>
          <w:p>
            <w:pPr>
              <w:spacing w:after="0"/>
              <w:rPr>
                <w:sz w:val="20"/>
                <w:szCs w:val="20"/>
                <w:color w:val="auto"/>
              </w:rPr>
            </w:pPr>
            <w:r>
              <w:rPr>
                <w:rFonts w:ascii="Courier New" w:cs="Courier New" w:eastAsia="Courier New" w:hAnsi="Courier New"/>
                <w:sz w:val="16"/>
                <w:szCs w:val="16"/>
                <w:color w:val="auto"/>
              </w:rPr>
              <w:t>Trade and other accounts receivable</w:t>
            </w:r>
          </w:p>
        </w:tc>
        <w:tc>
          <w:tcPr>
            <w:tcW w:w="11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(2,011)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(4,722)</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Inventories</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(654)</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Other current assets</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656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(2,308)</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Accounts payable and accrued liabilities</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425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(3,188)</w:t>
            </w:r>
          </w:p>
        </w:tc>
      </w:tr>
      <w:tr>
        <w:trPr>
          <w:trHeight w:val="190"/>
        </w:trPr>
        <w:tc>
          <w:tcPr>
            <w:tcW w:w="5320" w:type="dxa"/>
            <w:vAlign w:val="bottom"/>
          </w:tcPr>
          <w:p>
            <w:pPr>
              <w:spacing w:after="0"/>
              <w:rPr>
                <w:sz w:val="16"/>
                <w:szCs w:val="16"/>
                <w:color w:val="auto"/>
              </w:rPr>
            </w:pP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320" w:type="dxa"/>
            <w:vAlign w:val="bottom"/>
          </w:tcPr>
          <w:p>
            <w:pPr>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9,829</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28,887</w:t>
            </w:r>
          </w:p>
        </w:tc>
      </w:tr>
      <w:tr>
        <w:trPr>
          <w:trHeight w:val="190"/>
        </w:trPr>
        <w:tc>
          <w:tcPr>
            <w:tcW w:w="5320" w:type="dxa"/>
            <w:vAlign w:val="bottom"/>
          </w:tcPr>
          <w:p>
            <w:pPr>
              <w:spacing w:after="0"/>
              <w:rPr>
                <w:sz w:val="16"/>
                <w:szCs w:val="16"/>
                <w:color w:val="auto"/>
              </w:rPr>
            </w:pP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306" w:right="1440"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6"/>
          <w:szCs w:val="16"/>
          <w:color w:val="auto"/>
        </w:rPr>
        <w:t>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LAIDLAW SOLID WASTE MANAGEMENT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 - CANADIAN OPERATIONS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COMBINED STATEMENTS OF CASH FLOWS (CONT'D)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$000's)</w:t>
      </w:r>
    </w:p>
    <w:p>
      <w:pPr>
        <w:spacing w:after="0" w:line="388" w:lineRule="exact"/>
        <w:rPr>
          <w:sz w:val="20"/>
          <w:szCs w:val="20"/>
          <w:color w:val="auto"/>
        </w:rPr>
      </w:pPr>
    </w:p>
    <w:p>
      <w:pPr>
        <w:ind w:left="200" w:hanging="199"/>
        <w:spacing w:after="0"/>
        <w:tabs>
          <w:tab w:leader="none" w:pos="2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(Unaudited)</w:t>
      </w:r>
    </w:p>
    <w:p>
      <w:pPr>
        <w:spacing w:after="0" w:line="8" w:lineRule="exact"/>
        <w:rPr>
          <w:rFonts w:ascii="Courier New" w:cs="Courier New" w:eastAsia="Courier New" w:hAnsi="Courier New"/>
          <w:sz w:val="16"/>
          <w:szCs w:val="16"/>
          <w:color w:val="auto"/>
        </w:rPr>
      </w:pPr>
    </w:p>
    <w:p>
      <w:pPr>
        <w:ind w:left="5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 the</w:t>
      </w:r>
    </w:p>
    <w:p>
      <w:pPr>
        <w:spacing w:after="0" w:line="8" w:lineRule="exact"/>
        <w:rPr>
          <w:sz w:val="20"/>
          <w:szCs w:val="20"/>
          <w:color w:val="auto"/>
        </w:rPr>
      </w:pPr>
    </w:p>
    <w:tbl>
      <w:tblPr>
        <w:tblLayout w:type="fixed"/>
        <w:tblInd w:w="4940" w:type="dxa"/>
        <w:tblCellMar>
          <w:top w:w="0" w:type="dxa"/>
          <w:left w:w="0" w:type="dxa"/>
          <w:bottom w:w="0" w:type="dxa"/>
          <w:right w:w="0" w:type="dxa"/>
        </w:tblCellMar>
      </w:tblPr>
      <w:tr>
        <w:trPr>
          <w:trHeight w:val="185"/>
        </w:trPr>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Three Months</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For the</w:t>
            </w:r>
          </w:p>
        </w:tc>
      </w:tr>
      <w:tr>
        <w:trPr>
          <w:trHeight w:val="190"/>
        </w:trPr>
        <w:tc>
          <w:tcPr>
            <w:tcW w:w="1280" w:type="dxa"/>
            <w:vAlign w:val="bottom"/>
          </w:tcPr>
          <w:p>
            <w:pPr>
              <w:jc w:val="center"/>
              <w:ind w:right="138"/>
              <w:spacing w:after="0"/>
              <w:rPr>
                <w:sz w:val="20"/>
                <w:szCs w:val="20"/>
                <w:color w:val="auto"/>
              </w:rPr>
            </w:pPr>
            <w:r>
              <w:rPr>
                <w:rFonts w:ascii="Courier New" w:cs="Courier New" w:eastAsia="Courier New" w:hAnsi="Courier New"/>
                <w:sz w:val="16"/>
                <w:szCs w:val="16"/>
                <w:color w:val="auto"/>
              </w:rPr>
              <w:t>Ended</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Year Ended</w:t>
            </w:r>
          </w:p>
        </w:tc>
      </w:tr>
      <w:tr>
        <w:trPr>
          <w:trHeight w:val="190"/>
        </w:trPr>
        <w:tc>
          <w:tcPr>
            <w:tcW w:w="1280" w:type="dxa"/>
            <w:vAlign w:val="bottom"/>
          </w:tcPr>
          <w:p>
            <w:pPr>
              <w:jc w:val="center"/>
              <w:ind w:right="118"/>
              <w:spacing w:after="0"/>
              <w:rPr>
                <w:sz w:val="20"/>
                <w:szCs w:val="20"/>
                <w:color w:val="auto"/>
              </w:rPr>
            </w:pPr>
            <w:r>
              <w:rPr>
                <w:rFonts w:ascii="Courier New" w:cs="Courier New" w:eastAsia="Courier New" w:hAnsi="Courier New"/>
                <w:sz w:val="16"/>
                <w:szCs w:val="16"/>
                <w:color w:val="auto"/>
              </w:rPr>
              <w:t>November 30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August 31</w:t>
            </w:r>
          </w:p>
        </w:tc>
      </w:tr>
      <w:tr>
        <w:trPr>
          <w:trHeight w:val="190"/>
        </w:trPr>
        <w:tc>
          <w:tcPr>
            <w:tcW w:w="12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1996</w:t>
            </w: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1996</w:t>
            </w:r>
          </w:p>
        </w:tc>
      </w:tr>
      <w:tr>
        <w:trPr>
          <w:trHeight w:val="190"/>
        </w:trPr>
        <w:tc>
          <w:tcPr>
            <w:tcW w:w="1280" w:type="dxa"/>
            <w:vAlign w:val="bottom"/>
          </w:tcPr>
          <w:p>
            <w:pPr>
              <w:jc w:val="center"/>
              <w:ind w:right="13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r>
    </w:tbl>
    <w:p>
      <w:pPr>
        <w:spacing w:after="0" w:line="5" w:lineRule="exact"/>
        <w:rPr>
          <w:sz w:val="20"/>
          <w:szCs w:val="20"/>
          <w:color w:val="auto"/>
        </w:rPr>
      </w:pPr>
    </w:p>
    <w:p>
      <w:pPr>
        <w:ind w:left="200" w:hanging="199"/>
        <w:spacing w:after="0"/>
        <w:tabs>
          <w:tab w:leader="none" w:pos="2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INVESTING ACTIVITIES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80" w:type="dxa"/>
            <w:vAlign w:val="bottom"/>
          </w:tcPr>
          <w:p>
            <w:pPr>
              <w:spacing w:after="0"/>
              <w:rPr>
                <w:sz w:val="20"/>
                <w:szCs w:val="20"/>
                <w:color w:val="auto"/>
              </w:rPr>
            </w:pPr>
            <w:r>
              <w:rPr>
                <w:rFonts w:ascii="Courier New" w:cs="Courier New" w:eastAsia="Courier New" w:hAnsi="Courier New"/>
                <w:sz w:val="16"/>
                <w:szCs w:val="16"/>
                <w:color w:val="auto"/>
              </w:rPr>
              <w:t>Purchase of fixed assets</w:t>
            </w:r>
          </w:p>
        </w:tc>
        <w:tc>
          <w:tcPr>
            <w:tcW w:w="12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(9,538)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(20,437)</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Net proceeds from sale of fixed and other assets</w:t>
            </w:r>
          </w:p>
        </w:tc>
        <w:tc>
          <w:tcPr>
            <w:tcW w:w="12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983</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1,658</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(Increase) decrease in deferred charges</w:t>
            </w:r>
          </w:p>
        </w:tc>
        <w:tc>
          <w:tcPr>
            <w:tcW w:w="12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(1,278)</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Expended on acquisitions (Note 7)</w:t>
            </w:r>
          </w:p>
        </w:tc>
        <w:tc>
          <w:tcPr>
            <w:tcW w:w="12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(5,532)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(46,046)</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Net decrease in other assets</w:t>
            </w:r>
          </w:p>
        </w:tc>
        <w:tc>
          <w:tcPr>
            <w:tcW w:w="12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94</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232</w:t>
            </w:r>
          </w:p>
        </w:tc>
      </w:tr>
      <w:tr>
        <w:trPr>
          <w:trHeight w:val="190"/>
        </w:trPr>
        <w:tc>
          <w:tcPr>
            <w:tcW w:w="4880" w:type="dxa"/>
            <w:vAlign w:val="bottom"/>
          </w:tcPr>
          <w:p>
            <w:pPr>
              <w:spacing w:after="0"/>
              <w:rPr>
                <w:sz w:val="16"/>
                <w:szCs w:val="16"/>
                <w:color w:val="auto"/>
              </w:rPr>
            </w:pPr>
          </w:p>
        </w:tc>
        <w:tc>
          <w:tcPr>
            <w:tcW w:w="12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NET CASH USED IN INVESTING ACTIVITIES</w:t>
            </w:r>
          </w:p>
        </w:tc>
        <w:tc>
          <w:tcPr>
            <w:tcW w:w="12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(13,922)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(65,871)</w:t>
            </w:r>
          </w:p>
        </w:tc>
      </w:tr>
      <w:tr>
        <w:trPr>
          <w:trHeight w:val="190"/>
        </w:trPr>
        <w:tc>
          <w:tcPr>
            <w:tcW w:w="4880" w:type="dxa"/>
            <w:vAlign w:val="bottom"/>
          </w:tcPr>
          <w:p>
            <w:pPr>
              <w:spacing w:after="0"/>
              <w:rPr>
                <w:sz w:val="16"/>
                <w:szCs w:val="16"/>
                <w:color w:val="auto"/>
              </w:rPr>
            </w:pPr>
          </w:p>
        </w:tc>
        <w:tc>
          <w:tcPr>
            <w:tcW w:w="12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79"/>
        </w:trPr>
        <w:tc>
          <w:tcPr>
            <w:tcW w:w="4880" w:type="dxa"/>
            <w:vAlign w:val="bottom"/>
          </w:tcPr>
          <w:p>
            <w:pPr>
              <w:spacing w:after="0"/>
              <w:rPr>
                <w:sz w:val="20"/>
                <w:szCs w:val="20"/>
                <w:color w:val="auto"/>
              </w:rPr>
            </w:pPr>
            <w:r>
              <w:rPr>
                <w:rFonts w:ascii="Courier New" w:cs="Courier New" w:eastAsia="Courier New" w:hAnsi="Courier New"/>
                <w:sz w:val="16"/>
                <w:szCs w:val="16"/>
                <w:color w:val="auto"/>
              </w:rPr>
              <w:t>Repayment of long-term debt</w:t>
            </w:r>
          </w:p>
        </w:tc>
        <w:tc>
          <w:tcPr>
            <w:tcW w:w="12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(491)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(327)</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Net advances from Laidlaw Inc.</w:t>
            </w:r>
          </w:p>
        </w:tc>
        <w:tc>
          <w:tcPr>
            <w:tcW w:w="12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14,682</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97,177</w:t>
            </w:r>
          </w:p>
        </w:tc>
      </w:tr>
      <w:tr>
        <w:trPr>
          <w:trHeight w:val="190"/>
        </w:trPr>
        <w:tc>
          <w:tcPr>
            <w:tcW w:w="4880" w:type="dxa"/>
            <w:vAlign w:val="bottom"/>
          </w:tcPr>
          <w:p>
            <w:pPr>
              <w:spacing w:after="0"/>
              <w:rPr>
                <w:sz w:val="16"/>
                <w:szCs w:val="16"/>
                <w:color w:val="auto"/>
              </w:rPr>
            </w:pPr>
          </w:p>
        </w:tc>
        <w:tc>
          <w:tcPr>
            <w:tcW w:w="12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NET CASH PROVIDED BY FINANCING ACTIVITIES</w:t>
            </w:r>
          </w:p>
        </w:tc>
        <w:tc>
          <w:tcPr>
            <w:tcW w:w="12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14,191</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96,850</w:t>
            </w:r>
          </w:p>
        </w:tc>
      </w:tr>
      <w:tr>
        <w:trPr>
          <w:trHeight w:val="190"/>
        </w:trPr>
        <w:tc>
          <w:tcPr>
            <w:tcW w:w="4880" w:type="dxa"/>
            <w:vAlign w:val="bottom"/>
          </w:tcPr>
          <w:p>
            <w:pPr>
              <w:spacing w:after="0"/>
              <w:rPr>
                <w:sz w:val="16"/>
                <w:szCs w:val="16"/>
                <w:color w:val="auto"/>
              </w:rPr>
            </w:pPr>
          </w:p>
        </w:tc>
        <w:tc>
          <w:tcPr>
            <w:tcW w:w="12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306" w:right="1440"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6"/>
          <w:szCs w:val="16"/>
          <w:color w:val="auto"/>
        </w:rPr>
        <w:t>10</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LAIDLAW SOLID WASTE MANAGEMENT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 - CANADIAN OPERATIONS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COMBINED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$000'S)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ind w:left="500" w:hanging="499"/>
        <w:spacing w:after="0"/>
        <w:tabs>
          <w:tab w:leader="none" w:pos="5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 OF FINANCIAL STATEMENTS</w:t>
      </w:r>
    </w:p>
    <w:p>
      <w:pPr>
        <w:spacing w:after="0" w:line="197" w:lineRule="exact"/>
        <w:rPr>
          <w:rFonts w:ascii="Courier New" w:cs="Courier New" w:eastAsia="Courier New" w:hAnsi="Courier New"/>
          <w:sz w:val="16"/>
          <w:szCs w:val="16"/>
          <w:color w:val="auto"/>
        </w:rPr>
      </w:pPr>
    </w:p>
    <w:p>
      <w:pPr>
        <w:ind w:left="500" w:right="24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Under the terms of a Stock Purchase Agreement dated September 17, 1996 (the "Laidlaw Agreement") among Allied Waste Industries, Inc. ("Allied") and certain affiliates of Allied, and Laidlaw Inc. ("Laidlaw") and certain affiliates of Laidlaw, Allied purchased the solid waste management business of Laidlaw (the "Laidlaw Solid Waste Management Group"). The Laidlaw Solid Waste Management Group provides solid waste collection, compaction, disposal, recycling, resource recovery, transportation and transfer services to commercial, industrial and residential customers in the United States and Canada. Laidlaw conducted the solid waste management business directly and indirectly through its subsidiaries, Laidlaw Waste Systems, Inc. Laidlaw Waste Systems (Canada) Ltd. and Laidlaw Medical Services Ltd. ("Medical Services").</w:t>
      </w:r>
    </w:p>
    <w:p>
      <w:pPr>
        <w:spacing w:after="0" w:line="189" w:lineRule="exact"/>
        <w:rPr>
          <w:rFonts w:ascii="Courier New" w:cs="Courier New" w:eastAsia="Courier New" w:hAnsi="Courier New"/>
          <w:sz w:val="16"/>
          <w:szCs w:val="16"/>
          <w:color w:val="auto"/>
        </w:rPr>
      </w:pPr>
    </w:p>
    <w:p>
      <w:pPr>
        <w:ind w:left="500" w:right="24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the Laidlaw Agreement, a Share Purchase Agreement dated January 15, 1997 (the "Agreement") among USA Waste Services, Inc. ("USA Waste") and certain affiliates of USA Waste, and Allied and certain affiliates of Allied was entered into. Under the terms of the Agreement, USA Waste has offered to purchase the Canadian operations of the Laidlaw Solid Waste Management Group ("Laidlaw Solid Waste Management Group - Canadian Operations" or the "Group") from Allied. The Group provides solid waste collection, compaction, disposal, recycling, transportation and transfer services to commercial, industrial, and residential customers in Canada. Allied conducts this business directly or indirectly through its subsidiaries, Allied Waste Holdings (Canada) Ltd., Laidlaw Waste Systems Ltd., and Medical Services.</w:t>
      </w:r>
    </w:p>
    <w:p>
      <w:pPr>
        <w:spacing w:after="0" w:line="189" w:lineRule="exact"/>
        <w:rPr>
          <w:rFonts w:ascii="Courier New" w:cs="Courier New" w:eastAsia="Courier New" w:hAnsi="Courier New"/>
          <w:sz w:val="16"/>
          <w:szCs w:val="16"/>
          <w:color w:val="auto"/>
        </w:rPr>
      </w:pPr>
    </w:p>
    <w:p>
      <w:pPr>
        <w:ind w:left="500" w:right="24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expense associated with intercompany financing with the Group's parent, Laidlaw, has been allocated to the Group based on its share of the parent's net assets. Income taxes have been calculated using applicable Canadian income tax rates applied to the Group's income for tax purposes.</w:t>
      </w:r>
    </w:p>
    <w:p>
      <w:pPr>
        <w:spacing w:after="0" w:line="186" w:lineRule="exact"/>
        <w:rPr>
          <w:rFonts w:ascii="Courier New" w:cs="Courier New" w:eastAsia="Courier New" w:hAnsi="Courier New"/>
          <w:sz w:val="16"/>
          <w:szCs w:val="16"/>
          <w:color w:val="auto"/>
        </w:rPr>
      </w:pPr>
    </w:p>
    <w:p>
      <w:pPr>
        <w:ind w:left="500" w:right="24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These special purpose financial statements give effect to the combination of the operations constituting the Laidlaw Solid Waste Management Group - Canadian Operations. The Group's intercompany loans and advances have been excluded from the combined balance sheet.</w:t>
      </w:r>
    </w:p>
    <w:p>
      <w:pPr>
        <w:spacing w:after="0" w:line="186" w:lineRule="exact"/>
        <w:rPr>
          <w:rFonts w:ascii="Courier New" w:cs="Courier New" w:eastAsia="Courier New" w:hAnsi="Courier New"/>
          <w:sz w:val="16"/>
          <w:szCs w:val="16"/>
          <w:color w:val="auto"/>
        </w:rPr>
      </w:pPr>
    </w:p>
    <w:p>
      <w:pPr>
        <w:ind w:left="500" w:right="261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surplus funds of the Group are regularly transferred to Laidlaw, and any financing requirements are provided by Laidlaw. Accordingly, no cash or bank indebtedness balances are reported in these combined financial statements.</w:t>
      </w:r>
    </w:p>
    <w:p>
      <w:pPr>
        <w:sectPr>
          <w:pgSz w:w="11900" w:h="16838" w:orient="portrait"/>
          <w:cols w:equalWidth="0" w:num="1">
            <w:col w:w="10219"/>
          </w:cols>
          <w:pgMar w:left="240" w:top="306"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11</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LAIDLAW SOLID WASTE MANAGEMENT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 - CANADIAN OPERATIONS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COMBINED FINANCIAL STATEMENTS (CONT'D)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$000'S)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8" w:lineRule="exact"/>
        <w:rPr>
          <w:sz w:val="20"/>
          <w:szCs w:val="20"/>
          <w:color w:val="auto"/>
        </w:rPr>
      </w:pPr>
    </w:p>
    <w:p>
      <w:pPr>
        <w:ind w:left="500" w:hanging="499"/>
        <w:spacing w:after="0"/>
        <w:tabs>
          <w:tab w:leader="none" w:pos="5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97" w:lineRule="exact"/>
        <w:rPr>
          <w:rFonts w:ascii="Courier New" w:cs="Courier New" w:eastAsia="Courier New" w:hAnsi="Courier New"/>
          <w:sz w:val="16"/>
          <w:szCs w:val="16"/>
          <w:color w:val="auto"/>
        </w:rPr>
      </w:pPr>
    </w:p>
    <w:p>
      <w:pPr>
        <w:ind w:left="500" w:right="24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preparation of the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for certain revenues and expenses during the reported period. Actual results could differ from those estimates.</w:t>
      </w:r>
    </w:p>
    <w:p>
      <w:pPr>
        <w:spacing w:after="0" w:line="189" w:lineRule="exact"/>
        <w:rPr>
          <w:rFonts w:ascii="Courier New" w:cs="Courier New" w:eastAsia="Courier New" w:hAnsi="Courier New"/>
          <w:sz w:val="16"/>
          <w:szCs w:val="16"/>
          <w:color w:val="auto"/>
        </w:rPr>
      </w:pPr>
    </w:p>
    <w:p>
      <w:pPr>
        <w:ind w:left="500" w:right="261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summary of significant accounting policies followed in the preparation of these combined financial statements is as follows:</w:t>
      </w:r>
    </w:p>
    <w:p>
      <w:pPr>
        <w:spacing w:after="0" w:line="18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 INVENTORIES</w:t>
      </w:r>
    </w:p>
    <w:p>
      <w:pPr>
        <w:spacing w:after="0" w:line="198" w:lineRule="exact"/>
        <w:rPr>
          <w:sz w:val="20"/>
          <w:szCs w:val="20"/>
          <w:color w:val="auto"/>
        </w:rPr>
      </w:pPr>
    </w:p>
    <w:p>
      <w:pPr>
        <w:ind w:left="500" w:right="2819"/>
        <w:spacing w:after="0" w:line="255" w:lineRule="auto"/>
        <w:rPr>
          <w:sz w:val="20"/>
          <w:szCs w:val="20"/>
          <w:color w:val="auto"/>
        </w:rPr>
      </w:pPr>
      <w:r>
        <w:rPr>
          <w:rFonts w:ascii="Courier New" w:cs="Courier New" w:eastAsia="Courier New" w:hAnsi="Courier New"/>
          <w:sz w:val="16"/>
          <w:szCs w:val="16"/>
          <w:color w:val="auto"/>
        </w:rPr>
        <w:t>Inventories are valued at the lower of cost, determined on a first-in, first-out basis, and replacement cost.</w:t>
      </w:r>
    </w:p>
    <w:p>
      <w:pPr>
        <w:spacing w:after="0" w:line="18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(b) FIXED ASSETS</w:t>
      </w:r>
    </w:p>
    <w:p>
      <w:pPr>
        <w:spacing w:after="0" w:line="198" w:lineRule="exact"/>
        <w:rPr>
          <w:sz w:val="20"/>
          <w:szCs w:val="20"/>
          <w:color w:val="auto"/>
        </w:rPr>
      </w:pPr>
    </w:p>
    <w:p>
      <w:pPr>
        <w:ind w:left="500" w:right="2519"/>
        <w:spacing w:after="0" w:line="255" w:lineRule="auto"/>
        <w:rPr>
          <w:sz w:val="20"/>
          <w:szCs w:val="20"/>
          <w:color w:val="auto"/>
        </w:rPr>
      </w:pPr>
      <w:r>
        <w:rPr>
          <w:rFonts w:ascii="Courier New" w:cs="Courier New" w:eastAsia="Courier New" w:hAnsi="Courier New"/>
          <w:sz w:val="16"/>
          <w:szCs w:val="16"/>
          <w:color w:val="auto"/>
        </w:rPr>
        <w:t>Landfill sites, preparation costs, and improvements are recorded at cost and amortized on the basis of landfill capacity utilized during the year.</w:t>
      </w:r>
    </w:p>
    <w:p>
      <w:pPr>
        <w:spacing w:after="0" w:line="184" w:lineRule="exact"/>
        <w:rPr>
          <w:sz w:val="20"/>
          <w:szCs w:val="20"/>
          <w:color w:val="auto"/>
        </w:rPr>
      </w:pPr>
    </w:p>
    <w:p>
      <w:pPr>
        <w:ind w:left="500" w:right="2519"/>
        <w:spacing w:after="0" w:line="253" w:lineRule="auto"/>
        <w:rPr>
          <w:sz w:val="20"/>
          <w:szCs w:val="20"/>
          <w:color w:val="auto"/>
        </w:rPr>
      </w:pPr>
      <w:r>
        <w:rPr>
          <w:rFonts w:ascii="Courier New" w:cs="Courier New" w:eastAsia="Courier New" w:hAnsi="Courier New"/>
          <w:sz w:val="16"/>
          <w:szCs w:val="16"/>
          <w:color w:val="auto"/>
        </w:rPr>
        <w:t>Depreciation and amortization of other property and equipment is provided substantially on a straight-line basis over their estimated useful lives which are as follows:</w:t>
      </w:r>
    </w:p>
    <w:p>
      <w:pPr>
        <w:spacing w:after="0" w:line="185" w:lineRule="exact"/>
        <w:rPr>
          <w:sz w:val="20"/>
          <w:szCs w:val="20"/>
          <w:color w:val="auto"/>
        </w:rPr>
      </w:pPr>
    </w:p>
    <w:tbl>
      <w:tblPr>
        <w:tblLayout w:type="fixed"/>
        <w:tblInd w:w="780" w:type="dxa"/>
        <w:tblCellMar>
          <w:top w:w="0" w:type="dxa"/>
          <w:left w:w="0" w:type="dxa"/>
          <w:bottom w:w="0" w:type="dxa"/>
          <w:right w:w="0" w:type="dxa"/>
        </w:tblCellMar>
      </w:tblPr>
      <w:tr>
        <w:trPr>
          <w:trHeight w:val="185"/>
        </w:trPr>
        <w:tc>
          <w:tcPr>
            <w:tcW w:w="2720" w:type="dxa"/>
            <w:vAlign w:val="bottom"/>
          </w:tcPr>
          <w:p>
            <w:pPr>
              <w:spacing w:after="0"/>
              <w:rPr>
                <w:sz w:val="20"/>
                <w:szCs w:val="20"/>
                <w:color w:val="auto"/>
              </w:rPr>
            </w:pPr>
            <w:r>
              <w:rPr>
                <w:rFonts w:ascii="Courier New" w:cs="Courier New" w:eastAsia="Courier New" w:hAnsi="Courier New"/>
                <w:sz w:val="16"/>
                <w:szCs w:val="16"/>
                <w:color w:val="auto"/>
              </w:rPr>
              <w:t>Buildings</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to</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540" w:type="dxa"/>
            <w:vAlign w:val="bottom"/>
          </w:tcPr>
          <w:p>
            <w:pPr>
              <w:ind w:left="40"/>
              <w:spacing w:after="0"/>
              <w:rPr>
                <w:sz w:val="20"/>
                <w:szCs w:val="20"/>
                <w:color w:val="auto"/>
              </w:rPr>
            </w:pPr>
            <w:r>
              <w:rPr>
                <w:rFonts w:ascii="Courier New" w:cs="Courier New" w:eastAsia="Courier New" w:hAnsi="Courier New"/>
                <w:sz w:val="16"/>
                <w:szCs w:val="16"/>
                <w:color w:val="auto"/>
                <w:w w:val="99"/>
              </w:rPr>
              <w:t>years</w:t>
            </w:r>
          </w:p>
        </w:tc>
      </w:tr>
      <w:tr>
        <w:trPr>
          <w:trHeight w:val="190"/>
        </w:trPr>
        <w:tc>
          <w:tcPr>
            <w:tcW w:w="2720" w:type="dxa"/>
            <w:vAlign w:val="bottom"/>
          </w:tcPr>
          <w:p>
            <w:pPr>
              <w:spacing w:after="0"/>
              <w:rPr>
                <w:sz w:val="20"/>
                <w:szCs w:val="20"/>
                <w:color w:val="auto"/>
              </w:rPr>
            </w:pPr>
            <w:r>
              <w:rPr>
                <w:rFonts w:ascii="Courier New" w:cs="Courier New" w:eastAsia="Courier New" w:hAnsi="Courier New"/>
                <w:sz w:val="16"/>
                <w:szCs w:val="16"/>
                <w:color w:val="auto"/>
              </w:rPr>
              <w:t>Vehicles and other</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to</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540" w:type="dxa"/>
            <w:vAlign w:val="bottom"/>
          </w:tcPr>
          <w:p>
            <w:pPr>
              <w:ind w:left="40"/>
              <w:spacing w:after="0"/>
              <w:rPr>
                <w:sz w:val="20"/>
                <w:szCs w:val="20"/>
                <w:color w:val="auto"/>
              </w:rPr>
            </w:pPr>
            <w:r>
              <w:rPr>
                <w:rFonts w:ascii="Courier New" w:cs="Courier New" w:eastAsia="Courier New" w:hAnsi="Courier New"/>
                <w:sz w:val="16"/>
                <w:szCs w:val="16"/>
                <w:color w:val="auto"/>
                <w:w w:val="99"/>
              </w:rPr>
              <w:t>years</w:t>
            </w:r>
          </w:p>
        </w:tc>
      </w:tr>
    </w:tbl>
    <w:p>
      <w:pPr>
        <w:spacing w:after="0" w:line="384" w:lineRule="exact"/>
        <w:rPr>
          <w:sz w:val="20"/>
          <w:szCs w:val="20"/>
          <w:color w:val="auto"/>
        </w:rPr>
      </w:pPr>
    </w:p>
    <w:p>
      <w:pPr>
        <w:ind w:left="500" w:right="2439"/>
        <w:spacing w:after="0" w:line="253" w:lineRule="auto"/>
        <w:rPr>
          <w:sz w:val="20"/>
          <w:szCs w:val="20"/>
          <w:color w:val="auto"/>
        </w:rPr>
      </w:pPr>
      <w:r>
        <w:rPr>
          <w:rFonts w:ascii="Courier New" w:cs="Courier New" w:eastAsia="Courier New" w:hAnsi="Courier New"/>
          <w:sz w:val="16"/>
          <w:szCs w:val="16"/>
          <w:color w:val="auto"/>
        </w:rPr>
        <w:t>Management periodically reviews the carrying values of its fixed assets to determine whether such values are recoverable. Any resulting write downs are charged against income.</w:t>
      </w:r>
    </w:p>
    <w:p>
      <w:pPr>
        <w:sectPr>
          <w:pgSz w:w="11900" w:h="16838" w:orient="portrait"/>
          <w:cols w:equalWidth="0" w:num="1">
            <w:col w:w="10219"/>
          </w:cols>
          <w:pgMar w:left="240" w:top="306" w:right="1440"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6"/>
          <w:szCs w:val="16"/>
          <w:color w:val="auto"/>
        </w:rPr>
        <w:t>12</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LAIDLAW SOLID WASTE MANAGEMENT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 - CANADIAN OPERATIONS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COMBINED FINANCIAL STATEMENTS (CONT'D)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$000'S)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ind w:left="500" w:hanging="499"/>
        <w:spacing w:after="0"/>
        <w:tabs>
          <w:tab w:leader="none" w:pos="5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(CONT'D)</w:t>
      </w:r>
    </w:p>
    <w:p>
      <w:pPr>
        <w:spacing w:after="0" w:line="197" w:lineRule="exact"/>
        <w:rPr>
          <w:rFonts w:ascii="Courier New" w:cs="Courier New" w:eastAsia="Courier New" w:hAnsi="Courier New"/>
          <w:sz w:val="16"/>
          <w:szCs w:val="16"/>
          <w:color w:val="auto"/>
        </w:rPr>
      </w:pPr>
    </w:p>
    <w:p>
      <w:pPr>
        <w:ind w:left="1080" w:hanging="586"/>
        <w:spacing w:after="0"/>
        <w:tabs>
          <w:tab w:leader="none" w:pos="108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ASSETS</w:t>
      </w:r>
    </w:p>
    <w:p>
      <w:pPr>
        <w:spacing w:after="0" w:line="198" w:lineRule="exact"/>
        <w:rPr>
          <w:sz w:val="20"/>
          <w:szCs w:val="20"/>
          <w:color w:val="auto"/>
        </w:rPr>
      </w:pPr>
    </w:p>
    <w:p>
      <w:pPr>
        <w:ind w:left="500" w:right="2439"/>
        <w:spacing w:after="0" w:line="252" w:lineRule="auto"/>
        <w:rPr>
          <w:sz w:val="20"/>
          <w:szCs w:val="20"/>
          <w:color w:val="auto"/>
        </w:rPr>
      </w:pPr>
      <w:r>
        <w:rPr>
          <w:rFonts w:ascii="Courier New" w:cs="Courier New" w:eastAsia="Courier New" w:hAnsi="Courier New"/>
          <w:sz w:val="16"/>
          <w:szCs w:val="16"/>
          <w:color w:val="auto"/>
        </w:rPr>
        <w:t>Goodwill is amortized on a straight-line basis over forty years. The Group reviews the value assigned to goodwill to determine if its recoverability has been impaired by conditions affecting the Group. The amount of any impairment is charged against income.</w:t>
      </w:r>
    </w:p>
    <w:p>
      <w:pPr>
        <w:spacing w:after="0" w:line="187" w:lineRule="exact"/>
        <w:rPr>
          <w:sz w:val="20"/>
          <w:szCs w:val="20"/>
          <w:color w:val="auto"/>
        </w:rPr>
      </w:pPr>
    </w:p>
    <w:p>
      <w:pPr>
        <w:ind w:left="500" w:right="2439"/>
        <w:spacing w:after="0" w:line="255" w:lineRule="auto"/>
        <w:rPr>
          <w:sz w:val="20"/>
          <w:szCs w:val="20"/>
          <w:color w:val="auto"/>
        </w:rPr>
      </w:pPr>
      <w:r>
        <w:rPr>
          <w:rFonts w:ascii="Courier New" w:cs="Courier New" w:eastAsia="Courier New" w:hAnsi="Courier New"/>
          <w:sz w:val="16"/>
          <w:szCs w:val="16"/>
          <w:color w:val="auto"/>
        </w:rPr>
        <w:t>Deferred charges are amortized on a straight-line basis over a two to nine year period depending on the nature of the deferred costs.</w:t>
      </w:r>
    </w:p>
    <w:p>
      <w:pPr>
        <w:spacing w:after="0" w:line="184" w:lineRule="exact"/>
        <w:rPr>
          <w:sz w:val="20"/>
          <w:szCs w:val="20"/>
          <w:color w:val="auto"/>
        </w:rPr>
      </w:pPr>
    </w:p>
    <w:p>
      <w:pPr>
        <w:ind w:left="1080" w:hanging="586"/>
        <w:spacing w:after="0"/>
        <w:tabs>
          <w:tab w:leader="none" w:pos="10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INSTRUMENTS</w:t>
      </w:r>
    </w:p>
    <w:p>
      <w:pPr>
        <w:spacing w:after="0" w:line="198" w:lineRule="exact"/>
        <w:rPr>
          <w:sz w:val="20"/>
          <w:szCs w:val="20"/>
          <w:color w:val="auto"/>
        </w:rPr>
      </w:pPr>
    </w:p>
    <w:p>
      <w:pPr>
        <w:ind w:left="500" w:right="2619"/>
        <w:spacing w:after="0" w:line="251" w:lineRule="auto"/>
        <w:rPr>
          <w:sz w:val="20"/>
          <w:szCs w:val="20"/>
          <w:color w:val="auto"/>
        </w:rPr>
      </w:pPr>
      <w:r>
        <w:rPr>
          <w:rFonts w:ascii="Courier New" w:cs="Courier New" w:eastAsia="Courier New" w:hAnsi="Courier New"/>
          <w:sz w:val="16"/>
          <w:szCs w:val="16"/>
          <w:color w:val="auto"/>
        </w:rPr>
        <w:t>The Group's accounts receivable, accounts payable and long-term debt constitute financial instruments. Based on available market information, the carrying value of these instruments approximates their fair value as at August 31, 1996. Concentrations of credit risk in accounts receivable are limited, due to the large number of customers comprising the Group's customer base throughout Canada. The Group performs ongoing credit evaluations of its customers, but does not require collateral to support customer accounts receivable. The Group establishes an allowance for doubtful accounts based on the credit risk applicable to particular customers, historical trends and other relevant information.</w:t>
      </w:r>
    </w:p>
    <w:p>
      <w:pPr>
        <w:spacing w:after="0" w:line="379" w:lineRule="exact"/>
        <w:rPr>
          <w:sz w:val="20"/>
          <w:szCs w:val="20"/>
          <w:color w:val="auto"/>
        </w:rPr>
      </w:pPr>
    </w:p>
    <w:p>
      <w:pPr>
        <w:ind w:left="1080" w:hanging="586"/>
        <w:spacing w:after="0"/>
        <w:tabs>
          <w:tab w:leader="none" w:pos="10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REVENUE</w:t>
      </w:r>
    </w:p>
    <w:p>
      <w:pPr>
        <w:spacing w:after="0" w:line="198" w:lineRule="exact"/>
        <w:rPr>
          <w:sz w:val="20"/>
          <w:szCs w:val="20"/>
          <w:color w:val="auto"/>
        </w:rPr>
      </w:pPr>
    </w:p>
    <w:p>
      <w:pPr>
        <w:ind w:left="500" w:right="2719"/>
        <w:spacing w:after="0" w:line="253" w:lineRule="auto"/>
        <w:rPr>
          <w:sz w:val="20"/>
          <w:szCs w:val="20"/>
          <w:color w:val="auto"/>
        </w:rPr>
      </w:pPr>
      <w:r>
        <w:rPr>
          <w:rFonts w:ascii="Courier New" w:cs="Courier New" w:eastAsia="Courier New" w:hAnsi="Courier New"/>
          <w:sz w:val="16"/>
          <w:szCs w:val="16"/>
          <w:color w:val="auto"/>
        </w:rPr>
        <w:t>Amounts billed to customers prior to providing the related services are deferred and later reported as revenues in the period in which the services are rendered.</w:t>
      </w:r>
    </w:p>
    <w:p>
      <w:pPr>
        <w:spacing w:after="0" w:line="185" w:lineRule="exact"/>
        <w:rPr>
          <w:sz w:val="20"/>
          <w:szCs w:val="20"/>
          <w:color w:val="auto"/>
        </w:rPr>
      </w:pPr>
    </w:p>
    <w:p>
      <w:pPr>
        <w:ind w:left="1080" w:hanging="586"/>
        <w:spacing w:after="0"/>
        <w:tabs>
          <w:tab w:leader="none" w:pos="10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LIABILITIES</w:t>
      </w:r>
    </w:p>
    <w:p>
      <w:pPr>
        <w:spacing w:after="0" w:line="198" w:lineRule="exact"/>
        <w:rPr>
          <w:sz w:val="20"/>
          <w:szCs w:val="20"/>
          <w:color w:val="auto"/>
        </w:rPr>
      </w:pPr>
    </w:p>
    <w:p>
      <w:pPr>
        <w:ind w:left="500" w:right="2519"/>
        <w:spacing w:after="0" w:line="252" w:lineRule="auto"/>
        <w:rPr>
          <w:sz w:val="20"/>
          <w:szCs w:val="20"/>
          <w:color w:val="auto"/>
        </w:rPr>
      </w:pPr>
      <w:r>
        <w:rPr>
          <w:rFonts w:ascii="Courier New" w:cs="Courier New" w:eastAsia="Courier New" w:hAnsi="Courier New"/>
          <w:sz w:val="16"/>
          <w:szCs w:val="16"/>
          <w:color w:val="auto"/>
        </w:rPr>
        <w:t>Environmental liabilities include accruals for costs associated with closure and post-closure monitoring and maintenance of the Group's landfills and remediation at certain of the Group's facilities. The Group accrues for closure and post-closure costs over the life of the landfill site as airspace is consumed.</w:t>
      </w:r>
    </w:p>
    <w:p>
      <w:pPr>
        <w:spacing w:after="0" w:line="186" w:lineRule="exact"/>
        <w:rPr>
          <w:sz w:val="20"/>
          <w:szCs w:val="20"/>
          <w:color w:val="auto"/>
        </w:rPr>
      </w:pPr>
    </w:p>
    <w:p>
      <w:pPr>
        <w:ind w:left="1080" w:hanging="586"/>
        <w:spacing w:after="0"/>
        <w:tabs>
          <w:tab w:leader="none" w:pos="10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FOREIGN CURRENCY TRANSLATION</w:t>
      </w:r>
    </w:p>
    <w:p>
      <w:pPr>
        <w:spacing w:after="0" w:line="198" w:lineRule="exact"/>
        <w:rPr>
          <w:sz w:val="20"/>
          <w:szCs w:val="20"/>
          <w:color w:val="auto"/>
        </w:rPr>
      </w:pPr>
    </w:p>
    <w:p>
      <w:pPr>
        <w:ind w:left="500" w:right="2619"/>
        <w:spacing w:after="0" w:line="252" w:lineRule="auto"/>
        <w:rPr>
          <w:sz w:val="20"/>
          <w:szCs w:val="20"/>
          <w:color w:val="auto"/>
        </w:rPr>
      </w:pPr>
      <w:r>
        <w:rPr>
          <w:rFonts w:ascii="Courier New" w:cs="Courier New" w:eastAsia="Courier New" w:hAnsi="Courier New"/>
          <w:sz w:val="16"/>
          <w:szCs w:val="16"/>
          <w:color w:val="auto"/>
        </w:rPr>
        <w:t>The majority of the Group's transactions and account balances are denominated in Canadian dollars. For the presentation in these combined financial statements, the accounts are translated to U.S. dollars on the following basis:</w:t>
      </w:r>
    </w:p>
    <w:p>
      <w:pPr>
        <w:spacing w:after="0" w:line="187" w:lineRule="exact"/>
        <w:rPr>
          <w:sz w:val="20"/>
          <w:szCs w:val="20"/>
          <w:color w:val="auto"/>
        </w:rPr>
      </w:pPr>
    </w:p>
    <w:p>
      <w:pPr>
        <w:ind w:left="500" w:right="2439"/>
        <w:spacing w:after="0" w:line="253" w:lineRule="auto"/>
        <w:rPr>
          <w:sz w:val="20"/>
          <w:szCs w:val="20"/>
          <w:color w:val="auto"/>
        </w:rPr>
      </w:pPr>
      <w:r>
        <w:rPr>
          <w:rFonts w:ascii="Courier New" w:cs="Courier New" w:eastAsia="Courier New" w:hAnsi="Courier New"/>
          <w:sz w:val="16"/>
          <w:szCs w:val="16"/>
          <w:color w:val="auto"/>
        </w:rPr>
        <w:t>Assets and liabilities at the exchange rate in effect at the balance sheet date and revenue and expenses at weighted monthly average exchange rates for the year.</w:t>
      </w:r>
    </w:p>
    <w:p>
      <w:pPr>
        <w:sectPr>
          <w:pgSz w:w="11900" w:h="16838" w:orient="portrait"/>
          <w:cols w:equalWidth="0" w:num="1">
            <w:col w:w="10219"/>
          </w:cols>
          <w:pgMar w:left="240" w:top="306"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6"/>
          <w:szCs w:val="16"/>
          <w:color w:val="auto"/>
        </w:rPr>
        <w:t>13</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LAIDLAW SOLID WASTE MANAGEMENT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 - CANADIAN OPERATIONS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COMBINED FINANCIAL STATEMENTS (CONT'D)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$000'S)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8" w:lineRule="exact"/>
        <w:rPr>
          <w:sz w:val="20"/>
          <w:szCs w:val="20"/>
          <w:color w:val="auto"/>
        </w:rPr>
      </w:pPr>
    </w:p>
    <w:p>
      <w:pPr>
        <w:ind w:left="500" w:hanging="499"/>
        <w:spacing w:after="0"/>
        <w:tabs>
          <w:tab w:leader="none" w:pos="5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(CONT'D)</w:t>
      </w:r>
    </w:p>
    <w:p>
      <w:pPr>
        <w:spacing w:after="0" w:line="197" w:lineRule="exact"/>
        <w:rPr>
          <w:rFonts w:ascii="Courier New" w:cs="Courier New" w:eastAsia="Courier New" w:hAnsi="Courier New"/>
          <w:sz w:val="16"/>
          <w:szCs w:val="16"/>
          <w:color w:val="auto"/>
        </w:rPr>
      </w:pPr>
    </w:p>
    <w:p>
      <w:pPr>
        <w:ind w:left="1080" w:hanging="586"/>
        <w:spacing w:after="0"/>
        <w:tabs>
          <w:tab w:leader="none" w:pos="108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PRONOUNCEMENT NOT YET REQUIRED TO BE ADOPTED</w:t>
      </w:r>
    </w:p>
    <w:p>
      <w:pPr>
        <w:spacing w:after="0" w:line="198" w:lineRule="exact"/>
        <w:rPr>
          <w:sz w:val="20"/>
          <w:szCs w:val="20"/>
          <w:color w:val="auto"/>
        </w:rPr>
      </w:pPr>
    </w:p>
    <w:p>
      <w:pPr>
        <w:ind w:left="500" w:right="2339"/>
        <w:spacing w:after="0" w:line="251" w:lineRule="auto"/>
        <w:rPr>
          <w:sz w:val="20"/>
          <w:szCs w:val="20"/>
          <w:color w:val="auto"/>
        </w:rPr>
      </w:pPr>
      <w:r>
        <w:rPr>
          <w:rFonts w:ascii="Courier New" w:cs="Courier New" w:eastAsia="Courier New" w:hAnsi="Courier New"/>
          <w:sz w:val="16"/>
          <w:szCs w:val="16"/>
          <w:color w:val="auto"/>
        </w:rPr>
        <w:t>The Group does not expect the adoption of "SFAS" No. 121 "Accounting for Impairment of Long-Lived Assets and for Long-Lived Assets to be Disposed Of" to have a materially adverse effect on the Group's financial position or results of operations. In 1997 the Group is required to adopt SFAS No. 121, issued by the Financial Accounting Standards Board. SFAS No. 121 requires that long-lived assets be reviewed for impairment whenever events or circumstances indicate that the carrying amount of the asset may not be recoverable. If the sum of the expected future cash flows (undiscounted and without interest charges) from an asset to be held and used in operations is less than the carrying value of the asset, an impairment loss must be recognized in the amount of the difference between the carrying value and the fair value. Should events and circumstances indicate that any of the Group's landfills be reviewed for possible impairment, such review for recoverability will be made in accordance with Emerging Issues Task Force Discussion Issue ("EITF") 95-23. The EITF outlines how cash flows for environmental exit costs should be determined and measured.</w:t>
      </w:r>
    </w:p>
    <w:p>
      <w:pPr>
        <w:spacing w:after="0" w:line="190" w:lineRule="exact"/>
        <w:rPr>
          <w:sz w:val="20"/>
          <w:szCs w:val="20"/>
          <w:color w:val="auto"/>
        </w:rPr>
      </w:pPr>
    </w:p>
    <w:p>
      <w:pPr>
        <w:ind w:left="500" w:right="2339"/>
        <w:spacing w:after="0" w:line="252" w:lineRule="auto"/>
        <w:rPr>
          <w:sz w:val="20"/>
          <w:szCs w:val="20"/>
          <w:color w:val="auto"/>
        </w:rPr>
      </w:pPr>
      <w:r>
        <w:rPr>
          <w:rFonts w:ascii="Courier New" w:cs="Courier New" w:eastAsia="Courier New" w:hAnsi="Courier New"/>
          <w:sz w:val="16"/>
          <w:szCs w:val="16"/>
          <w:color w:val="auto"/>
        </w:rPr>
        <w:t>SFAS No. 121 has been adopted for the unaudited period ended November 30, 1996. The Group has evaluated these issues and has determined that no events or circumstances have occurred that require the evaluation of any of the Group's landfills for possible impairment.</w:t>
      </w:r>
    </w:p>
    <w:p>
      <w:pPr>
        <w:spacing w:after="0" w:line="187" w:lineRule="exact"/>
        <w:rPr>
          <w:sz w:val="20"/>
          <w:szCs w:val="20"/>
          <w:color w:val="auto"/>
        </w:rPr>
      </w:pPr>
    </w:p>
    <w:p>
      <w:pPr>
        <w:ind w:left="980" w:hanging="486"/>
        <w:spacing w:after="0"/>
        <w:tabs>
          <w:tab w:leader="none" w:pos="9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INTERIM REPORTING</w:t>
      </w:r>
    </w:p>
    <w:p>
      <w:pPr>
        <w:spacing w:after="0" w:line="198" w:lineRule="exact"/>
        <w:rPr>
          <w:sz w:val="20"/>
          <w:szCs w:val="20"/>
          <w:color w:val="auto"/>
        </w:rPr>
      </w:pPr>
    </w:p>
    <w:p>
      <w:pPr>
        <w:ind w:left="500" w:right="2519"/>
        <w:spacing w:after="0" w:line="251" w:lineRule="auto"/>
        <w:rPr>
          <w:sz w:val="20"/>
          <w:szCs w:val="20"/>
          <w:color w:val="auto"/>
        </w:rPr>
      </w:pPr>
      <w:r>
        <w:rPr>
          <w:rFonts w:ascii="Courier New" w:cs="Courier New" w:eastAsia="Courier New" w:hAnsi="Courier New"/>
          <w:sz w:val="16"/>
          <w:szCs w:val="16"/>
          <w:color w:val="auto"/>
        </w:rPr>
        <w:t>The combined balance sheets of Laidlaw Solid Waste Management Group - Canadian Operations as of November 30, 1996, the related, combined statements of operations for the three months ended November 30, 1996 and the combined statements of cash flows for the three months ended November 30, 1996 are unaudited. In the opinion of management, such financial statements include all adjustments, consisting only of normal recurring adjustments, necessary for a fair presentation of financial position, results of operations, and cash flows for the period presented.</w:t>
      </w:r>
    </w:p>
    <w:p>
      <w:pPr>
        <w:spacing w:after="0" w:line="190" w:lineRule="exact"/>
        <w:rPr>
          <w:sz w:val="20"/>
          <w:szCs w:val="20"/>
          <w:color w:val="auto"/>
        </w:rPr>
      </w:pPr>
    </w:p>
    <w:p>
      <w:pPr>
        <w:ind w:left="500" w:hanging="499"/>
        <w:spacing w:after="0"/>
        <w:tabs>
          <w:tab w:leader="none" w:pos="5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200" w:lineRule="exact"/>
        <w:rPr>
          <w:sz w:val="20"/>
          <w:szCs w:val="20"/>
          <w:color w:val="auto"/>
        </w:rPr>
      </w:pPr>
    </w:p>
    <w:p>
      <w:pPr>
        <w:spacing w:after="0" w:line="377"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4520" w:type="dxa"/>
            <w:vAlign w:val="bottom"/>
          </w:tcPr>
          <w:p>
            <w:pPr>
              <w:spacing w:after="0"/>
              <w:rPr>
                <w:sz w:val="16"/>
                <w:szCs w:val="16"/>
                <w:color w:val="auto"/>
              </w:rPr>
            </w:pPr>
          </w:p>
        </w:tc>
        <w:tc>
          <w:tcPr>
            <w:tcW w:w="1640" w:type="dxa"/>
            <w:vAlign w:val="bottom"/>
          </w:tcPr>
          <w:p>
            <w:pPr>
              <w:jc w:val="center"/>
              <w:ind w:right="58"/>
              <w:spacing w:after="0"/>
              <w:rPr>
                <w:sz w:val="20"/>
                <w:szCs w:val="20"/>
                <w:color w:val="auto"/>
              </w:rPr>
            </w:pPr>
            <w:r>
              <w:rPr>
                <w:rFonts w:ascii="Courier New" w:cs="Courier New" w:eastAsia="Courier New" w:hAnsi="Courier New"/>
                <w:sz w:val="16"/>
                <w:szCs w:val="16"/>
                <w:color w:val="auto"/>
              </w:rPr>
              <w:t>(Unaudited)</w:t>
            </w:r>
          </w:p>
        </w:tc>
        <w:tc>
          <w:tcPr>
            <w:tcW w:w="1220" w:type="dxa"/>
            <w:vAlign w:val="bottom"/>
          </w:tcPr>
          <w:p>
            <w:pPr>
              <w:spacing w:after="0"/>
              <w:rPr>
                <w:sz w:val="16"/>
                <w:szCs w:val="16"/>
                <w:color w:val="auto"/>
              </w:rPr>
            </w:pPr>
          </w:p>
        </w:tc>
      </w:tr>
      <w:tr>
        <w:trPr>
          <w:trHeight w:val="190"/>
        </w:trPr>
        <w:tc>
          <w:tcPr>
            <w:tcW w:w="4520" w:type="dxa"/>
            <w:vAlign w:val="bottom"/>
          </w:tcPr>
          <w:p>
            <w:pPr>
              <w:spacing w:after="0"/>
              <w:rPr>
                <w:sz w:val="16"/>
                <w:szCs w:val="16"/>
                <w:color w:val="auto"/>
              </w:rPr>
            </w:pPr>
          </w:p>
        </w:tc>
        <w:tc>
          <w:tcPr>
            <w:tcW w:w="1640" w:type="dxa"/>
            <w:vAlign w:val="bottom"/>
          </w:tcPr>
          <w:p>
            <w:pPr>
              <w:jc w:val="center"/>
              <w:ind w:right="58"/>
              <w:spacing w:after="0"/>
              <w:rPr>
                <w:sz w:val="20"/>
                <w:szCs w:val="20"/>
                <w:color w:val="auto"/>
              </w:rPr>
            </w:pPr>
            <w:r>
              <w:rPr>
                <w:rFonts w:ascii="Courier New" w:cs="Courier New" w:eastAsia="Courier New" w:hAnsi="Courier New"/>
                <w:sz w:val="16"/>
                <w:szCs w:val="16"/>
                <w:color w:val="auto"/>
              </w:rPr>
              <w:t>November 30</w:t>
            </w:r>
          </w:p>
        </w:tc>
        <w:tc>
          <w:tcPr>
            <w:tcW w:w="1220" w:type="dxa"/>
            <w:vAlign w:val="bottom"/>
          </w:tcPr>
          <w:p>
            <w:pPr>
              <w:ind w:left="340"/>
              <w:spacing w:after="0"/>
              <w:rPr>
                <w:sz w:val="20"/>
                <w:szCs w:val="20"/>
                <w:color w:val="auto"/>
              </w:rPr>
            </w:pPr>
            <w:r>
              <w:rPr>
                <w:rFonts w:ascii="Courier New" w:cs="Courier New" w:eastAsia="Courier New" w:hAnsi="Courier New"/>
                <w:sz w:val="16"/>
                <w:szCs w:val="16"/>
                <w:color w:val="auto"/>
                <w:w w:val="99"/>
              </w:rPr>
              <w:t>August 31</w:t>
            </w:r>
          </w:p>
        </w:tc>
      </w:tr>
      <w:tr>
        <w:trPr>
          <w:trHeight w:val="190"/>
        </w:trPr>
        <w:tc>
          <w:tcPr>
            <w:tcW w:w="4520" w:type="dxa"/>
            <w:vAlign w:val="bottom"/>
          </w:tcPr>
          <w:p>
            <w:pPr>
              <w:spacing w:after="0"/>
              <w:rPr>
                <w:sz w:val="16"/>
                <w:szCs w:val="16"/>
                <w:color w:val="auto"/>
              </w:rPr>
            </w:pPr>
          </w:p>
        </w:tc>
        <w:tc>
          <w:tcPr>
            <w:tcW w:w="164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1996</w:t>
            </w:r>
          </w:p>
        </w:tc>
        <w:tc>
          <w:tcPr>
            <w:tcW w:w="1220" w:type="dxa"/>
            <w:vAlign w:val="bottom"/>
          </w:tcPr>
          <w:p>
            <w:pPr>
              <w:ind w:left="640"/>
              <w:spacing w:after="0"/>
              <w:rPr>
                <w:sz w:val="20"/>
                <w:szCs w:val="20"/>
                <w:color w:val="auto"/>
              </w:rPr>
            </w:pPr>
            <w:r>
              <w:rPr>
                <w:rFonts w:ascii="Courier New" w:cs="Courier New" w:eastAsia="Courier New" w:hAnsi="Courier New"/>
                <w:sz w:val="16"/>
                <w:szCs w:val="16"/>
                <w:color w:val="auto"/>
              </w:rPr>
              <w:t>1996</w:t>
            </w:r>
          </w:p>
        </w:tc>
      </w:tr>
      <w:tr>
        <w:trPr>
          <w:trHeight w:val="190"/>
        </w:trPr>
        <w:tc>
          <w:tcPr>
            <w:tcW w:w="4520" w:type="dxa"/>
            <w:vAlign w:val="bottom"/>
          </w:tcPr>
          <w:p>
            <w:pPr>
              <w:spacing w:after="0"/>
              <w:rPr>
                <w:sz w:val="16"/>
                <w:szCs w:val="16"/>
                <w:color w:val="auto"/>
              </w:rPr>
            </w:pPr>
          </w:p>
        </w:tc>
        <w:tc>
          <w:tcPr>
            <w:tcW w:w="1640" w:type="dxa"/>
            <w:vAlign w:val="bottom"/>
          </w:tcPr>
          <w:p>
            <w:pPr>
              <w:jc w:val="center"/>
              <w:ind w:right="58"/>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ind w:left="840"/>
              <w:spacing w:after="0"/>
              <w:rPr>
                <w:sz w:val="20"/>
                <w:szCs w:val="20"/>
                <w:color w:val="auto"/>
              </w:rPr>
            </w:pPr>
            <w:r>
              <w:rPr>
                <w:rFonts w:ascii="Courier New" w:cs="Courier New" w:eastAsia="Courier New" w:hAnsi="Courier New"/>
                <w:sz w:val="16"/>
                <w:szCs w:val="16"/>
                <w:color w:val="auto"/>
              </w:rPr>
              <w:t>$</w:t>
            </w:r>
          </w:p>
        </w:tc>
      </w:tr>
      <w:tr>
        <w:trPr>
          <w:trHeight w:val="379"/>
        </w:trPr>
        <w:tc>
          <w:tcPr>
            <w:tcW w:w="4520" w:type="dxa"/>
            <w:vAlign w:val="bottom"/>
          </w:tcPr>
          <w:p>
            <w:pPr>
              <w:spacing w:after="0"/>
              <w:rPr>
                <w:sz w:val="20"/>
                <w:szCs w:val="20"/>
                <w:color w:val="auto"/>
              </w:rPr>
            </w:pPr>
            <w:r>
              <w:rPr>
                <w:rFonts w:ascii="Courier New" w:cs="Courier New" w:eastAsia="Courier New" w:hAnsi="Courier New"/>
                <w:sz w:val="16"/>
                <w:szCs w:val="16"/>
                <w:color w:val="auto"/>
              </w:rPr>
              <w:t>Notes due at various dates from 1998 to 2002</w:t>
            </w:r>
          </w:p>
        </w:tc>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0"/>
        </w:trPr>
        <w:tc>
          <w:tcPr>
            <w:tcW w:w="4520" w:type="dxa"/>
            <w:vAlign w:val="bottom"/>
          </w:tcPr>
          <w:p>
            <w:pPr>
              <w:ind w:left="380"/>
              <w:spacing w:after="0"/>
              <w:rPr>
                <w:sz w:val="20"/>
                <w:szCs w:val="20"/>
                <w:color w:val="auto"/>
              </w:rPr>
            </w:pPr>
            <w:r>
              <w:rPr>
                <w:rFonts w:ascii="Courier New" w:cs="Courier New" w:eastAsia="Courier New" w:hAnsi="Courier New"/>
                <w:sz w:val="16"/>
                <w:szCs w:val="16"/>
                <w:color w:val="auto"/>
              </w:rPr>
              <w:t>with interest rates from 0% to 8%</w:t>
            </w:r>
          </w:p>
        </w:tc>
        <w:tc>
          <w:tcPr>
            <w:tcW w:w="164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219</w:t>
            </w:r>
          </w:p>
        </w:tc>
        <w:tc>
          <w:tcPr>
            <w:tcW w:w="1220" w:type="dxa"/>
            <w:vAlign w:val="bottom"/>
          </w:tcPr>
          <w:p>
            <w:pPr>
              <w:ind w:left="840"/>
              <w:spacing w:after="0"/>
              <w:rPr>
                <w:sz w:val="20"/>
                <w:szCs w:val="20"/>
                <w:color w:val="auto"/>
              </w:rPr>
            </w:pPr>
            <w:r>
              <w:rPr>
                <w:rFonts w:ascii="Courier New" w:cs="Courier New" w:eastAsia="Courier New" w:hAnsi="Courier New"/>
                <w:sz w:val="16"/>
                <w:szCs w:val="16"/>
                <w:color w:val="auto"/>
              </w:rPr>
              <w:t>507</w:t>
            </w:r>
          </w:p>
        </w:tc>
      </w:tr>
      <w:tr>
        <w:trPr>
          <w:trHeight w:val="190"/>
        </w:trPr>
        <w:tc>
          <w:tcPr>
            <w:tcW w:w="4520" w:type="dxa"/>
            <w:vAlign w:val="bottom"/>
          </w:tcPr>
          <w:p>
            <w:pPr>
              <w:spacing w:after="0"/>
              <w:rPr>
                <w:sz w:val="20"/>
                <w:szCs w:val="20"/>
                <w:color w:val="auto"/>
              </w:rPr>
            </w:pPr>
            <w:r>
              <w:rPr>
                <w:rFonts w:ascii="Courier New" w:cs="Courier New" w:eastAsia="Courier New" w:hAnsi="Courier New"/>
                <w:sz w:val="16"/>
                <w:szCs w:val="16"/>
                <w:color w:val="auto"/>
              </w:rPr>
              <w:t>Less:  Current portion</w:t>
            </w:r>
          </w:p>
        </w:tc>
        <w:tc>
          <w:tcPr>
            <w:tcW w:w="164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77</w:t>
            </w:r>
          </w:p>
        </w:tc>
        <w:tc>
          <w:tcPr>
            <w:tcW w:w="1220" w:type="dxa"/>
            <w:vAlign w:val="bottom"/>
          </w:tcPr>
          <w:p>
            <w:pPr>
              <w:ind w:left="840"/>
              <w:spacing w:after="0"/>
              <w:rPr>
                <w:sz w:val="20"/>
                <w:szCs w:val="20"/>
                <w:color w:val="auto"/>
              </w:rPr>
            </w:pPr>
            <w:r>
              <w:rPr>
                <w:rFonts w:ascii="Courier New" w:cs="Courier New" w:eastAsia="Courier New" w:hAnsi="Courier New"/>
                <w:sz w:val="16"/>
                <w:szCs w:val="16"/>
                <w:color w:val="auto"/>
              </w:rPr>
              <w:t>243</w:t>
            </w:r>
          </w:p>
        </w:tc>
      </w:tr>
      <w:tr>
        <w:trPr>
          <w:trHeight w:val="190"/>
        </w:trPr>
        <w:tc>
          <w:tcPr>
            <w:tcW w:w="4520" w:type="dxa"/>
            <w:vAlign w:val="bottom"/>
          </w:tcPr>
          <w:p>
            <w:pPr>
              <w:spacing w:after="0"/>
              <w:rPr>
                <w:sz w:val="16"/>
                <w:szCs w:val="16"/>
                <w:color w:val="auto"/>
              </w:rPr>
            </w:pPr>
          </w:p>
        </w:tc>
        <w:tc>
          <w:tcPr>
            <w:tcW w:w="164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ind w:left="840"/>
              <w:spacing w:after="0"/>
              <w:rPr>
                <w:sz w:val="20"/>
                <w:szCs w:val="20"/>
                <w:color w:val="auto"/>
              </w:rPr>
            </w:pPr>
            <w:r>
              <w:rPr>
                <w:rFonts w:ascii="Courier New" w:cs="Courier New" w:eastAsia="Courier New" w:hAnsi="Courier New"/>
                <w:sz w:val="16"/>
                <w:szCs w:val="16"/>
                <w:color w:val="auto"/>
              </w:rPr>
              <w:t>---</w:t>
            </w:r>
          </w:p>
        </w:tc>
      </w:tr>
      <w:tr>
        <w:trPr>
          <w:trHeight w:val="190"/>
        </w:trPr>
        <w:tc>
          <w:tcPr>
            <w:tcW w:w="4520" w:type="dxa"/>
            <w:vAlign w:val="bottom"/>
          </w:tcPr>
          <w:p>
            <w:pPr>
              <w:spacing w:after="0"/>
              <w:rPr>
                <w:sz w:val="16"/>
                <w:szCs w:val="16"/>
                <w:color w:val="auto"/>
              </w:rPr>
            </w:pPr>
          </w:p>
        </w:tc>
        <w:tc>
          <w:tcPr>
            <w:tcW w:w="164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142</w:t>
            </w:r>
          </w:p>
        </w:tc>
        <w:tc>
          <w:tcPr>
            <w:tcW w:w="1220" w:type="dxa"/>
            <w:vAlign w:val="bottom"/>
          </w:tcPr>
          <w:p>
            <w:pPr>
              <w:ind w:left="840"/>
              <w:spacing w:after="0"/>
              <w:rPr>
                <w:sz w:val="20"/>
                <w:szCs w:val="20"/>
                <w:color w:val="auto"/>
              </w:rPr>
            </w:pPr>
            <w:r>
              <w:rPr>
                <w:rFonts w:ascii="Courier New" w:cs="Courier New" w:eastAsia="Courier New" w:hAnsi="Courier New"/>
                <w:sz w:val="16"/>
                <w:szCs w:val="16"/>
                <w:color w:val="auto"/>
              </w:rPr>
              <w:t>264</w:t>
            </w:r>
          </w:p>
        </w:tc>
      </w:tr>
      <w:tr>
        <w:trPr>
          <w:trHeight w:val="190"/>
        </w:trPr>
        <w:tc>
          <w:tcPr>
            <w:tcW w:w="4520" w:type="dxa"/>
            <w:vAlign w:val="bottom"/>
          </w:tcPr>
          <w:p>
            <w:pPr>
              <w:spacing w:after="0"/>
              <w:rPr>
                <w:sz w:val="16"/>
                <w:szCs w:val="16"/>
                <w:color w:val="auto"/>
              </w:rPr>
            </w:pPr>
          </w:p>
        </w:tc>
        <w:tc>
          <w:tcPr>
            <w:tcW w:w="164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ind w:left="84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00" w:right="2819"/>
        <w:spacing w:after="0" w:line="255" w:lineRule="auto"/>
        <w:rPr>
          <w:sz w:val="20"/>
          <w:szCs w:val="20"/>
          <w:color w:val="auto"/>
        </w:rPr>
      </w:pPr>
      <w:r>
        <w:rPr>
          <w:rFonts w:ascii="Courier New" w:cs="Courier New" w:eastAsia="Courier New" w:hAnsi="Courier New"/>
          <w:sz w:val="16"/>
          <w:szCs w:val="16"/>
          <w:color w:val="auto"/>
        </w:rPr>
        <w:t>The aggregate amount of minimum payments required on long-term debt in each of the years indicated is as follows:</w:t>
      </w:r>
    </w:p>
    <w:p>
      <w:pPr>
        <w:spacing w:after="0" w:line="184"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24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2460" w:type="dxa"/>
            <w:vAlign w:val="bottom"/>
          </w:tcPr>
          <w:p>
            <w:pPr>
              <w:spacing w:after="0"/>
              <w:rPr>
                <w:sz w:val="20"/>
                <w:szCs w:val="20"/>
                <w:color w:val="auto"/>
              </w:rPr>
            </w:pPr>
            <w:r>
              <w:rPr>
                <w:rFonts w:ascii="Courier New" w:cs="Courier New" w:eastAsia="Courier New" w:hAnsi="Courier New"/>
                <w:sz w:val="16"/>
                <w:szCs w:val="16"/>
                <w:color w:val="auto"/>
              </w:rPr>
              <w:t>Year ending August 31,</w:t>
            </w:r>
          </w:p>
        </w:tc>
        <w:tc>
          <w:tcPr>
            <w:tcW w:w="1680" w:type="dxa"/>
            <w:vAlign w:val="bottom"/>
          </w:tcPr>
          <w:p>
            <w:pPr>
              <w:jc w:val="right"/>
              <w:ind w:right="918"/>
              <w:spacing w:after="0"/>
              <w:rPr>
                <w:sz w:val="20"/>
                <w:szCs w:val="20"/>
                <w:color w:val="auto"/>
              </w:rPr>
            </w:pPr>
            <w:r>
              <w:rPr>
                <w:rFonts w:ascii="Courier New" w:cs="Courier New" w:eastAsia="Courier New" w:hAnsi="Courier New"/>
                <w:sz w:val="16"/>
                <w:szCs w:val="16"/>
                <w:color w:val="auto"/>
              </w:rPr>
              <w:t>1997</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243</w:t>
            </w:r>
          </w:p>
        </w:tc>
      </w:tr>
      <w:tr>
        <w:trPr>
          <w:trHeight w:val="190"/>
        </w:trPr>
        <w:tc>
          <w:tcPr>
            <w:tcW w:w="2460" w:type="dxa"/>
            <w:vAlign w:val="bottom"/>
          </w:tcPr>
          <w:p>
            <w:pPr>
              <w:spacing w:after="0"/>
              <w:rPr>
                <w:sz w:val="16"/>
                <w:szCs w:val="16"/>
                <w:color w:val="auto"/>
              </w:rPr>
            </w:pPr>
          </w:p>
        </w:tc>
        <w:tc>
          <w:tcPr>
            <w:tcW w:w="1680" w:type="dxa"/>
            <w:vAlign w:val="bottom"/>
          </w:tcPr>
          <w:p>
            <w:pPr>
              <w:jc w:val="right"/>
              <w:ind w:right="918"/>
              <w:spacing w:after="0"/>
              <w:rPr>
                <w:sz w:val="20"/>
                <w:szCs w:val="20"/>
                <w:color w:val="auto"/>
              </w:rPr>
            </w:pPr>
            <w:r>
              <w:rPr>
                <w:rFonts w:ascii="Courier New" w:cs="Courier New" w:eastAsia="Courier New" w:hAnsi="Courier New"/>
                <w:sz w:val="16"/>
                <w:szCs w:val="16"/>
                <w:color w:val="auto"/>
              </w:rPr>
              <w:t>1998</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168</w:t>
            </w:r>
          </w:p>
        </w:tc>
      </w:tr>
      <w:tr>
        <w:trPr>
          <w:trHeight w:val="190"/>
        </w:trPr>
        <w:tc>
          <w:tcPr>
            <w:tcW w:w="2460" w:type="dxa"/>
            <w:vAlign w:val="bottom"/>
          </w:tcPr>
          <w:p>
            <w:pPr>
              <w:spacing w:after="0"/>
              <w:rPr>
                <w:sz w:val="16"/>
                <w:szCs w:val="16"/>
                <w:color w:val="auto"/>
              </w:rPr>
            </w:pPr>
          </w:p>
        </w:tc>
        <w:tc>
          <w:tcPr>
            <w:tcW w:w="1680" w:type="dxa"/>
            <w:vAlign w:val="bottom"/>
          </w:tcPr>
          <w:p>
            <w:pPr>
              <w:jc w:val="right"/>
              <w:ind w:right="918"/>
              <w:spacing w:after="0"/>
              <w:rPr>
                <w:sz w:val="20"/>
                <w:szCs w:val="20"/>
                <w:color w:val="auto"/>
              </w:rPr>
            </w:pPr>
            <w:r>
              <w:rPr>
                <w:rFonts w:ascii="Courier New" w:cs="Courier New" w:eastAsia="Courier New" w:hAnsi="Courier New"/>
                <w:sz w:val="16"/>
                <w:szCs w:val="16"/>
                <w:color w:val="auto"/>
              </w:rPr>
              <w:t>1999</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190"/>
        </w:trPr>
        <w:tc>
          <w:tcPr>
            <w:tcW w:w="2460" w:type="dxa"/>
            <w:vAlign w:val="bottom"/>
          </w:tcPr>
          <w:p>
            <w:pPr>
              <w:spacing w:after="0"/>
              <w:rPr>
                <w:sz w:val="16"/>
                <w:szCs w:val="16"/>
                <w:color w:val="auto"/>
              </w:rPr>
            </w:pPr>
          </w:p>
        </w:tc>
        <w:tc>
          <w:tcPr>
            <w:tcW w:w="1680" w:type="dxa"/>
            <w:vAlign w:val="bottom"/>
          </w:tcPr>
          <w:p>
            <w:pPr>
              <w:jc w:val="right"/>
              <w:ind w:right="918"/>
              <w:spacing w:after="0"/>
              <w:rPr>
                <w:sz w:val="20"/>
                <w:szCs w:val="20"/>
                <w:color w:val="auto"/>
              </w:rPr>
            </w:pPr>
            <w:r>
              <w:rPr>
                <w:rFonts w:ascii="Courier New" w:cs="Courier New" w:eastAsia="Courier New" w:hAnsi="Courier New"/>
                <w:sz w:val="16"/>
                <w:szCs w:val="16"/>
                <w:color w:val="auto"/>
              </w:rPr>
              <w:t>2000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190"/>
        </w:trPr>
        <w:tc>
          <w:tcPr>
            <w:tcW w:w="2460" w:type="dxa"/>
            <w:vAlign w:val="bottom"/>
          </w:tcPr>
          <w:p>
            <w:pPr>
              <w:spacing w:after="0"/>
              <w:rPr>
                <w:sz w:val="16"/>
                <w:szCs w:val="16"/>
                <w:color w:val="auto"/>
              </w:rPr>
            </w:pPr>
          </w:p>
        </w:tc>
        <w:tc>
          <w:tcPr>
            <w:tcW w:w="1680" w:type="dxa"/>
            <w:vAlign w:val="bottom"/>
          </w:tcPr>
          <w:p>
            <w:pPr>
              <w:jc w:val="right"/>
              <w:ind w:right="918"/>
              <w:spacing w:after="0"/>
              <w:rPr>
                <w:sz w:val="20"/>
                <w:szCs w:val="20"/>
                <w:color w:val="auto"/>
              </w:rPr>
            </w:pPr>
            <w:r>
              <w:rPr>
                <w:rFonts w:ascii="Courier New" w:cs="Courier New" w:eastAsia="Courier New" w:hAnsi="Courier New"/>
                <w:sz w:val="16"/>
                <w:szCs w:val="16"/>
                <w:color w:val="auto"/>
              </w:rPr>
              <w:t>2001</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190"/>
        </w:trPr>
        <w:tc>
          <w:tcPr>
            <w:tcW w:w="24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24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507</w:t>
            </w:r>
          </w:p>
        </w:tc>
      </w:tr>
      <w:tr>
        <w:trPr>
          <w:trHeight w:val="190"/>
        </w:trPr>
        <w:tc>
          <w:tcPr>
            <w:tcW w:w="24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306" w:right="1440" w:bottom="426"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6"/>
          <w:szCs w:val="16"/>
          <w:color w:val="auto"/>
        </w:rPr>
        <w:t>14</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LAIDLAW SOLID WASTE MANAGEMENT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 - CANADIAN OPERATIONS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COMBINED FINANCIAL STATEMENTS (CONT'D)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$000'S)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77" w:lineRule="exact"/>
        <w:rPr>
          <w:sz w:val="20"/>
          <w:szCs w:val="20"/>
          <w:color w:val="auto"/>
        </w:rPr>
      </w:pPr>
    </w:p>
    <w:p>
      <w:pPr>
        <w:ind w:left="500" w:hanging="499"/>
        <w:spacing w:after="0"/>
        <w:tabs>
          <w:tab w:leader="none" w:pos="5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LIABILITIES</w:t>
      </w:r>
    </w:p>
    <w:p>
      <w:pPr>
        <w:spacing w:after="0" w:line="197" w:lineRule="exact"/>
        <w:rPr>
          <w:rFonts w:ascii="Courier New" w:cs="Courier New" w:eastAsia="Courier New" w:hAnsi="Courier New"/>
          <w:sz w:val="16"/>
          <w:szCs w:val="16"/>
          <w:color w:val="auto"/>
        </w:rPr>
      </w:pPr>
    </w:p>
    <w:p>
      <w:pPr>
        <w:ind w:left="500" w:right="243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Group has recorded liabilities for closure and post-closure monitoring and environmental remediation costs as follows:</w:t>
      </w:r>
    </w:p>
    <w:p>
      <w:pPr>
        <w:spacing w:after="0" w:line="184" w:lineRule="exact"/>
        <w:rPr>
          <w:sz w:val="20"/>
          <w:szCs w:val="20"/>
          <w:color w:val="auto"/>
        </w:rPr>
      </w:pPr>
    </w:p>
    <w:p>
      <w:pPr>
        <w:ind w:left="6700"/>
        <w:spacing w:after="0"/>
        <w:rPr>
          <w:sz w:val="20"/>
          <w:szCs w:val="20"/>
          <w:color w:val="auto"/>
        </w:rPr>
      </w:pPr>
      <w:r>
        <w:rPr>
          <w:rFonts w:ascii="Courier New" w:cs="Courier New" w:eastAsia="Courier New" w:hAnsi="Courier New"/>
          <w:sz w:val="16"/>
          <w:szCs w:val="16"/>
          <w:color w:val="auto"/>
        </w:rPr>
        <w:t>August 31</w:t>
      </w:r>
    </w:p>
    <w:p>
      <w:pPr>
        <w:spacing w:after="0" w:line="8" w:lineRule="exact"/>
        <w:rPr>
          <w:sz w:val="20"/>
          <w:szCs w:val="20"/>
          <w:color w:val="auto"/>
        </w:rPr>
      </w:pPr>
    </w:p>
    <w:p>
      <w:pPr>
        <w:ind w:left="6900"/>
        <w:spacing w:after="0"/>
        <w:rPr>
          <w:sz w:val="20"/>
          <w:szCs w:val="20"/>
          <w:color w:val="auto"/>
        </w:rPr>
      </w:pPr>
      <w:r>
        <w:rPr>
          <w:rFonts w:ascii="Courier New" w:cs="Courier New" w:eastAsia="Courier New" w:hAnsi="Courier New"/>
          <w:sz w:val="16"/>
          <w:szCs w:val="16"/>
          <w:color w:val="auto"/>
        </w:rPr>
        <w:t>1996</w:t>
      </w:r>
    </w:p>
    <w:p>
      <w:pPr>
        <w:spacing w:after="0" w:line="8" w:lineRule="exact"/>
        <w:rPr>
          <w:sz w:val="20"/>
          <w:szCs w:val="20"/>
          <w:color w:val="auto"/>
        </w:rPr>
      </w:pPr>
    </w:p>
    <w:p>
      <w:pPr>
        <w:ind w:left="70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06" w:right="1440" w:bottom="1440" w:gutter="0" w:footer="0" w:header="0"/>
        </w:sectPr>
      </w:pPr>
    </w:p>
    <w:p>
      <w:pPr>
        <w:spacing w:after="0" w:line="8" w:lineRule="exact"/>
        <w:rPr>
          <w:sz w:val="20"/>
          <w:szCs w:val="20"/>
          <w:color w:val="auto"/>
        </w:rPr>
      </w:pPr>
    </w:p>
    <w:p>
      <w:pPr>
        <w:ind w:left="700" w:right="760"/>
        <w:spacing w:after="0" w:line="253" w:lineRule="auto"/>
        <w:rPr>
          <w:sz w:val="20"/>
          <w:szCs w:val="20"/>
          <w:color w:val="auto"/>
        </w:rPr>
      </w:pPr>
      <w:r>
        <w:rPr>
          <w:rFonts w:ascii="Courier New" w:cs="Courier New" w:eastAsia="Courier New" w:hAnsi="Courier New"/>
          <w:sz w:val="16"/>
          <w:szCs w:val="16"/>
          <w:color w:val="auto"/>
        </w:rPr>
        <w:t>Current portion of environmental liabilities, included in accrued liabilities Non-current portion of environmental liabilities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748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5,409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6,157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180" w:space="720"/>
            <w:col w:w="3319"/>
          </w:cols>
          <w:pgMar w:left="240" w:top="306" w:right="1440" w:bottom="1440" w:gutter="0" w:footer="0" w:header="0"/>
          <w:type w:val="continuous"/>
        </w:sectPr>
      </w:pPr>
    </w:p>
    <w:p>
      <w:pPr>
        <w:spacing w:after="0" w:line="377" w:lineRule="exact"/>
        <w:rPr>
          <w:sz w:val="20"/>
          <w:szCs w:val="20"/>
          <w:color w:val="auto"/>
        </w:rPr>
      </w:pPr>
    </w:p>
    <w:p>
      <w:pPr>
        <w:ind w:left="500" w:right="2719"/>
        <w:spacing w:after="0" w:line="251" w:lineRule="auto"/>
        <w:rPr>
          <w:sz w:val="20"/>
          <w:szCs w:val="20"/>
          <w:color w:val="auto"/>
        </w:rPr>
      </w:pPr>
      <w:r>
        <w:rPr>
          <w:rFonts w:ascii="Courier New" w:cs="Courier New" w:eastAsia="Courier New" w:hAnsi="Courier New"/>
          <w:sz w:val="16"/>
          <w:szCs w:val="16"/>
          <w:color w:val="auto"/>
        </w:rPr>
        <w:t>The Group, in the normal course of its business, expends funds for environmental protection and remediation, but does not expect these expenditures to have a materially adverse effect on its financial condition or results of operations, since its business is based upon compliance with environmental laws and regulations and its services are priced accordingly.</w:t>
      </w:r>
    </w:p>
    <w:p>
      <w:pPr>
        <w:spacing w:after="0" w:line="190" w:lineRule="exact"/>
        <w:rPr>
          <w:sz w:val="20"/>
          <w:szCs w:val="20"/>
          <w:color w:val="auto"/>
        </w:rPr>
      </w:pPr>
    </w:p>
    <w:p>
      <w:pPr>
        <w:ind w:left="500" w:right="2439"/>
        <w:spacing w:after="0" w:line="252" w:lineRule="auto"/>
        <w:rPr>
          <w:sz w:val="20"/>
          <w:szCs w:val="20"/>
          <w:color w:val="auto"/>
        </w:rPr>
      </w:pPr>
      <w:r>
        <w:rPr>
          <w:rFonts w:ascii="Courier New" w:cs="Courier New" w:eastAsia="Courier New" w:hAnsi="Courier New"/>
          <w:sz w:val="16"/>
          <w:szCs w:val="16"/>
          <w:color w:val="auto"/>
        </w:rPr>
        <w:t>Closure and post-closure costs for the Group's landfills are based upon the local landfill regulations governing the facility. Costs include such items as final capping of the site, methane gas and leachate management, groundwater monitoring, and operation and maintenance costs to be incurred during the period after the facility closes and ceases to accept waste.</w:t>
      </w:r>
    </w:p>
    <w:p>
      <w:pPr>
        <w:spacing w:after="0" w:line="186" w:lineRule="exact"/>
        <w:rPr>
          <w:sz w:val="20"/>
          <w:szCs w:val="20"/>
          <w:color w:val="auto"/>
        </w:rPr>
      </w:pPr>
    </w:p>
    <w:p>
      <w:pPr>
        <w:ind w:left="500" w:right="2439"/>
        <w:spacing w:after="0" w:line="251" w:lineRule="auto"/>
        <w:rPr>
          <w:sz w:val="20"/>
          <w:szCs w:val="20"/>
          <w:color w:val="auto"/>
        </w:rPr>
      </w:pPr>
      <w:r>
        <w:rPr>
          <w:rFonts w:ascii="Courier New" w:cs="Courier New" w:eastAsia="Courier New" w:hAnsi="Courier New"/>
          <w:sz w:val="16"/>
          <w:szCs w:val="16"/>
          <w:color w:val="auto"/>
        </w:rPr>
        <w:t>The Group has also established procedures to routinely evaluate potential remedial liabilities at sites which it owns or operated, or to which it transported waste. The Group routinely reviews and evaluates sites requiring remediation, giving consideration to the nature (i.e. owner, operator, transporter or generator), and the extent (i.e. amount and nature of waste hauled to the location, number of years of site operation by the Group, or other relevant factors) of the Group's alleged connection with the site, the accuracy and strength of evidence connecting the Group to the location, the number, connection and financial ability of other named and unnamed potentially responsible parties and the nature and estimated cost of the likely remedy. Where the Group concludes that it is probable that a liability has been incurred, provision is made in the financial statements, based upon management's judgement and prior experience, for the Group's best estimate of the liability. Such estimates are subsequently revised as deemed necessary as additional information becomes available.</w:t>
      </w:r>
    </w:p>
    <w:p>
      <w:pPr>
        <w:sectPr>
          <w:pgSz w:w="11900" w:h="16838" w:orient="portrait"/>
          <w:cols w:equalWidth="0" w:num="1">
            <w:col w:w="10219"/>
          </w:cols>
          <w:pgMar w:left="240" w:top="306" w:right="1440" w:bottom="1440" w:gutter="0" w:footer="0" w:header="0"/>
          <w:type w:val="continuous"/>
        </w:sectPr>
      </w:pPr>
    </w:p>
    <w:bookmarkStart w:id="14" w:name="page15"/>
    <w:bookmarkEnd w:id="14"/>
    <w:p>
      <w:pPr>
        <w:ind w:left="300"/>
        <w:spacing w:after="0"/>
        <w:rPr>
          <w:sz w:val="20"/>
          <w:szCs w:val="20"/>
          <w:color w:val="auto"/>
        </w:rPr>
      </w:pPr>
      <w:r>
        <w:rPr>
          <w:rFonts w:ascii="Courier New" w:cs="Courier New" w:eastAsia="Courier New" w:hAnsi="Courier New"/>
          <w:sz w:val="16"/>
          <w:szCs w:val="16"/>
          <w:color w:val="auto"/>
        </w:rPr>
        <w:t>15</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LAIDLAW SOLID WASTE MANAGEMENT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 - CANADIAN OPERATIONS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COMBINED FINANCIAL STATEMENTS (CONT'D)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$000'S)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ind w:left="500" w:hanging="499"/>
        <w:spacing w:after="0"/>
        <w:tabs>
          <w:tab w:leader="none" w:pos="5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LIABILITIES (CONT'D)</w:t>
      </w:r>
    </w:p>
    <w:p>
      <w:pPr>
        <w:spacing w:after="0" w:line="387" w:lineRule="exact"/>
        <w:rPr>
          <w:rFonts w:ascii="Courier New" w:cs="Courier New" w:eastAsia="Courier New" w:hAnsi="Courier New"/>
          <w:sz w:val="16"/>
          <w:szCs w:val="16"/>
          <w:color w:val="auto"/>
        </w:rPr>
      </w:pPr>
    </w:p>
    <w:p>
      <w:pPr>
        <w:ind w:left="500" w:right="24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Estimates of the extent of the Group's degree of responsibility for remediation of a particular site and the method and ultimate cost of remediation require a number of assumptions and are inherently difficult. The ultimate outcome of these items may differ from current estimates. The Group believes that its extensive experience in the environmental services business provides a reasonable basis for making its estimates. However, these estimates may include a range of possible outcomes. In such cases, the Group provides for the amount within the range that constitutes its best estimate. The Group's best estimate is at the higher range of possible outcomes. While the Group does not currently anticipate that any adjustment to its estimates would be material to its financial statements, it is reasonably possible that technological, regulatory or enforcement developments, the results of environmental studies or other factors could necessitate the recording of additional liabilities that could be material. The impact of such future events cannot be estimated at the current time.</w:t>
      </w:r>
    </w:p>
    <w:p>
      <w:pPr>
        <w:spacing w:after="0" w:line="379" w:lineRule="exact"/>
        <w:rPr>
          <w:rFonts w:ascii="Courier New" w:cs="Courier New" w:eastAsia="Courier New" w:hAnsi="Courier New"/>
          <w:sz w:val="16"/>
          <w:szCs w:val="16"/>
          <w:color w:val="auto"/>
        </w:rPr>
      </w:pPr>
    </w:p>
    <w:p>
      <w:pPr>
        <w:ind w:left="500" w:right="251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Where the Group believes that both the amount of a particular environmental liability and the timing of the payments are reliably determinable, the cost in current dollars is discounted to present value, assuming inflation of 3% and a risk free discount rate of 8%. Had the Group not discounted any portion of its liability, the amount recorded would have been increased by approximately $9.4 million as at August 31, 1996.</w:t>
      </w:r>
    </w:p>
    <w:p>
      <w:pPr>
        <w:spacing w:after="0" w:line="189" w:lineRule="exact"/>
        <w:rPr>
          <w:rFonts w:ascii="Courier New" w:cs="Courier New" w:eastAsia="Courier New" w:hAnsi="Courier New"/>
          <w:sz w:val="16"/>
          <w:szCs w:val="16"/>
          <w:color w:val="auto"/>
        </w:rPr>
      </w:pPr>
    </w:p>
    <w:p>
      <w:pPr>
        <w:ind w:left="500" w:right="24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majority of the Group's active landfill sites have estimated remaining lives ranging from 3 to approximately 23 years based upon current site plans and anticipated annual volumes of waste. As at August 31, 1996, the Group estimates that during this remaining site life, it will provide for an additional $24.0 million of closure and post-closure costs, including accretion for the discount recognized to date.</w:t>
      </w:r>
    </w:p>
    <w:p>
      <w:pPr>
        <w:spacing w:after="0" w:line="189" w:lineRule="exact"/>
        <w:rPr>
          <w:rFonts w:ascii="Courier New" w:cs="Courier New" w:eastAsia="Courier New" w:hAnsi="Courier New"/>
          <w:sz w:val="16"/>
          <w:szCs w:val="16"/>
          <w:color w:val="auto"/>
        </w:rPr>
      </w:pPr>
    </w:p>
    <w:p>
      <w:pPr>
        <w:ind w:left="500" w:right="281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Anticipated payments of environmental liabilities for each of the next five years and thereafter are as follows:</w:t>
      </w:r>
    </w:p>
    <w:p>
      <w:pPr>
        <w:spacing w:after="0" w:line="200" w:lineRule="exact"/>
        <w:rPr>
          <w:sz w:val="20"/>
          <w:szCs w:val="20"/>
          <w:color w:val="auto"/>
        </w:rPr>
      </w:pPr>
    </w:p>
    <w:p>
      <w:pPr>
        <w:spacing w:after="0" w:line="363" w:lineRule="exact"/>
        <w:rPr>
          <w:sz w:val="20"/>
          <w:szCs w:val="20"/>
          <w:color w:val="auto"/>
        </w:rPr>
      </w:pPr>
    </w:p>
    <w:tbl>
      <w:tblPr>
        <w:tblLayout w:type="fixed"/>
        <w:tblInd w:w="1180" w:type="dxa"/>
        <w:tblCellMar>
          <w:top w:w="0" w:type="dxa"/>
          <w:left w:w="0" w:type="dxa"/>
          <w:bottom w:w="0" w:type="dxa"/>
          <w:right w:w="0" w:type="dxa"/>
        </w:tblCellMar>
      </w:tblPr>
      <w:tr>
        <w:trPr>
          <w:trHeight w:val="185"/>
        </w:trPr>
        <w:tc>
          <w:tcPr>
            <w:tcW w:w="3940" w:type="dxa"/>
            <w:vAlign w:val="bottom"/>
          </w:tcPr>
          <w:p>
            <w:pPr>
              <w:spacing w:after="0"/>
              <w:rPr>
                <w:sz w:val="16"/>
                <w:szCs w:val="16"/>
                <w:color w:val="auto"/>
              </w:rPr>
            </w:pPr>
          </w:p>
        </w:tc>
        <w:tc>
          <w:tcPr>
            <w:tcW w:w="12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379"/>
        </w:trPr>
        <w:tc>
          <w:tcPr>
            <w:tcW w:w="3940" w:type="dxa"/>
            <w:vAlign w:val="bottom"/>
          </w:tcPr>
          <w:p>
            <w:pPr>
              <w:jc w:val="right"/>
              <w:ind w:right="1198"/>
              <w:spacing w:after="0"/>
              <w:rPr>
                <w:sz w:val="20"/>
                <w:szCs w:val="20"/>
                <w:color w:val="auto"/>
              </w:rPr>
            </w:pPr>
            <w:r>
              <w:rPr>
                <w:rFonts w:ascii="Courier New" w:cs="Courier New" w:eastAsia="Courier New" w:hAnsi="Courier New"/>
                <w:sz w:val="16"/>
                <w:szCs w:val="16"/>
                <w:color w:val="auto"/>
              </w:rPr>
              <w:t>Year ending August 31, 1997</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748</w:t>
            </w:r>
          </w:p>
        </w:tc>
      </w:tr>
      <w:tr>
        <w:trPr>
          <w:trHeight w:val="190"/>
        </w:trPr>
        <w:tc>
          <w:tcPr>
            <w:tcW w:w="3940" w:type="dxa"/>
            <w:vAlign w:val="bottom"/>
          </w:tcPr>
          <w:p>
            <w:pPr>
              <w:jc w:val="right"/>
              <w:ind w:right="1198"/>
              <w:spacing w:after="0"/>
              <w:rPr>
                <w:sz w:val="20"/>
                <w:szCs w:val="20"/>
                <w:color w:val="auto"/>
              </w:rPr>
            </w:pPr>
            <w:r>
              <w:rPr>
                <w:rFonts w:ascii="Courier New" w:cs="Courier New" w:eastAsia="Courier New" w:hAnsi="Courier New"/>
                <w:sz w:val="16"/>
                <w:szCs w:val="16"/>
                <w:color w:val="auto"/>
              </w:rPr>
              <w:t>1998</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466</w:t>
            </w:r>
          </w:p>
        </w:tc>
      </w:tr>
      <w:tr>
        <w:trPr>
          <w:trHeight w:val="190"/>
        </w:trPr>
        <w:tc>
          <w:tcPr>
            <w:tcW w:w="3940" w:type="dxa"/>
            <w:vAlign w:val="bottom"/>
          </w:tcPr>
          <w:p>
            <w:pPr>
              <w:jc w:val="right"/>
              <w:ind w:right="1198"/>
              <w:spacing w:after="0"/>
              <w:rPr>
                <w:sz w:val="20"/>
                <w:szCs w:val="20"/>
                <w:color w:val="auto"/>
              </w:rPr>
            </w:pPr>
            <w:r>
              <w:rPr>
                <w:rFonts w:ascii="Courier New" w:cs="Courier New" w:eastAsia="Courier New" w:hAnsi="Courier New"/>
                <w:sz w:val="16"/>
                <w:szCs w:val="16"/>
                <w:color w:val="auto"/>
              </w:rPr>
              <w:t>1999</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1,154</w:t>
            </w:r>
          </w:p>
        </w:tc>
      </w:tr>
      <w:tr>
        <w:trPr>
          <w:trHeight w:val="190"/>
        </w:trPr>
        <w:tc>
          <w:tcPr>
            <w:tcW w:w="3940" w:type="dxa"/>
            <w:vAlign w:val="bottom"/>
          </w:tcPr>
          <w:p>
            <w:pPr>
              <w:jc w:val="right"/>
              <w:ind w:right="1198"/>
              <w:spacing w:after="0"/>
              <w:rPr>
                <w:sz w:val="20"/>
                <w:szCs w:val="20"/>
                <w:color w:val="auto"/>
              </w:rPr>
            </w:pPr>
            <w:r>
              <w:rPr>
                <w:rFonts w:ascii="Courier New" w:cs="Courier New" w:eastAsia="Courier New" w:hAnsi="Courier New"/>
                <w:sz w:val="16"/>
                <w:szCs w:val="16"/>
                <w:color w:val="auto"/>
              </w:rPr>
              <w:t>2000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804</w:t>
            </w:r>
          </w:p>
        </w:tc>
      </w:tr>
      <w:tr>
        <w:trPr>
          <w:trHeight w:val="190"/>
        </w:trPr>
        <w:tc>
          <w:tcPr>
            <w:tcW w:w="3940" w:type="dxa"/>
            <w:vAlign w:val="bottom"/>
          </w:tcPr>
          <w:p>
            <w:pPr>
              <w:jc w:val="right"/>
              <w:ind w:right="1198"/>
              <w:spacing w:after="0"/>
              <w:rPr>
                <w:sz w:val="20"/>
                <w:szCs w:val="20"/>
                <w:color w:val="auto"/>
              </w:rPr>
            </w:pPr>
            <w:r>
              <w:rPr>
                <w:rFonts w:ascii="Courier New" w:cs="Courier New" w:eastAsia="Courier New" w:hAnsi="Courier New"/>
                <w:sz w:val="16"/>
                <w:szCs w:val="16"/>
                <w:color w:val="auto"/>
              </w:rPr>
              <w:t>2001</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663</w:t>
            </w:r>
          </w:p>
        </w:tc>
      </w:tr>
      <w:tr>
        <w:trPr>
          <w:trHeight w:val="190"/>
        </w:trPr>
        <w:tc>
          <w:tcPr>
            <w:tcW w:w="394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Thereafter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26,625</w:t>
            </w:r>
          </w:p>
        </w:tc>
      </w:tr>
      <w:tr>
        <w:trPr>
          <w:trHeight w:val="190"/>
        </w:trPr>
        <w:tc>
          <w:tcPr>
            <w:tcW w:w="39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9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30,460</w:t>
            </w:r>
          </w:p>
        </w:tc>
      </w:tr>
      <w:tr>
        <w:trPr>
          <w:trHeight w:val="190"/>
        </w:trPr>
        <w:tc>
          <w:tcPr>
            <w:tcW w:w="39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306" w:right="1440" w:bottom="1440"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6"/>
          <w:szCs w:val="16"/>
          <w:color w:val="auto"/>
        </w:rPr>
        <w:t>16</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LAIDLAW SOLID WASTE MANAGEMENT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 - CANADIAN OPERATIONS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COMBINED FINANCIAL STATEMENTS (CONT'D)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$000'S)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77" w:lineRule="exact"/>
        <w:rPr>
          <w:sz w:val="20"/>
          <w:szCs w:val="20"/>
          <w:color w:val="auto"/>
        </w:rPr>
      </w:pPr>
    </w:p>
    <w:p>
      <w:pPr>
        <w:ind w:left="500" w:hanging="499"/>
        <w:spacing w:after="0"/>
        <w:tabs>
          <w:tab w:leader="none" w:pos="5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w:t>
      </w:r>
    </w:p>
    <w:p>
      <w:pPr>
        <w:spacing w:after="0" w:line="198" w:lineRule="exact"/>
        <w:rPr>
          <w:sz w:val="20"/>
          <w:szCs w:val="20"/>
          <w:color w:val="auto"/>
        </w:rPr>
      </w:pPr>
    </w:p>
    <w:p>
      <w:pPr>
        <w:ind w:left="1180" w:hanging="686"/>
        <w:spacing w:after="0"/>
        <w:tabs>
          <w:tab w:leader="none" w:pos="11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LEASE COMMITMENTS</w:t>
      </w:r>
    </w:p>
    <w:p>
      <w:pPr>
        <w:spacing w:after="0" w:line="198" w:lineRule="exact"/>
        <w:rPr>
          <w:sz w:val="20"/>
          <w:szCs w:val="20"/>
          <w:color w:val="auto"/>
        </w:rPr>
      </w:pPr>
    </w:p>
    <w:p>
      <w:pPr>
        <w:ind w:left="500" w:right="2619"/>
        <w:spacing w:after="0" w:line="255" w:lineRule="auto"/>
        <w:rPr>
          <w:sz w:val="20"/>
          <w:szCs w:val="20"/>
          <w:color w:val="auto"/>
        </w:rPr>
      </w:pPr>
      <w:r>
        <w:rPr>
          <w:rFonts w:ascii="Courier New" w:cs="Courier New" w:eastAsia="Courier New" w:hAnsi="Courier New"/>
          <w:sz w:val="16"/>
          <w:szCs w:val="16"/>
          <w:color w:val="auto"/>
        </w:rPr>
        <w:t>Rental expense incurred under operating leases amounted to $2,412 in the year ended August 31, 1996.</w:t>
      </w:r>
    </w:p>
    <w:p>
      <w:pPr>
        <w:spacing w:after="0" w:line="184" w:lineRule="exact"/>
        <w:rPr>
          <w:sz w:val="20"/>
          <w:szCs w:val="20"/>
          <w:color w:val="auto"/>
        </w:rPr>
      </w:pPr>
    </w:p>
    <w:p>
      <w:pPr>
        <w:ind w:left="500" w:right="2619"/>
        <w:spacing w:after="0" w:line="255" w:lineRule="auto"/>
        <w:rPr>
          <w:sz w:val="20"/>
          <w:szCs w:val="20"/>
          <w:color w:val="auto"/>
        </w:rPr>
      </w:pPr>
      <w:r>
        <w:rPr>
          <w:rFonts w:ascii="Courier New" w:cs="Courier New" w:eastAsia="Courier New" w:hAnsi="Courier New"/>
          <w:sz w:val="16"/>
          <w:szCs w:val="16"/>
          <w:color w:val="auto"/>
        </w:rPr>
        <w:t>Rentals payable under operating leases for premises and equipment are as follows: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388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3880" w:type="dxa"/>
            <w:vAlign w:val="bottom"/>
          </w:tcPr>
          <w:p>
            <w:pPr>
              <w:jc w:val="right"/>
              <w:ind w:right="1138"/>
              <w:spacing w:after="0"/>
              <w:rPr>
                <w:sz w:val="20"/>
                <w:szCs w:val="20"/>
                <w:color w:val="auto"/>
              </w:rPr>
            </w:pPr>
            <w:r>
              <w:rPr>
                <w:rFonts w:ascii="Courier New" w:cs="Courier New" w:eastAsia="Courier New" w:hAnsi="Courier New"/>
                <w:sz w:val="16"/>
                <w:szCs w:val="16"/>
                <w:color w:val="auto"/>
              </w:rPr>
              <w:t>Year ending August 31, 1997</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2,241</w:t>
            </w:r>
          </w:p>
        </w:tc>
      </w:tr>
      <w:tr>
        <w:trPr>
          <w:trHeight w:val="190"/>
        </w:trPr>
        <w:tc>
          <w:tcPr>
            <w:tcW w:w="3880" w:type="dxa"/>
            <w:vAlign w:val="bottom"/>
          </w:tcPr>
          <w:p>
            <w:pPr>
              <w:jc w:val="right"/>
              <w:ind w:right="1138"/>
              <w:spacing w:after="0"/>
              <w:rPr>
                <w:sz w:val="20"/>
                <w:szCs w:val="20"/>
                <w:color w:val="auto"/>
              </w:rPr>
            </w:pPr>
            <w:r>
              <w:rPr>
                <w:rFonts w:ascii="Courier New" w:cs="Courier New" w:eastAsia="Courier New" w:hAnsi="Courier New"/>
                <w:sz w:val="16"/>
                <w:szCs w:val="16"/>
                <w:color w:val="auto"/>
              </w:rPr>
              <w:t>1998</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2,031</w:t>
            </w:r>
          </w:p>
        </w:tc>
      </w:tr>
      <w:tr>
        <w:trPr>
          <w:trHeight w:val="190"/>
        </w:trPr>
        <w:tc>
          <w:tcPr>
            <w:tcW w:w="3880" w:type="dxa"/>
            <w:vAlign w:val="bottom"/>
          </w:tcPr>
          <w:p>
            <w:pPr>
              <w:jc w:val="right"/>
              <w:ind w:right="1138"/>
              <w:spacing w:after="0"/>
              <w:rPr>
                <w:sz w:val="20"/>
                <w:szCs w:val="20"/>
                <w:color w:val="auto"/>
              </w:rPr>
            </w:pPr>
            <w:r>
              <w:rPr>
                <w:rFonts w:ascii="Courier New" w:cs="Courier New" w:eastAsia="Courier New" w:hAnsi="Courier New"/>
                <w:sz w:val="16"/>
                <w:szCs w:val="16"/>
                <w:color w:val="auto"/>
              </w:rPr>
              <w:t>1999</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1,874</w:t>
            </w:r>
          </w:p>
        </w:tc>
      </w:tr>
      <w:tr>
        <w:trPr>
          <w:trHeight w:val="190"/>
        </w:trPr>
        <w:tc>
          <w:tcPr>
            <w:tcW w:w="3880" w:type="dxa"/>
            <w:vAlign w:val="bottom"/>
          </w:tcPr>
          <w:p>
            <w:pPr>
              <w:jc w:val="right"/>
              <w:ind w:right="1138"/>
              <w:spacing w:after="0"/>
              <w:rPr>
                <w:sz w:val="20"/>
                <w:szCs w:val="20"/>
                <w:color w:val="auto"/>
              </w:rPr>
            </w:pPr>
            <w:r>
              <w:rPr>
                <w:rFonts w:ascii="Courier New" w:cs="Courier New" w:eastAsia="Courier New" w:hAnsi="Courier New"/>
                <w:sz w:val="16"/>
                <w:szCs w:val="16"/>
                <w:color w:val="auto"/>
              </w:rPr>
              <w:t>2000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1,731</w:t>
            </w:r>
          </w:p>
        </w:tc>
      </w:tr>
      <w:tr>
        <w:trPr>
          <w:trHeight w:val="190"/>
        </w:trPr>
        <w:tc>
          <w:tcPr>
            <w:tcW w:w="3880" w:type="dxa"/>
            <w:vAlign w:val="bottom"/>
          </w:tcPr>
          <w:p>
            <w:pPr>
              <w:jc w:val="right"/>
              <w:ind w:right="1138"/>
              <w:spacing w:after="0"/>
              <w:rPr>
                <w:sz w:val="20"/>
                <w:szCs w:val="20"/>
                <w:color w:val="auto"/>
              </w:rPr>
            </w:pPr>
            <w:r>
              <w:rPr>
                <w:rFonts w:ascii="Courier New" w:cs="Courier New" w:eastAsia="Courier New" w:hAnsi="Courier New"/>
                <w:sz w:val="16"/>
                <w:szCs w:val="16"/>
                <w:color w:val="auto"/>
              </w:rPr>
              <w:t>2001</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1,143</w:t>
            </w:r>
          </w:p>
        </w:tc>
      </w:tr>
      <w:tr>
        <w:trPr>
          <w:trHeight w:val="190"/>
        </w:trPr>
        <w:tc>
          <w:tcPr>
            <w:tcW w:w="388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Thereafter</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5,062</w:t>
            </w:r>
          </w:p>
        </w:tc>
      </w:tr>
      <w:tr>
        <w:trPr>
          <w:trHeight w:val="190"/>
        </w:trPr>
        <w:tc>
          <w:tcPr>
            <w:tcW w:w="38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8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14,082</w:t>
            </w:r>
          </w:p>
        </w:tc>
      </w:tr>
      <w:tr>
        <w:trPr>
          <w:trHeight w:val="190"/>
        </w:trPr>
        <w:tc>
          <w:tcPr>
            <w:tcW w:w="38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(b) LEGAL PROCEEDINGS</w:t>
      </w:r>
    </w:p>
    <w:p>
      <w:pPr>
        <w:spacing w:after="0" w:line="198" w:lineRule="exact"/>
        <w:rPr>
          <w:sz w:val="20"/>
          <w:szCs w:val="20"/>
          <w:color w:val="auto"/>
        </w:rPr>
      </w:pPr>
    </w:p>
    <w:p>
      <w:pPr>
        <w:ind w:left="500" w:right="2519"/>
        <w:spacing w:after="0" w:line="252" w:lineRule="auto"/>
        <w:rPr>
          <w:sz w:val="20"/>
          <w:szCs w:val="20"/>
          <w:color w:val="auto"/>
        </w:rPr>
      </w:pPr>
      <w:r>
        <w:rPr>
          <w:rFonts w:ascii="Courier New" w:cs="Courier New" w:eastAsia="Courier New" w:hAnsi="Courier New"/>
          <w:sz w:val="16"/>
          <w:szCs w:val="16"/>
          <w:color w:val="auto"/>
        </w:rPr>
        <w:t>The Group is subject to extensive and evolving laws and regulations and has implemented its own environmental safeguards to respond to regulatory requirements. In the normal course of business, the Group provides for closure and post-closure accruals to comply with all governmental regulations.</w:t>
      </w:r>
    </w:p>
    <w:p>
      <w:pPr>
        <w:spacing w:after="0" w:line="186" w:lineRule="exact"/>
        <w:rPr>
          <w:sz w:val="20"/>
          <w:szCs w:val="20"/>
          <w:color w:val="auto"/>
        </w:rPr>
      </w:pPr>
    </w:p>
    <w:p>
      <w:pPr>
        <w:ind w:left="500" w:right="2439"/>
        <w:spacing w:after="0" w:line="251" w:lineRule="auto"/>
        <w:rPr>
          <w:sz w:val="20"/>
          <w:szCs w:val="20"/>
          <w:color w:val="auto"/>
        </w:rPr>
      </w:pPr>
      <w:r>
        <w:rPr>
          <w:rFonts w:ascii="Courier New" w:cs="Courier New" w:eastAsia="Courier New" w:hAnsi="Courier New"/>
          <w:sz w:val="16"/>
          <w:szCs w:val="16"/>
          <w:color w:val="auto"/>
        </w:rPr>
        <w:t>In the normal course of conducting its operations, the Group may become involved in certain legal and administrative proceedings. Some of these actions may result in fines, penalties or judgements against the Group which may have an impact on the financial results for a particular period. Management expects that such matters in process at August 31, 1996 will not have a materially adverse effect on this Group's financial position or its results from operations.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(c) LETTERS OF CREDIT AND GUARANTEES</w:t>
      </w:r>
    </w:p>
    <w:p>
      <w:pPr>
        <w:spacing w:after="0" w:line="198" w:lineRule="exact"/>
        <w:rPr>
          <w:sz w:val="20"/>
          <w:szCs w:val="20"/>
          <w:color w:val="auto"/>
        </w:rPr>
      </w:pPr>
    </w:p>
    <w:p>
      <w:pPr>
        <w:ind w:left="500" w:right="2439"/>
        <w:spacing w:after="0" w:line="253" w:lineRule="auto"/>
        <w:rPr>
          <w:sz w:val="20"/>
          <w:szCs w:val="20"/>
          <w:color w:val="auto"/>
        </w:rPr>
      </w:pPr>
      <w:r>
        <w:rPr>
          <w:rFonts w:ascii="Courier New" w:cs="Courier New" w:eastAsia="Courier New" w:hAnsi="Courier New"/>
          <w:sz w:val="16"/>
          <w:szCs w:val="16"/>
          <w:color w:val="auto"/>
        </w:rPr>
        <w:t>At November 30, 1996, the Group has $14,124 (August 31, 1996 - $14,503) in outstanding letters of credit, of which the most significant are in support of the Group's undertakings in respect of landfill closure and post-closure activities required in obtaining regulatory operating permits.</w:t>
      </w:r>
    </w:p>
    <w:p>
      <w:pPr>
        <w:spacing w:after="0" w:line="373" w:lineRule="exact"/>
        <w:rPr>
          <w:sz w:val="20"/>
          <w:szCs w:val="20"/>
          <w:color w:val="auto"/>
        </w:rPr>
      </w:pPr>
    </w:p>
    <w:p>
      <w:pPr>
        <w:ind w:left="500" w:right="2519"/>
        <w:spacing w:after="0" w:line="252" w:lineRule="auto"/>
        <w:rPr>
          <w:sz w:val="20"/>
          <w:szCs w:val="20"/>
          <w:color w:val="auto"/>
        </w:rPr>
      </w:pPr>
      <w:r>
        <w:rPr>
          <w:rFonts w:ascii="Courier New" w:cs="Courier New" w:eastAsia="Courier New" w:hAnsi="Courier New"/>
          <w:sz w:val="16"/>
          <w:szCs w:val="16"/>
          <w:color w:val="auto"/>
        </w:rPr>
        <w:t>In addition, Laidlaw Inc. and its affiliates have provided guarantees and additional letters of credit in the aggregate amount of approximately $40 million (August 31, 1996 - $40 million) for closure and post-closure activities and bid bonds.</w:t>
      </w:r>
    </w:p>
    <w:p>
      <w:pPr>
        <w:sectPr>
          <w:pgSz w:w="11900" w:h="16838" w:orient="portrait"/>
          <w:cols w:equalWidth="0" w:num="1">
            <w:col w:w="10219"/>
          </w:cols>
          <w:pgMar w:left="240" w:top="306"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6"/>
          <w:szCs w:val="16"/>
          <w:color w:val="auto"/>
        </w:rPr>
        <w:t>17</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LAIDLAW SOLID WASTE MANAGEMENT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 - CANADIAN OPERATIONS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COMBINED FINANCIAL STATEMENTS (CONT'D)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$000'S)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ind w:left="500" w:hanging="499"/>
        <w:spacing w:after="0"/>
        <w:tabs>
          <w:tab w:leader="none" w:pos="5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RELATED PARTY TRANSACTIONS</w:t>
      </w:r>
    </w:p>
    <w:p>
      <w:pPr>
        <w:spacing w:after="0" w:line="197" w:lineRule="exact"/>
        <w:rPr>
          <w:rFonts w:ascii="Courier New" w:cs="Courier New" w:eastAsia="Courier New" w:hAnsi="Courier New"/>
          <w:sz w:val="16"/>
          <w:szCs w:val="16"/>
          <w:color w:val="auto"/>
        </w:rPr>
      </w:pPr>
    </w:p>
    <w:p>
      <w:pPr>
        <w:ind w:left="500" w:right="251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Included in operating expenses and selling, general and administrative expenses are management fee income, insurance premiums and rental charges paid to affiliated companies as follows: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2320" w:type="dxa"/>
            <w:vAlign w:val="bottom"/>
          </w:tcPr>
          <w:p>
            <w:pPr>
              <w:jc w:val="center"/>
              <w:ind w:left="1158"/>
              <w:spacing w:after="0"/>
              <w:rPr>
                <w:sz w:val="20"/>
                <w:szCs w:val="20"/>
                <w:color w:val="auto"/>
              </w:rPr>
            </w:pPr>
            <w:r>
              <w:rPr>
                <w:rFonts w:ascii="Courier New" w:cs="Courier New" w:eastAsia="Courier New" w:hAnsi="Courier New"/>
                <w:sz w:val="16"/>
                <w:szCs w:val="16"/>
                <w:color w:val="auto"/>
              </w:rPr>
              <w:t>For the</w:t>
            </w:r>
          </w:p>
        </w:tc>
      </w:tr>
      <w:tr>
        <w:trPr>
          <w:trHeight w:val="190"/>
        </w:trPr>
        <w:tc>
          <w:tcPr>
            <w:tcW w:w="4080" w:type="dxa"/>
            <w:vAlign w:val="bottom"/>
          </w:tcPr>
          <w:p>
            <w:pPr>
              <w:spacing w:after="0"/>
              <w:rPr>
                <w:sz w:val="16"/>
                <w:szCs w:val="16"/>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Year Ended</w:t>
            </w:r>
          </w:p>
        </w:tc>
      </w:tr>
      <w:tr>
        <w:trPr>
          <w:trHeight w:val="190"/>
        </w:trPr>
        <w:tc>
          <w:tcPr>
            <w:tcW w:w="4080" w:type="dxa"/>
            <w:vAlign w:val="bottom"/>
          </w:tcPr>
          <w:p>
            <w:pPr>
              <w:spacing w:after="0"/>
              <w:rPr>
                <w:sz w:val="16"/>
                <w:szCs w:val="16"/>
                <w:color w:val="auto"/>
              </w:rPr>
            </w:pPr>
          </w:p>
        </w:tc>
        <w:tc>
          <w:tcPr>
            <w:tcW w:w="2320" w:type="dxa"/>
            <w:vAlign w:val="bottom"/>
          </w:tcPr>
          <w:p>
            <w:pPr>
              <w:jc w:val="center"/>
              <w:ind w:left="1158"/>
              <w:spacing w:after="0"/>
              <w:rPr>
                <w:sz w:val="20"/>
                <w:szCs w:val="20"/>
                <w:color w:val="auto"/>
              </w:rPr>
            </w:pPr>
            <w:r>
              <w:rPr>
                <w:rFonts w:ascii="Courier New" w:cs="Courier New" w:eastAsia="Courier New" w:hAnsi="Courier New"/>
                <w:sz w:val="16"/>
                <w:szCs w:val="16"/>
                <w:color w:val="auto"/>
              </w:rPr>
              <w:t>August 31</w:t>
            </w:r>
          </w:p>
        </w:tc>
      </w:tr>
      <w:tr>
        <w:trPr>
          <w:trHeight w:val="190"/>
        </w:trPr>
        <w:tc>
          <w:tcPr>
            <w:tcW w:w="4080" w:type="dxa"/>
            <w:vAlign w:val="bottom"/>
          </w:tcPr>
          <w:p>
            <w:pPr>
              <w:spacing w:after="0"/>
              <w:rPr>
                <w:sz w:val="16"/>
                <w:szCs w:val="16"/>
                <w:color w:val="auto"/>
              </w:rPr>
            </w:pPr>
          </w:p>
        </w:tc>
        <w:tc>
          <w:tcPr>
            <w:tcW w:w="232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1996</w:t>
            </w:r>
          </w:p>
        </w:tc>
      </w:tr>
      <w:tr>
        <w:trPr>
          <w:trHeight w:val="190"/>
        </w:trPr>
        <w:tc>
          <w:tcPr>
            <w:tcW w:w="4080" w:type="dxa"/>
            <w:vAlign w:val="bottom"/>
          </w:tcPr>
          <w:p>
            <w:pPr>
              <w:spacing w:after="0"/>
              <w:rPr>
                <w:sz w:val="16"/>
                <w:szCs w:val="16"/>
                <w:color w:val="auto"/>
              </w:rPr>
            </w:pPr>
          </w:p>
        </w:tc>
        <w:tc>
          <w:tcPr>
            <w:tcW w:w="2320" w:type="dxa"/>
            <w:vAlign w:val="bottom"/>
          </w:tcPr>
          <w:p>
            <w:pPr>
              <w:jc w:val="center"/>
              <w:ind w:left="1158"/>
              <w:spacing w:after="0"/>
              <w:rPr>
                <w:sz w:val="20"/>
                <w:szCs w:val="20"/>
                <w:color w:val="auto"/>
              </w:rPr>
            </w:pPr>
            <w:r>
              <w:rPr>
                <w:rFonts w:ascii="Courier New" w:cs="Courier New" w:eastAsia="Courier New" w:hAnsi="Courier New"/>
                <w:sz w:val="16"/>
                <w:szCs w:val="16"/>
                <w:color w:val="auto"/>
                <w:w w:val="82"/>
              </w:rPr>
              <w:t>$</w:t>
            </w:r>
          </w:p>
        </w:tc>
      </w:tr>
      <w:tr>
        <w:trPr>
          <w:trHeight w:val="379"/>
        </w:trPr>
        <w:tc>
          <w:tcPr>
            <w:tcW w:w="4080" w:type="dxa"/>
            <w:vAlign w:val="bottom"/>
          </w:tcPr>
          <w:p>
            <w:pPr>
              <w:spacing w:after="0"/>
              <w:rPr>
                <w:sz w:val="20"/>
                <w:szCs w:val="20"/>
                <w:color w:val="auto"/>
              </w:rPr>
            </w:pPr>
            <w:r>
              <w:rPr>
                <w:rFonts w:ascii="Courier New" w:cs="Courier New" w:eastAsia="Courier New" w:hAnsi="Courier New"/>
                <w:sz w:val="16"/>
                <w:szCs w:val="16"/>
                <w:color w:val="auto"/>
              </w:rPr>
              <w:t>Management fees income - net</w:t>
            </w:r>
          </w:p>
        </w:tc>
        <w:tc>
          <w:tcPr>
            <w:tcW w:w="23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3,787</w:t>
            </w:r>
          </w:p>
        </w:tc>
      </w:tr>
      <w:tr>
        <w:trPr>
          <w:trHeight w:val="190"/>
        </w:trPr>
        <w:tc>
          <w:tcPr>
            <w:tcW w:w="4080" w:type="dxa"/>
            <w:vAlign w:val="bottom"/>
          </w:tcPr>
          <w:p>
            <w:pPr>
              <w:spacing w:after="0"/>
              <w:rPr>
                <w:sz w:val="16"/>
                <w:szCs w:val="16"/>
                <w:color w:val="auto"/>
              </w:rPr>
            </w:pPr>
          </w:p>
        </w:tc>
        <w:tc>
          <w:tcPr>
            <w:tcW w:w="23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80" w:type="dxa"/>
            <w:vAlign w:val="bottom"/>
          </w:tcPr>
          <w:p>
            <w:pPr>
              <w:spacing w:after="0"/>
              <w:rPr>
                <w:sz w:val="20"/>
                <w:szCs w:val="20"/>
                <w:color w:val="auto"/>
              </w:rPr>
            </w:pPr>
            <w:r>
              <w:rPr>
                <w:rFonts w:ascii="Courier New" w:cs="Courier New" w:eastAsia="Courier New" w:hAnsi="Courier New"/>
                <w:sz w:val="16"/>
                <w:szCs w:val="16"/>
                <w:color w:val="auto"/>
              </w:rPr>
              <w:t>Insurance premiums expense</w:t>
            </w:r>
          </w:p>
        </w:tc>
        <w:tc>
          <w:tcPr>
            <w:tcW w:w="23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184</w:t>
            </w:r>
          </w:p>
        </w:tc>
      </w:tr>
      <w:tr>
        <w:trPr>
          <w:trHeight w:val="190"/>
        </w:trPr>
        <w:tc>
          <w:tcPr>
            <w:tcW w:w="4080" w:type="dxa"/>
            <w:vAlign w:val="bottom"/>
          </w:tcPr>
          <w:p>
            <w:pPr>
              <w:spacing w:after="0"/>
              <w:rPr>
                <w:sz w:val="16"/>
                <w:szCs w:val="16"/>
                <w:color w:val="auto"/>
              </w:rPr>
            </w:pPr>
          </w:p>
        </w:tc>
        <w:tc>
          <w:tcPr>
            <w:tcW w:w="23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80" w:type="dxa"/>
            <w:vAlign w:val="bottom"/>
          </w:tcPr>
          <w:p>
            <w:pPr>
              <w:spacing w:after="0"/>
              <w:rPr>
                <w:sz w:val="20"/>
                <w:szCs w:val="20"/>
                <w:color w:val="auto"/>
              </w:rPr>
            </w:pPr>
            <w:r>
              <w:rPr>
                <w:rFonts w:ascii="Courier New" w:cs="Courier New" w:eastAsia="Courier New" w:hAnsi="Courier New"/>
                <w:sz w:val="16"/>
                <w:szCs w:val="16"/>
                <w:color w:val="auto"/>
              </w:rPr>
              <w:t>Rental charges expense</w:t>
            </w:r>
          </w:p>
        </w:tc>
        <w:tc>
          <w:tcPr>
            <w:tcW w:w="23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198</w:t>
            </w:r>
          </w:p>
        </w:tc>
      </w:tr>
      <w:tr>
        <w:trPr>
          <w:trHeight w:val="190"/>
        </w:trPr>
        <w:tc>
          <w:tcPr>
            <w:tcW w:w="4080" w:type="dxa"/>
            <w:vAlign w:val="bottom"/>
          </w:tcPr>
          <w:p>
            <w:pPr>
              <w:spacing w:after="0"/>
              <w:rPr>
                <w:sz w:val="16"/>
                <w:szCs w:val="16"/>
                <w:color w:val="auto"/>
              </w:rPr>
            </w:pPr>
          </w:p>
        </w:tc>
        <w:tc>
          <w:tcPr>
            <w:tcW w:w="23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bl>
    <w:p>
      <w:pPr>
        <w:spacing w:after="0" w:line="19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The Group directly incurs all of the significant costs of doing business</w:t>
      </w:r>
    </w:p>
    <w:p>
      <w:pPr>
        <w:sectPr>
          <w:pgSz w:w="11900" w:h="16838" w:orient="portrait"/>
          <w:cols w:equalWidth="0" w:num="1">
            <w:col w:w="10219"/>
          </w:cols>
          <w:pgMar w:left="240" w:top="306"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6"/>
          <w:szCs w:val="16"/>
          <w:color w:val="auto"/>
        </w:rPr>
        <w:t>18</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LAIDLAW SOLID WASTE MANAGEMENT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 - CANADIAN OPERATIONS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COMBINED FINANCIAL STATEMENTS (CONT'D)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$000'S)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ind w:left="500" w:hanging="499"/>
        <w:spacing w:after="0"/>
        <w:tabs>
          <w:tab w:leader="none" w:pos="5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w:t>
      </w:r>
    </w:p>
    <w:p>
      <w:pPr>
        <w:spacing w:after="0" w:line="197" w:lineRule="exact"/>
        <w:rPr>
          <w:rFonts w:ascii="Courier New" w:cs="Courier New" w:eastAsia="Courier New" w:hAnsi="Courier New"/>
          <w:sz w:val="16"/>
          <w:szCs w:val="16"/>
          <w:color w:val="auto"/>
        </w:rPr>
      </w:pPr>
    </w:p>
    <w:p>
      <w:pPr>
        <w:ind w:left="500" w:right="251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summary of the Group's acquisitions of solid waste management companies for the year ended August 31, 1996 is as follows:</w:t>
      </w:r>
    </w:p>
    <w:p>
      <w:pPr>
        <w:spacing w:after="0" w:line="200" w:lineRule="exact"/>
        <w:rPr>
          <w:sz w:val="20"/>
          <w:szCs w:val="20"/>
          <w:color w:val="auto"/>
        </w:rPr>
      </w:pPr>
    </w:p>
    <w:p>
      <w:pPr>
        <w:spacing w:after="0" w:line="363"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4520" w:type="dxa"/>
            <w:vAlign w:val="bottom"/>
          </w:tcPr>
          <w:p>
            <w:pPr>
              <w:spacing w:after="0"/>
              <w:rPr>
                <w:sz w:val="16"/>
                <w:szCs w:val="16"/>
                <w:color w:val="auto"/>
              </w:rPr>
            </w:pPr>
          </w:p>
        </w:tc>
        <w:tc>
          <w:tcPr>
            <w:tcW w:w="13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569"/>
        </w:trPr>
        <w:tc>
          <w:tcPr>
            <w:tcW w:w="4520" w:type="dxa"/>
            <w:vAlign w:val="bottom"/>
          </w:tcPr>
          <w:p>
            <w:pPr>
              <w:spacing w:after="0"/>
              <w:rPr>
                <w:sz w:val="20"/>
                <w:szCs w:val="20"/>
                <w:color w:val="auto"/>
              </w:rPr>
            </w:pPr>
            <w:r>
              <w:rPr>
                <w:rFonts w:ascii="Courier New" w:cs="Courier New" w:eastAsia="Courier New" w:hAnsi="Courier New"/>
                <w:sz w:val="16"/>
                <w:szCs w:val="16"/>
                <w:color w:val="auto"/>
              </w:rPr>
              <w:t>Assets acquired - at fair value:</w:t>
            </w:r>
          </w:p>
        </w:tc>
        <w:tc>
          <w:tcPr>
            <w:tcW w:w="1300" w:type="dxa"/>
            <w:vAlign w:val="bottom"/>
          </w:tcPr>
          <w:p>
            <w:pPr>
              <w:spacing w:after="0"/>
              <w:rPr>
                <w:sz w:val="24"/>
                <w:szCs w:val="24"/>
                <w:color w:val="auto"/>
              </w:rPr>
            </w:pPr>
          </w:p>
        </w:tc>
      </w:tr>
      <w:tr>
        <w:trPr>
          <w:trHeight w:val="190"/>
        </w:trPr>
        <w:tc>
          <w:tcPr>
            <w:tcW w:w="4520" w:type="dxa"/>
            <w:vAlign w:val="bottom"/>
          </w:tcPr>
          <w:p>
            <w:pPr>
              <w:spacing w:after="0"/>
              <w:rPr>
                <w:sz w:val="20"/>
                <w:szCs w:val="20"/>
                <w:color w:val="auto"/>
              </w:rPr>
            </w:pPr>
            <w:r>
              <w:rPr>
                <w:rFonts w:ascii="Courier New" w:cs="Courier New" w:eastAsia="Courier New" w:hAnsi="Courier New"/>
                <w:sz w:val="16"/>
                <w:szCs w:val="16"/>
                <w:color w:val="auto"/>
              </w:rPr>
              <w:t>Fixed assets</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10,661</w:t>
            </w:r>
          </w:p>
        </w:tc>
      </w:tr>
      <w:tr>
        <w:trPr>
          <w:trHeight w:val="190"/>
        </w:trPr>
        <w:tc>
          <w:tcPr>
            <w:tcW w:w="4520" w:type="dxa"/>
            <w:vAlign w:val="bottom"/>
          </w:tcPr>
          <w:p>
            <w:pPr>
              <w:spacing w:after="0"/>
              <w:rPr>
                <w:sz w:val="20"/>
                <w:szCs w:val="20"/>
                <w:color w:val="auto"/>
              </w:rPr>
            </w:pPr>
            <w:r>
              <w:rPr>
                <w:rFonts w:ascii="Courier New" w:cs="Courier New" w:eastAsia="Courier New" w:hAnsi="Courier New"/>
                <w:sz w:val="16"/>
                <w:szCs w:val="16"/>
                <w:color w:val="auto"/>
              </w:rPr>
              <w:t>Goodwill</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34,336</w:t>
            </w:r>
          </w:p>
        </w:tc>
      </w:tr>
      <w:tr>
        <w:trPr>
          <w:trHeight w:val="190"/>
        </w:trPr>
        <w:tc>
          <w:tcPr>
            <w:tcW w:w="4520" w:type="dxa"/>
            <w:vAlign w:val="bottom"/>
          </w:tcPr>
          <w:p>
            <w:pPr>
              <w:spacing w:after="0"/>
              <w:rPr>
                <w:sz w:val="20"/>
                <w:szCs w:val="20"/>
                <w:color w:val="auto"/>
              </w:rPr>
            </w:pPr>
            <w:r>
              <w:rPr>
                <w:rFonts w:ascii="Courier New" w:cs="Courier New" w:eastAsia="Courier New" w:hAnsi="Courier New"/>
                <w:sz w:val="16"/>
                <w:szCs w:val="16"/>
                <w:color w:val="auto"/>
              </w:rPr>
              <w:t>Long-term investments and other assets</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6,606</w:t>
            </w:r>
          </w:p>
        </w:tc>
      </w:tr>
      <w:tr>
        <w:trPr>
          <w:trHeight w:val="190"/>
        </w:trPr>
        <w:tc>
          <w:tcPr>
            <w:tcW w:w="45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5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51,603</w:t>
            </w:r>
          </w:p>
        </w:tc>
      </w:tr>
      <w:tr>
        <w:trPr>
          <w:trHeight w:val="190"/>
        </w:trPr>
        <w:tc>
          <w:tcPr>
            <w:tcW w:w="4520" w:type="dxa"/>
            <w:vAlign w:val="bottom"/>
          </w:tcPr>
          <w:p>
            <w:pPr>
              <w:spacing w:after="0"/>
              <w:rPr>
                <w:sz w:val="20"/>
                <w:szCs w:val="20"/>
                <w:color w:val="auto"/>
              </w:rPr>
            </w:pPr>
            <w:r>
              <w:rPr>
                <w:rFonts w:ascii="Courier New" w:cs="Courier New" w:eastAsia="Courier New" w:hAnsi="Courier New"/>
                <w:sz w:val="16"/>
                <w:szCs w:val="16"/>
                <w:color w:val="auto"/>
              </w:rPr>
              <w:t>Long-term liabilities assumed</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7,397</w:t>
            </w:r>
          </w:p>
        </w:tc>
      </w:tr>
      <w:tr>
        <w:trPr>
          <w:trHeight w:val="190"/>
        </w:trPr>
        <w:tc>
          <w:tcPr>
            <w:tcW w:w="4520" w:type="dxa"/>
            <w:vAlign w:val="bottom"/>
          </w:tcPr>
          <w:p>
            <w:pPr>
              <w:spacing w:after="0"/>
              <w:rPr>
                <w:sz w:val="20"/>
                <w:szCs w:val="20"/>
                <w:color w:val="auto"/>
              </w:rPr>
            </w:pPr>
            <w:r>
              <w:rPr>
                <w:rFonts w:ascii="Courier New" w:cs="Courier New" w:eastAsia="Courier New" w:hAnsi="Courier New"/>
                <w:sz w:val="16"/>
                <w:szCs w:val="16"/>
                <w:color w:val="auto"/>
              </w:rPr>
              <w:t>Working capital</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1,840</w:t>
            </w:r>
          </w:p>
        </w:tc>
      </w:tr>
      <w:tr>
        <w:trPr>
          <w:trHeight w:val="190"/>
        </w:trPr>
        <w:tc>
          <w:tcPr>
            <w:tcW w:w="45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520" w:type="dxa"/>
            <w:vAlign w:val="bottom"/>
          </w:tcPr>
          <w:p>
            <w:pPr>
              <w:spacing w:after="0"/>
              <w:rPr>
                <w:sz w:val="20"/>
                <w:szCs w:val="20"/>
                <w:color w:val="auto"/>
              </w:rPr>
            </w:pPr>
            <w:r>
              <w:rPr>
                <w:rFonts w:ascii="Courier New" w:cs="Courier New" w:eastAsia="Courier New" w:hAnsi="Courier New"/>
                <w:sz w:val="16"/>
                <w:szCs w:val="16"/>
                <w:color w:val="auto"/>
              </w:rPr>
              <w:t>Expended in acquisitions</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46,046</w:t>
            </w:r>
          </w:p>
        </w:tc>
      </w:tr>
      <w:tr>
        <w:trPr>
          <w:trHeight w:val="190"/>
        </w:trPr>
        <w:tc>
          <w:tcPr>
            <w:tcW w:w="45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520" w:type="dxa"/>
            <w:vAlign w:val="bottom"/>
          </w:tcPr>
          <w:p>
            <w:pPr>
              <w:spacing w:after="0"/>
              <w:rPr>
                <w:sz w:val="20"/>
                <w:szCs w:val="20"/>
                <w:color w:val="auto"/>
              </w:rPr>
            </w:pPr>
            <w:r>
              <w:rPr>
                <w:rFonts w:ascii="Courier New" w:cs="Courier New" w:eastAsia="Courier New" w:hAnsi="Courier New"/>
                <w:sz w:val="16"/>
                <w:szCs w:val="16"/>
                <w:color w:val="auto"/>
              </w:rPr>
              <w:t>Number of businesses acquired</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90"/>
        </w:trPr>
        <w:tc>
          <w:tcPr>
            <w:tcW w:w="45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520" w:type="dxa"/>
            <w:vAlign w:val="bottom"/>
          </w:tcPr>
          <w:p>
            <w:pPr>
              <w:spacing w:after="0"/>
              <w:rPr>
                <w:sz w:val="20"/>
                <w:szCs w:val="20"/>
                <w:color w:val="auto"/>
              </w:rPr>
            </w:pPr>
            <w:r>
              <w:rPr>
                <w:rFonts w:ascii="Courier New" w:cs="Courier New" w:eastAsia="Courier New" w:hAnsi="Courier New"/>
                <w:sz w:val="16"/>
                <w:szCs w:val="16"/>
                <w:color w:val="auto"/>
              </w:rPr>
              <w:t>Annualized revenue acquired (unaudited)</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38,000</w:t>
            </w:r>
          </w:p>
        </w:tc>
      </w:tr>
      <w:tr>
        <w:trPr>
          <w:trHeight w:val="190"/>
        </w:trPr>
        <w:tc>
          <w:tcPr>
            <w:tcW w:w="45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PRO FORMA DATA (UNAUDITED)</w:t>
      </w:r>
    </w:p>
    <w:p>
      <w:pPr>
        <w:spacing w:after="0" w:line="198" w:lineRule="exact"/>
        <w:rPr>
          <w:sz w:val="20"/>
          <w:szCs w:val="20"/>
          <w:color w:val="auto"/>
        </w:rPr>
      </w:pPr>
    </w:p>
    <w:p>
      <w:pPr>
        <w:ind w:left="500" w:right="2619"/>
        <w:spacing w:after="0" w:line="253" w:lineRule="auto"/>
        <w:rPr>
          <w:sz w:val="20"/>
          <w:szCs w:val="20"/>
          <w:color w:val="auto"/>
        </w:rPr>
      </w:pPr>
      <w:r>
        <w:rPr>
          <w:rFonts w:ascii="Courier New" w:cs="Courier New" w:eastAsia="Courier New" w:hAnsi="Courier New"/>
          <w:sz w:val="16"/>
          <w:szCs w:val="16"/>
          <w:color w:val="auto"/>
        </w:rPr>
        <w:t>The condensed pro forma statement of operations data, as if acquisitions for the year ended August 31, 1996 had occurred at the beginning of the year, is as follows:</w:t>
      </w:r>
    </w:p>
    <w:p>
      <w:pPr>
        <w:spacing w:after="0" w:line="200" w:lineRule="exact"/>
        <w:rPr>
          <w:sz w:val="20"/>
          <w:szCs w:val="20"/>
          <w:color w:val="auto"/>
        </w:rPr>
      </w:pPr>
    </w:p>
    <w:p>
      <w:pPr>
        <w:spacing w:after="0" w:line="364"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354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379"/>
        </w:trPr>
        <w:tc>
          <w:tcPr>
            <w:tcW w:w="354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1380" w:type="dxa"/>
            <w:vAlign w:val="bottom"/>
          </w:tcPr>
          <w:p>
            <w:pPr>
              <w:spacing w:after="0"/>
              <w:rPr>
                <w:sz w:val="24"/>
                <w:szCs w:val="24"/>
                <w:color w:val="auto"/>
              </w:rPr>
            </w:pPr>
          </w:p>
        </w:tc>
      </w:tr>
      <w:tr>
        <w:trPr>
          <w:trHeight w:val="379"/>
        </w:trPr>
        <w:tc>
          <w:tcPr>
            <w:tcW w:w="354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275,170</w:t>
            </w:r>
          </w:p>
        </w:tc>
      </w:tr>
      <w:tr>
        <w:trPr>
          <w:trHeight w:val="190"/>
        </w:trPr>
        <w:tc>
          <w:tcPr>
            <w:tcW w:w="35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6,915</w:t>
            </w:r>
          </w:p>
        </w:tc>
      </w:tr>
    </w:tbl>
    <w:p>
      <w:pPr>
        <w:sectPr>
          <w:pgSz w:w="11900" w:h="16838" w:orient="portrait"/>
          <w:cols w:equalWidth="0" w:num="1">
            <w:col w:w="10219"/>
          </w:cols>
          <w:pgMar w:left="240" w:top="306" w:right="1440" w:bottom="1440"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6"/>
          <w:szCs w:val="16"/>
          <w:color w:val="auto"/>
        </w:rPr>
        <w:t>19</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LAIDLAW SOLID WASTE MANAGEMENT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 - CANADIAN OPERATIONS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COMBINED FINANCIAL STATEMENTS (CONT'D)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$000'S)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 w:type="dxa"/>
            <w:vAlign w:val="bottom"/>
          </w:tcPr>
          <w:p>
            <w:pPr>
              <w:jc w:val="right"/>
              <w:ind w:right="58"/>
              <w:spacing w:after="0"/>
              <w:rPr>
                <w:sz w:val="20"/>
                <w:szCs w:val="20"/>
                <w:color w:val="auto"/>
              </w:rPr>
            </w:pPr>
            <w:r>
              <w:rPr>
                <w:rFonts w:ascii="Courier New" w:cs="Courier New" w:eastAsia="Courier New" w:hAnsi="Courier New"/>
                <w:sz w:val="16"/>
                <w:szCs w:val="16"/>
                <w:color w:val="auto"/>
                <w:w w:val="93"/>
              </w:rPr>
              <w:t>8.</w:t>
            </w:r>
          </w:p>
        </w:tc>
        <w:tc>
          <w:tcPr>
            <w:tcW w:w="4000" w:type="dxa"/>
            <w:vAlign w:val="bottom"/>
          </w:tcPr>
          <w:p>
            <w:pPr>
              <w:ind w:left="160"/>
              <w:spacing w:after="0"/>
              <w:rPr>
                <w:sz w:val="20"/>
                <w:szCs w:val="20"/>
                <w:color w:val="auto"/>
              </w:rPr>
            </w:pPr>
            <w:r>
              <w:rPr>
                <w:rFonts w:ascii="Courier New" w:cs="Courier New" w:eastAsia="Courier New" w:hAnsi="Courier New"/>
                <w:sz w:val="16"/>
                <w:szCs w:val="16"/>
                <w:color w:val="auto"/>
              </w:rPr>
              <w:t>INCOME TAXES</w:t>
            </w:r>
          </w:p>
        </w:tc>
        <w:tc>
          <w:tcPr>
            <w:tcW w:w="14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79"/>
        </w:trPr>
        <w:tc>
          <w:tcPr>
            <w:tcW w:w="340" w:type="dxa"/>
            <w:vAlign w:val="bottom"/>
          </w:tcPr>
          <w:p>
            <w:pPr>
              <w:spacing w:after="0"/>
              <w:rPr>
                <w:sz w:val="24"/>
                <w:szCs w:val="24"/>
                <w:color w:val="auto"/>
              </w:rPr>
            </w:pPr>
          </w:p>
        </w:tc>
        <w:tc>
          <w:tcPr>
            <w:tcW w:w="6560" w:type="dxa"/>
            <w:vAlign w:val="bottom"/>
            <w:gridSpan w:val="3"/>
          </w:tcPr>
          <w:p>
            <w:pPr>
              <w:ind w:left="160"/>
              <w:spacing w:after="0"/>
              <w:rPr>
                <w:sz w:val="20"/>
                <w:szCs w:val="20"/>
                <w:color w:val="auto"/>
              </w:rPr>
            </w:pPr>
            <w:r>
              <w:rPr>
                <w:rFonts w:ascii="Courier New" w:cs="Courier New" w:eastAsia="Courier New" w:hAnsi="Courier New"/>
                <w:sz w:val="16"/>
                <w:szCs w:val="16"/>
                <w:color w:val="auto"/>
              </w:rPr>
              <w:t>The Company's effective income tax rates are as follows:</w:t>
            </w:r>
          </w:p>
        </w:tc>
      </w:tr>
      <w:tr>
        <w:trPr>
          <w:trHeight w:val="758"/>
        </w:trPr>
        <w:tc>
          <w:tcPr>
            <w:tcW w:w="3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rPr>
              <w:t>(Unaudited)</w:t>
            </w:r>
          </w:p>
        </w:tc>
        <w:tc>
          <w:tcPr>
            <w:tcW w:w="1080" w:type="dxa"/>
            <w:vAlign w:val="bottom"/>
          </w:tcPr>
          <w:p>
            <w:pPr>
              <w:spacing w:after="0"/>
              <w:rPr>
                <w:sz w:val="24"/>
                <w:szCs w:val="24"/>
                <w:color w:val="auto"/>
              </w:rPr>
            </w:pPr>
          </w:p>
        </w:tc>
      </w:tr>
      <w:tr>
        <w:trPr>
          <w:trHeight w:val="190"/>
        </w:trPr>
        <w:tc>
          <w:tcPr>
            <w:tcW w:w="3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rPr>
              <w:t>For the</w:t>
            </w:r>
          </w:p>
        </w:tc>
        <w:tc>
          <w:tcPr>
            <w:tcW w:w="1080" w:type="dxa"/>
            <w:vAlign w:val="bottom"/>
          </w:tcPr>
          <w:p>
            <w:pPr>
              <w:spacing w:after="0"/>
              <w:rPr>
                <w:sz w:val="16"/>
                <w:szCs w:val="16"/>
                <w:color w:val="auto"/>
              </w:rPr>
            </w:pPr>
          </w:p>
        </w:tc>
      </w:tr>
      <w:tr>
        <w:trPr>
          <w:trHeight w:val="190"/>
        </w:trPr>
        <w:tc>
          <w:tcPr>
            <w:tcW w:w="3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Three Months</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For the</w:t>
            </w:r>
          </w:p>
        </w:tc>
      </w:tr>
      <w:tr>
        <w:trPr>
          <w:trHeight w:val="190"/>
        </w:trPr>
        <w:tc>
          <w:tcPr>
            <w:tcW w:w="3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w w:val="99"/>
              </w:rPr>
              <w:t>Ended</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Year Ended</w:t>
            </w:r>
          </w:p>
        </w:tc>
      </w:tr>
      <w:tr>
        <w:trPr>
          <w:trHeight w:val="190"/>
        </w:trPr>
        <w:tc>
          <w:tcPr>
            <w:tcW w:w="3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rPr>
              <w:t>November 30</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August 31</w:t>
            </w:r>
          </w:p>
        </w:tc>
      </w:tr>
      <w:tr>
        <w:trPr>
          <w:trHeight w:val="190"/>
        </w:trPr>
        <w:tc>
          <w:tcPr>
            <w:tcW w:w="3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1996</w:t>
            </w: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1996</w:t>
            </w:r>
          </w:p>
        </w:tc>
      </w:tr>
      <w:tr>
        <w:trPr>
          <w:trHeight w:val="190"/>
        </w:trPr>
        <w:tc>
          <w:tcPr>
            <w:tcW w:w="3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4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569"/>
        </w:trPr>
        <w:tc>
          <w:tcPr>
            <w:tcW w:w="340" w:type="dxa"/>
            <w:vAlign w:val="bottom"/>
          </w:tcPr>
          <w:p>
            <w:pPr>
              <w:spacing w:after="0"/>
              <w:rPr>
                <w:sz w:val="24"/>
                <w:szCs w:val="24"/>
                <w:color w:val="auto"/>
              </w:rPr>
            </w:pPr>
          </w:p>
        </w:tc>
        <w:tc>
          <w:tcPr>
            <w:tcW w:w="4000" w:type="dxa"/>
            <w:vAlign w:val="bottom"/>
          </w:tcPr>
          <w:p>
            <w:pPr>
              <w:ind w:left="160"/>
              <w:spacing w:after="0"/>
              <w:rPr>
                <w:sz w:val="20"/>
                <w:szCs w:val="20"/>
                <w:color w:val="auto"/>
              </w:rPr>
            </w:pPr>
            <w:r>
              <w:rPr>
                <w:rFonts w:ascii="Courier New" w:cs="Courier New" w:eastAsia="Courier New" w:hAnsi="Courier New"/>
                <w:sz w:val="16"/>
                <w:szCs w:val="16"/>
                <w:color w:val="auto"/>
              </w:rPr>
              <w:t>Statutory Canadian federal income tax</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29.1</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29.1</w:t>
            </w:r>
          </w:p>
        </w:tc>
      </w:tr>
      <w:tr>
        <w:trPr>
          <w:trHeight w:val="190"/>
        </w:trPr>
        <w:tc>
          <w:tcPr>
            <w:tcW w:w="340" w:type="dxa"/>
            <w:vAlign w:val="bottom"/>
          </w:tcPr>
          <w:p>
            <w:pPr>
              <w:spacing w:after="0"/>
              <w:rPr>
                <w:sz w:val="16"/>
                <w:szCs w:val="16"/>
                <w:color w:val="auto"/>
              </w:rPr>
            </w:pPr>
          </w:p>
        </w:tc>
        <w:tc>
          <w:tcPr>
            <w:tcW w:w="4000" w:type="dxa"/>
            <w:vAlign w:val="bottom"/>
          </w:tcPr>
          <w:p>
            <w:pPr>
              <w:ind w:left="160"/>
              <w:spacing w:after="0"/>
              <w:rPr>
                <w:sz w:val="20"/>
                <w:szCs w:val="20"/>
                <w:color w:val="auto"/>
              </w:rPr>
            </w:pPr>
            <w:r>
              <w:rPr>
                <w:rFonts w:ascii="Courier New" w:cs="Courier New" w:eastAsia="Courier New" w:hAnsi="Courier New"/>
                <w:sz w:val="16"/>
                <w:szCs w:val="16"/>
                <w:color w:val="auto"/>
              </w:rPr>
              <w:t>Net provincial income taxes</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14.4</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14.4</w:t>
            </w:r>
          </w:p>
        </w:tc>
      </w:tr>
      <w:tr>
        <w:trPr>
          <w:trHeight w:val="190"/>
        </w:trPr>
        <w:tc>
          <w:tcPr>
            <w:tcW w:w="340" w:type="dxa"/>
            <w:vAlign w:val="bottom"/>
          </w:tcPr>
          <w:p>
            <w:pPr>
              <w:spacing w:after="0"/>
              <w:rPr>
                <w:sz w:val="16"/>
                <w:szCs w:val="16"/>
                <w:color w:val="auto"/>
              </w:rPr>
            </w:pPr>
          </w:p>
        </w:tc>
        <w:tc>
          <w:tcPr>
            <w:tcW w:w="4000" w:type="dxa"/>
            <w:vAlign w:val="bottom"/>
          </w:tcPr>
          <w:p>
            <w:pPr>
              <w:ind w:left="160"/>
              <w:spacing w:after="0"/>
              <w:rPr>
                <w:sz w:val="20"/>
                <w:szCs w:val="20"/>
                <w:color w:val="auto"/>
              </w:rPr>
            </w:pPr>
            <w:r>
              <w:rPr>
                <w:rFonts w:ascii="Courier New" w:cs="Courier New" w:eastAsia="Courier New" w:hAnsi="Courier New"/>
                <w:sz w:val="16"/>
                <w:szCs w:val="16"/>
                <w:color w:val="auto"/>
              </w:rPr>
              <w:t>Expenses not deductible</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6.9</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7.2</w:t>
            </w:r>
          </w:p>
        </w:tc>
      </w:tr>
      <w:tr>
        <w:trPr>
          <w:trHeight w:val="190"/>
        </w:trPr>
        <w:tc>
          <w:tcPr>
            <w:tcW w:w="3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3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50.4</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50.7</w:t>
            </w:r>
          </w:p>
        </w:tc>
      </w:tr>
      <w:tr>
        <w:trPr>
          <w:trHeight w:val="190"/>
        </w:trPr>
        <w:tc>
          <w:tcPr>
            <w:tcW w:w="3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ind w:left="500" w:right="2819"/>
        <w:spacing w:after="0" w:line="255" w:lineRule="auto"/>
        <w:rPr>
          <w:sz w:val="20"/>
          <w:szCs w:val="20"/>
          <w:color w:val="auto"/>
        </w:rPr>
      </w:pPr>
      <w:r>
        <w:rPr>
          <w:rFonts w:ascii="Courier New" w:cs="Courier New" w:eastAsia="Courier New" w:hAnsi="Courier New"/>
          <w:sz w:val="16"/>
          <w:szCs w:val="16"/>
          <w:color w:val="auto"/>
        </w:rPr>
        <w:t>The tax effect of temporary differences which comprise deferred income taxes shown on the balance sheet are as follows:</w:t>
      </w:r>
    </w:p>
    <w:p>
      <w:pPr>
        <w:spacing w:after="0" w:line="200" w:lineRule="exact"/>
        <w:rPr>
          <w:sz w:val="20"/>
          <w:szCs w:val="20"/>
          <w:color w:val="auto"/>
        </w:rPr>
      </w:pPr>
    </w:p>
    <w:p>
      <w:pPr>
        <w:spacing w:after="0" w:line="363"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3880" w:type="dxa"/>
            <w:vAlign w:val="bottom"/>
          </w:tcPr>
          <w:p>
            <w:pPr>
              <w:spacing w:after="0"/>
              <w:rPr>
                <w:sz w:val="16"/>
                <w:szCs w:val="16"/>
                <w:color w:val="auto"/>
              </w:rPr>
            </w:pPr>
          </w:p>
        </w:tc>
        <w:tc>
          <w:tcPr>
            <w:tcW w:w="1480" w:type="dxa"/>
            <w:vAlign w:val="bottom"/>
          </w:tcPr>
          <w:p>
            <w:pPr>
              <w:jc w:val="center"/>
              <w:ind w:left="38"/>
              <w:spacing w:after="0"/>
              <w:rPr>
                <w:sz w:val="20"/>
                <w:szCs w:val="20"/>
                <w:color w:val="auto"/>
              </w:rPr>
            </w:pPr>
            <w:r>
              <w:rPr>
                <w:rFonts w:ascii="Courier New" w:cs="Courier New" w:eastAsia="Courier New" w:hAnsi="Courier New"/>
                <w:sz w:val="16"/>
                <w:szCs w:val="16"/>
                <w:color w:val="auto"/>
              </w:rPr>
              <w:t>(Unaudited)</w:t>
            </w:r>
          </w:p>
        </w:tc>
        <w:tc>
          <w:tcPr>
            <w:tcW w:w="1040" w:type="dxa"/>
            <w:vAlign w:val="bottom"/>
          </w:tcPr>
          <w:p>
            <w:pPr>
              <w:spacing w:after="0"/>
              <w:rPr>
                <w:sz w:val="16"/>
                <w:szCs w:val="16"/>
                <w:color w:val="auto"/>
              </w:rPr>
            </w:pPr>
          </w:p>
        </w:tc>
      </w:tr>
      <w:tr>
        <w:trPr>
          <w:trHeight w:val="190"/>
        </w:trPr>
        <w:tc>
          <w:tcPr>
            <w:tcW w:w="3880" w:type="dxa"/>
            <w:vAlign w:val="bottom"/>
          </w:tcPr>
          <w:p>
            <w:pPr>
              <w:spacing w:after="0"/>
              <w:rPr>
                <w:sz w:val="16"/>
                <w:szCs w:val="16"/>
                <w:color w:val="auto"/>
              </w:rPr>
            </w:pPr>
          </w:p>
        </w:tc>
        <w:tc>
          <w:tcPr>
            <w:tcW w:w="1480" w:type="dxa"/>
            <w:vAlign w:val="bottom"/>
          </w:tcPr>
          <w:p>
            <w:pPr>
              <w:jc w:val="center"/>
              <w:ind w:left="38"/>
              <w:spacing w:after="0"/>
              <w:rPr>
                <w:sz w:val="20"/>
                <w:szCs w:val="20"/>
                <w:color w:val="auto"/>
              </w:rPr>
            </w:pPr>
            <w:r>
              <w:rPr>
                <w:rFonts w:ascii="Courier New" w:cs="Courier New" w:eastAsia="Courier New" w:hAnsi="Courier New"/>
                <w:sz w:val="16"/>
                <w:szCs w:val="16"/>
                <w:color w:val="auto"/>
              </w:rPr>
              <w:t>November 30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August 31</w:t>
            </w:r>
          </w:p>
        </w:tc>
      </w:tr>
      <w:tr>
        <w:trPr>
          <w:trHeight w:val="190"/>
        </w:trPr>
        <w:tc>
          <w:tcPr>
            <w:tcW w:w="3880" w:type="dxa"/>
            <w:vAlign w:val="bottom"/>
          </w:tcPr>
          <w:p>
            <w:pPr>
              <w:spacing w:after="0"/>
              <w:rPr>
                <w:sz w:val="16"/>
                <w:szCs w:val="16"/>
                <w:color w:val="auto"/>
              </w:rPr>
            </w:pPr>
          </w:p>
        </w:tc>
        <w:tc>
          <w:tcPr>
            <w:tcW w:w="14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1996</w:t>
            </w: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1996</w:t>
            </w:r>
          </w:p>
        </w:tc>
      </w:tr>
      <w:tr>
        <w:trPr>
          <w:trHeight w:val="190"/>
        </w:trPr>
        <w:tc>
          <w:tcPr>
            <w:tcW w:w="3880" w:type="dxa"/>
            <w:vAlign w:val="bottom"/>
          </w:tcPr>
          <w:p>
            <w:pPr>
              <w:spacing w:after="0"/>
              <w:rPr>
                <w:sz w:val="16"/>
                <w:szCs w:val="16"/>
                <w:color w:val="auto"/>
              </w:rPr>
            </w:pPr>
          </w:p>
        </w:tc>
        <w:tc>
          <w:tcPr>
            <w:tcW w:w="1480" w:type="dxa"/>
            <w:vAlign w:val="bottom"/>
          </w:tcPr>
          <w:p>
            <w:pPr>
              <w:jc w:val="center"/>
              <w:ind w:left="1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r>
      <w:tr>
        <w:trPr>
          <w:trHeight w:val="379"/>
        </w:trPr>
        <w:tc>
          <w:tcPr>
            <w:tcW w:w="3880" w:type="dxa"/>
            <w:vAlign w:val="bottom"/>
          </w:tcPr>
          <w:p>
            <w:pPr>
              <w:spacing w:after="0"/>
              <w:rPr>
                <w:sz w:val="20"/>
                <w:szCs w:val="20"/>
                <w:color w:val="auto"/>
              </w:rPr>
            </w:pPr>
            <w:r>
              <w:rPr>
                <w:rFonts w:ascii="Courier New" w:cs="Courier New" w:eastAsia="Courier New" w:hAnsi="Courier New"/>
                <w:sz w:val="16"/>
                <w:szCs w:val="16"/>
                <w:color w:val="auto"/>
              </w:rPr>
              <w:t>Deferred tax assets:</w:t>
            </w: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9"/>
        </w:trPr>
        <w:tc>
          <w:tcPr>
            <w:tcW w:w="3880" w:type="dxa"/>
            <w:vAlign w:val="bottom"/>
          </w:tcPr>
          <w:p>
            <w:pPr>
              <w:spacing w:after="0"/>
              <w:rPr>
                <w:sz w:val="20"/>
                <w:szCs w:val="20"/>
                <w:color w:val="auto"/>
              </w:rPr>
            </w:pPr>
            <w:r>
              <w:rPr>
                <w:rFonts w:ascii="Courier New" w:cs="Courier New" w:eastAsia="Courier New" w:hAnsi="Courier New"/>
                <w:sz w:val="16"/>
                <w:szCs w:val="16"/>
                <w:color w:val="auto"/>
              </w:rPr>
              <w:t>Accrued remediation and closure costs</w:t>
            </w:r>
          </w:p>
        </w:tc>
        <w:tc>
          <w:tcPr>
            <w:tcW w:w="14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2,659</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2,621</w:t>
            </w:r>
          </w:p>
        </w:tc>
      </w:tr>
      <w:tr>
        <w:trPr>
          <w:trHeight w:val="190"/>
        </w:trPr>
        <w:tc>
          <w:tcPr>
            <w:tcW w:w="388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4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1,221</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1,204</w:t>
            </w:r>
          </w:p>
        </w:tc>
      </w:tr>
      <w:tr>
        <w:trPr>
          <w:trHeight w:val="190"/>
        </w:trPr>
        <w:tc>
          <w:tcPr>
            <w:tcW w:w="3880" w:type="dxa"/>
            <w:vAlign w:val="bottom"/>
          </w:tcPr>
          <w:p>
            <w:pPr>
              <w:spacing w:after="0"/>
              <w:rPr>
                <w:sz w:val="16"/>
                <w:szCs w:val="16"/>
                <w:color w:val="auto"/>
              </w:rPr>
            </w:pPr>
          </w:p>
        </w:tc>
        <w:tc>
          <w:tcPr>
            <w:tcW w:w="14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3880" w:type="dxa"/>
            <w:vAlign w:val="bottom"/>
          </w:tcPr>
          <w:p>
            <w:pPr>
              <w:spacing w:after="0"/>
              <w:rPr>
                <w:sz w:val="20"/>
                <w:szCs w:val="20"/>
                <w:color w:val="auto"/>
              </w:rPr>
            </w:pPr>
            <w:r>
              <w:rPr>
                <w:rFonts w:ascii="Courier New" w:cs="Courier New" w:eastAsia="Courier New" w:hAnsi="Courier New"/>
                <w:sz w:val="16"/>
                <w:szCs w:val="16"/>
                <w:color w:val="auto"/>
              </w:rPr>
              <w:t>Net deferred tax assets</w:t>
            </w:r>
          </w:p>
        </w:tc>
        <w:tc>
          <w:tcPr>
            <w:tcW w:w="14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3,880</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3,825</w:t>
            </w:r>
          </w:p>
        </w:tc>
      </w:tr>
      <w:tr>
        <w:trPr>
          <w:trHeight w:val="190"/>
        </w:trPr>
        <w:tc>
          <w:tcPr>
            <w:tcW w:w="3880" w:type="dxa"/>
            <w:vAlign w:val="bottom"/>
          </w:tcPr>
          <w:p>
            <w:pPr>
              <w:spacing w:after="0"/>
              <w:rPr>
                <w:sz w:val="20"/>
                <w:szCs w:val="20"/>
                <w:color w:val="auto"/>
              </w:rPr>
            </w:pPr>
            <w:r>
              <w:rPr>
                <w:rFonts w:ascii="Courier New" w:cs="Courier New" w:eastAsia="Courier New" w:hAnsi="Courier New"/>
                <w:sz w:val="16"/>
                <w:szCs w:val="16"/>
                <w:color w:val="auto"/>
              </w:rPr>
              <w:t>Excess of tax over book depreciation</w:t>
            </w:r>
          </w:p>
        </w:tc>
        <w:tc>
          <w:tcPr>
            <w:tcW w:w="14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25,115</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24,955</w:t>
            </w:r>
          </w:p>
        </w:tc>
      </w:tr>
      <w:tr>
        <w:trPr>
          <w:trHeight w:val="190"/>
        </w:trPr>
        <w:tc>
          <w:tcPr>
            <w:tcW w:w="3880" w:type="dxa"/>
            <w:vAlign w:val="bottom"/>
          </w:tcPr>
          <w:p>
            <w:pPr>
              <w:spacing w:after="0"/>
              <w:rPr>
                <w:sz w:val="16"/>
                <w:szCs w:val="16"/>
                <w:color w:val="auto"/>
              </w:rPr>
            </w:pPr>
          </w:p>
        </w:tc>
        <w:tc>
          <w:tcPr>
            <w:tcW w:w="14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3880" w:type="dxa"/>
            <w:vAlign w:val="bottom"/>
          </w:tcPr>
          <w:p>
            <w:pPr>
              <w:spacing w:after="0"/>
              <w:rPr>
                <w:sz w:val="20"/>
                <w:szCs w:val="20"/>
                <w:color w:val="auto"/>
              </w:rPr>
            </w:pPr>
            <w:r>
              <w:rPr>
                <w:rFonts w:ascii="Courier New" w:cs="Courier New" w:eastAsia="Courier New" w:hAnsi="Courier New"/>
                <w:sz w:val="16"/>
                <w:szCs w:val="16"/>
                <w:color w:val="auto"/>
              </w:rPr>
              <w:t>Net deferred tax liability</w:t>
            </w:r>
          </w:p>
        </w:tc>
        <w:tc>
          <w:tcPr>
            <w:tcW w:w="14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21,235</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21,130</w:t>
            </w:r>
          </w:p>
        </w:tc>
      </w:tr>
      <w:tr>
        <w:trPr>
          <w:trHeight w:val="190"/>
        </w:trPr>
        <w:tc>
          <w:tcPr>
            <w:tcW w:w="3880" w:type="dxa"/>
            <w:vAlign w:val="bottom"/>
          </w:tcPr>
          <w:p>
            <w:pPr>
              <w:spacing w:after="0"/>
              <w:rPr>
                <w:sz w:val="16"/>
                <w:szCs w:val="16"/>
                <w:color w:val="auto"/>
              </w:rPr>
            </w:pPr>
          </w:p>
        </w:tc>
        <w:tc>
          <w:tcPr>
            <w:tcW w:w="14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73" w:lineRule="exact"/>
        <w:rPr>
          <w:sz w:val="20"/>
          <w:szCs w:val="20"/>
          <w:color w:val="auto"/>
        </w:rPr>
      </w:pPr>
    </w:p>
    <w:p>
      <w:pPr>
        <w:ind w:left="500" w:right="2439"/>
        <w:spacing w:after="0" w:line="251" w:lineRule="auto"/>
        <w:rPr>
          <w:sz w:val="20"/>
          <w:szCs w:val="20"/>
          <w:color w:val="auto"/>
        </w:rPr>
      </w:pPr>
      <w:r>
        <w:rPr>
          <w:rFonts w:ascii="Courier New" w:cs="Courier New" w:eastAsia="Courier New" w:hAnsi="Courier New"/>
          <w:sz w:val="16"/>
          <w:szCs w:val="16"/>
          <w:color w:val="auto"/>
        </w:rPr>
        <w:t>As per the Laidlaw Agreement and the Agreement, any loss carryforwards, loss carry backs, and income tax credits for tax purposes, included in income taxes recoverable which result in tax benefits to the Group, must ultimately be refunded to Laidlaw Inc. As at November 30, 1996, the entire income tax recoverable balance of $47,536 (August 31, 1996 - $49,236) consisted of such items.</w:t>
      </w:r>
    </w:p>
    <w:p>
      <w:pPr>
        <w:sectPr>
          <w:pgSz w:w="11900" w:h="16838" w:orient="portrait"/>
          <w:cols w:equalWidth="0" w:num="1">
            <w:col w:w="10219"/>
          </w:cols>
          <w:pgMar w:left="240" w:top="306" w:right="1440" w:bottom="1440"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6"/>
          <w:szCs w:val="16"/>
          <w:color w:val="auto"/>
        </w:rPr>
        <w:t>20</w:t>
      </w:r>
    </w:p>
    <w:p>
      <w:pPr>
        <w:spacing w:after="0" w:line="8" w:lineRule="exact"/>
        <w:rPr>
          <w:sz w:val="20"/>
          <w:szCs w:val="20"/>
          <w:color w:val="auto"/>
        </w:rPr>
      </w:pPr>
    </w:p>
    <w:p>
      <w:pPr>
        <w:ind w:left="6600"/>
        <w:spacing w:after="0"/>
        <w:rPr>
          <w:sz w:val="20"/>
          <w:szCs w:val="20"/>
          <w:color w:val="auto"/>
        </w:rPr>
      </w:pPr>
      <w:r>
        <w:rPr>
          <w:rFonts w:ascii="Courier New" w:cs="Courier New" w:eastAsia="Courier New" w:hAnsi="Courier New"/>
          <w:sz w:val="16"/>
          <w:szCs w:val="16"/>
          <w:color w:val="auto"/>
        </w:rPr>
        <w:t>ATTACHMENT B</w:t>
      </w:r>
    </w:p>
    <w:p>
      <w:pPr>
        <w:spacing w:after="0" w:line="19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USA WASTE SERVICES, INC.</w:t>
      </w:r>
    </w:p>
    <w:p>
      <w:pPr>
        <w:spacing w:after="0" w:line="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PRO FORMA CONDENSED CONSOLIDATED FINANCIAL STATEMENTS</w:t>
      </w:r>
    </w:p>
    <w:p>
      <w:pPr>
        <w:spacing w:after="0" w:line="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(Unaudited)</w:t>
      </w:r>
    </w:p>
    <w:p>
      <w:pPr>
        <w:spacing w:after="0" w:line="38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On March 12, 1997, USA Waste Services, Inc. (the "Company") acquired all of the Canadian solid waste subsidiaries of Allied Waste Industries, Inc. ("Allied"), in a transaction accounted for as a purchase. Allied purchased these Canadian solid waste subsidiaries under the terms of a Stock Purchase Agreement dated September 17, 1996 (the "Laidlaw Agreement") between Allied and Laidlaw Inc. ("Laidlaw"), in which Allied purchased all the solid waste management business of Laidlaw. The Pro Forma Condensed Consolidated Financial Statements give effect to the purchase of the Canadian operations of the Laidlaw Solid Waste Management Group ("Laidlaw Solid Waste Management Group - Canadian Operations").</w:t>
      </w:r>
    </w:p>
    <w:p>
      <w:pPr>
        <w:spacing w:after="0" w:line="190"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On February 7, 1997, the Company issued $535,275,000 of 4% convertible subordinated notes, due on February 1, 2002 ("Notes Offering"). The notes are convertible into shares of the Company's common stock at a conversion price of $43.56 per share. Concurrent with the Notes Offering, the Company completed a public offering of 11,500,000 shares of its common stock, priced at $35.125 per share ("Equity Offering") for net proceeds of approximately $387,438,000. The proceeds from the Notes Offering and Equity Offering were primarily used to repay debt under the Company's Credit Facility and for general corporate purposes.</w:t>
      </w:r>
    </w:p>
    <w:p>
      <w:pPr>
        <w:spacing w:after="0" w:line="379"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The accompanying pro forma condensed consolidated balance sheet as of December 31, 1996 has been prepared as if the acquisition, Notes Offering and Equity Offering which occurred after December 31, 1996 were consummated as of that date. The accompanying pro forma condensed consolidated statements of operations for the year ended December 31, 1996 present the pro forma results of operations of the Company as if the acquisition, Notes Offering and Equity Offering had occurred on January 1, 1996. The accompanying pro forma condensed consolidated financial statements should be read in conjunction with the Company's Consolidated Financial Statements and related notes thereto included in the Company's Annual Report on Form 10-K for the year ended December 31, 1996.</w:t>
      </w:r>
    </w:p>
    <w:p>
      <w:pPr>
        <w:sectPr>
          <w:pgSz w:w="11900" w:h="16838" w:orient="portrait"/>
          <w:cols w:equalWidth="0" w:num="1">
            <w:col w:w="10219"/>
          </w:cols>
          <w:pgMar w:left="240" w:top="306" w:right="1440" w:bottom="1440"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6"/>
          <w:szCs w:val="16"/>
          <w:color w:val="auto"/>
        </w:rPr>
        <w:t>21</w:t>
      </w:r>
    </w:p>
    <w:p>
      <w:pPr>
        <w:spacing w:after="0" w:line="198"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6"/>
          <w:szCs w:val="16"/>
          <w:color w:val="auto"/>
        </w:rPr>
        <w:t>USA WASTE SERVICES, INC.</w:t>
      </w:r>
    </w:p>
    <w:p>
      <w:pPr>
        <w:spacing w:after="0" w:line="8"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6"/>
          <w:szCs w:val="16"/>
          <w:color w:val="auto"/>
        </w:rPr>
        <w:t>PRO FORMA CONDENSED CONSOLIDATED BALANCE SHEET</w:t>
      </w:r>
    </w:p>
    <w:p>
      <w:pPr>
        <w:spacing w:after="0" w:line="8"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6"/>
          <w:szCs w:val="16"/>
          <w:color w:val="auto"/>
        </w:rPr>
        <w:t>(IN THOUSANDS, EXCEPT SHARE AND PAR VALUE AMOUNTS)</w:t>
      </w:r>
    </w:p>
    <w:p>
      <w:pPr>
        <w:spacing w:after="0" w:line="8"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6"/>
          <w:szCs w:val="16"/>
          <w:color w:val="auto"/>
        </w:rPr>
        <w:t>(UNAUDITED)</w:t>
      </w:r>
    </w:p>
    <w:p>
      <w:pPr>
        <w:spacing w:after="0" w:line="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DECEMBER 31,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w w:val="98"/>
              </w:rPr>
              <w:t>BUSINESS</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ACQUIRED AFTER</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DECEMBER</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31, 1996</w:t>
            </w:r>
          </w:p>
        </w:tc>
        <w:tc>
          <w:tcPr>
            <w:tcW w:w="200" w:type="dxa"/>
            <w:vAlign w:val="bottom"/>
          </w:tcPr>
          <w:p>
            <w:pPr>
              <w:spacing w:after="0"/>
              <w:rPr>
                <w:sz w:val="16"/>
                <w:szCs w:val="16"/>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9"/>
              </w:rPr>
              <w:t>PRO FORMA</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548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HISTORICAL</w:t>
            </w:r>
          </w:p>
        </w:tc>
        <w:tc>
          <w:tcPr>
            <w:tcW w:w="340" w:type="dxa"/>
            <w:vAlign w:val="bottom"/>
          </w:tcPr>
          <w:p>
            <w:pPr>
              <w:spacing w:after="0"/>
              <w:rPr>
                <w:sz w:val="16"/>
                <w:szCs w:val="16"/>
                <w:color w:val="auto"/>
              </w:rPr>
            </w:pP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(NOTE 1)</w:t>
            </w:r>
          </w:p>
        </w:tc>
        <w:tc>
          <w:tcPr>
            <w:tcW w:w="12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ADJUSTMENTS</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9"/>
              </w:rPr>
              <w:t>PRO FORMA</w:t>
            </w:r>
          </w:p>
        </w:tc>
      </w:tr>
      <w:tr>
        <w:trPr>
          <w:trHeight w:val="190"/>
        </w:trPr>
        <w:tc>
          <w:tcPr>
            <w:tcW w:w="5480" w:type="dxa"/>
            <w:vAlign w:val="bottom"/>
          </w:tcPr>
          <w:p>
            <w:pPr>
              <w:spacing w:after="0"/>
              <w:rPr>
                <w:sz w:val="16"/>
                <w:szCs w:val="16"/>
                <w:color w:val="auto"/>
              </w:rPr>
            </w:pPr>
          </w:p>
        </w:tc>
        <w:tc>
          <w:tcPr>
            <w:tcW w:w="138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3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54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0"/>
        </w:trPr>
        <w:tc>
          <w:tcPr>
            <w:tcW w:w="54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5480" w:type="dxa"/>
            <w:vAlign w:val="bottom"/>
          </w:tcPr>
          <w:p>
            <w:pPr>
              <w:ind w:left="300"/>
              <w:spacing w:after="0"/>
              <w:rPr>
                <w:sz w:val="20"/>
                <w:szCs w:val="20"/>
                <w:color w:val="auto"/>
              </w:rPr>
            </w:pPr>
            <w:r>
              <w:rPr>
                <w:rFonts w:ascii="Courier New" w:cs="Courier New" w:eastAsia="Courier New" w:hAnsi="Courier New"/>
                <w:sz w:val="16"/>
                <w:szCs w:val="16"/>
                <w:color w:val="auto"/>
              </w:rPr>
              <w:t>Cash and cash equivalents</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23,511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(187,730)(a)</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24,019</w:t>
            </w:r>
          </w:p>
        </w:tc>
      </w:tr>
      <w:tr>
        <w:trPr>
          <w:trHeight w:val="190"/>
        </w:trPr>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188,238</w:t>
            </w:r>
          </w:p>
        </w:tc>
        <w:tc>
          <w:tcPr>
            <w:tcW w:w="40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7"/>
              </w:rPr>
              <w:t>(b)</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5480" w:type="dxa"/>
            <w:vAlign w:val="bottom"/>
          </w:tcPr>
          <w:p>
            <w:pPr>
              <w:ind w:left="300"/>
              <w:spacing w:after="0"/>
              <w:rPr>
                <w:sz w:val="20"/>
                <w:szCs w:val="20"/>
                <w:color w:val="auto"/>
              </w:rPr>
            </w:pPr>
            <w:r>
              <w:rPr>
                <w:rFonts w:ascii="Courier New" w:cs="Courier New" w:eastAsia="Courier New" w:hAnsi="Courier New"/>
                <w:sz w:val="16"/>
                <w:szCs w:val="16"/>
                <w:color w:val="auto"/>
              </w:rPr>
              <w:t>Accounts receivable, net</w:t>
            </w:r>
          </w:p>
        </w:tc>
        <w:tc>
          <w:tcPr>
            <w:tcW w:w="280" w:type="dxa"/>
            <w:vAlign w:val="bottom"/>
          </w:tcPr>
          <w:p>
            <w:pPr>
              <w:spacing w:after="0"/>
              <w:rPr>
                <w:sz w:val="16"/>
                <w:szCs w:val="16"/>
                <w:color w:val="auto"/>
              </w:rPr>
            </w:pPr>
          </w:p>
        </w:tc>
        <w:tc>
          <w:tcPr>
            <w:tcW w:w="11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210,038</w:t>
            </w:r>
          </w:p>
        </w:tc>
        <w:tc>
          <w:tcPr>
            <w:tcW w:w="3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36,673</w:t>
            </w:r>
          </w:p>
        </w:tc>
        <w:tc>
          <w:tcPr>
            <w:tcW w:w="200" w:type="dxa"/>
            <w:vAlign w:val="bottom"/>
          </w:tcPr>
          <w:p>
            <w:pPr>
              <w:spacing w:after="0"/>
              <w:rPr>
                <w:sz w:val="16"/>
                <w:szCs w:val="16"/>
                <w:color w:val="auto"/>
              </w:rPr>
            </w:pP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(1,600)(c)</w:t>
            </w:r>
          </w:p>
        </w:tc>
        <w:tc>
          <w:tcPr>
            <w:tcW w:w="3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245,111</w:t>
            </w:r>
          </w:p>
        </w:tc>
      </w:tr>
      <w:tr>
        <w:trPr>
          <w:trHeight w:val="190"/>
        </w:trPr>
        <w:tc>
          <w:tcPr>
            <w:tcW w:w="5480" w:type="dxa"/>
            <w:vAlign w:val="bottom"/>
          </w:tcPr>
          <w:p>
            <w:pPr>
              <w:ind w:left="300"/>
              <w:spacing w:after="0"/>
              <w:rPr>
                <w:sz w:val="20"/>
                <w:szCs w:val="20"/>
                <w:color w:val="auto"/>
              </w:rPr>
            </w:pPr>
            <w:r>
              <w:rPr>
                <w:rFonts w:ascii="Courier New" w:cs="Courier New" w:eastAsia="Courier New" w:hAnsi="Courier New"/>
                <w:sz w:val="16"/>
                <w:szCs w:val="16"/>
                <w:color w:val="auto"/>
              </w:rPr>
              <w:t>Notes and other receivables</w:t>
            </w:r>
          </w:p>
        </w:tc>
        <w:tc>
          <w:tcPr>
            <w:tcW w:w="280" w:type="dxa"/>
            <w:vAlign w:val="bottom"/>
          </w:tcPr>
          <w:p>
            <w:pPr>
              <w:spacing w:after="0"/>
              <w:rPr>
                <w:sz w:val="16"/>
                <w:szCs w:val="16"/>
                <w:color w:val="auto"/>
              </w:rPr>
            </w:pPr>
          </w:p>
        </w:tc>
        <w:tc>
          <w:tcPr>
            <w:tcW w:w="11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25,579</w:t>
            </w:r>
          </w:p>
        </w:tc>
        <w:tc>
          <w:tcPr>
            <w:tcW w:w="3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7,900</w:t>
            </w:r>
          </w:p>
        </w:tc>
        <w:tc>
          <w:tcPr>
            <w:tcW w:w="200" w:type="dxa"/>
            <w:vAlign w:val="bottom"/>
          </w:tcPr>
          <w:p>
            <w:pPr>
              <w:spacing w:after="0"/>
              <w:rPr>
                <w:sz w:val="16"/>
                <w:szCs w:val="16"/>
                <w:color w:val="auto"/>
              </w:rPr>
            </w:pP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(400)(c)</w:t>
            </w:r>
          </w:p>
        </w:tc>
        <w:tc>
          <w:tcPr>
            <w:tcW w:w="3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33,079</w:t>
            </w:r>
          </w:p>
        </w:tc>
      </w:tr>
      <w:tr>
        <w:trPr>
          <w:trHeight w:val="190"/>
        </w:trPr>
        <w:tc>
          <w:tcPr>
            <w:tcW w:w="5480" w:type="dxa"/>
            <w:vAlign w:val="bottom"/>
          </w:tcPr>
          <w:p>
            <w:pPr>
              <w:ind w:left="300"/>
              <w:spacing w:after="0"/>
              <w:rPr>
                <w:sz w:val="20"/>
                <w:szCs w:val="20"/>
                <w:color w:val="auto"/>
              </w:rPr>
            </w:pPr>
            <w:r>
              <w:rPr>
                <w:rFonts w:ascii="Courier New" w:cs="Courier New" w:eastAsia="Courier New" w:hAnsi="Courier New"/>
                <w:sz w:val="16"/>
                <w:szCs w:val="16"/>
                <w:color w:val="auto"/>
              </w:rPr>
              <w:t>Deferred income taxes</w:t>
            </w:r>
          </w:p>
        </w:tc>
        <w:tc>
          <w:tcPr>
            <w:tcW w:w="280" w:type="dxa"/>
            <w:vAlign w:val="bottom"/>
          </w:tcPr>
          <w:p>
            <w:pPr>
              <w:spacing w:after="0"/>
              <w:rPr>
                <w:sz w:val="16"/>
                <w:szCs w:val="16"/>
                <w:color w:val="auto"/>
              </w:rPr>
            </w:pPr>
          </w:p>
        </w:tc>
        <w:tc>
          <w:tcPr>
            <w:tcW w:w="11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39,714</w:t>
            </w:r>
          </w:p>
        </w:tc>
        <w:tc>
          <w:tcPr>
            <w:tcW w:w="3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47,536</w:t>
            </w:r>
          </w:p>
        </w:tc>
        <w:tc>
          <w:tcPr>
            <w:tcW w:w="200" w:type="dxa"/>
            <w:vAlign w:val="bottom"/>
          </w:tcPr>
          <w:p>
            <w:pPr>
              <w:spacing w:after="0"/>
              <w:rPr>
                <w:sz w:val="16"/>
                <w:szCs w:val="16"/>
                <w:color w:val="auto"/>
              </w:rPr>
            </w:pP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(47,536)(c)</w:t>
            </w:r>
          </w:p>
        </w:tc>
        <w:tc>
          <w:tcPr>
            <w:tcW w:w="3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39,714</w:t>
            </w:r>
          </w:p>
        </w:tc>
      </w:tr>
      <w:tr>
        <w:trPr>
          <w:trHeight w:val="190"/>
        </w:trPr>
        <w:tc>
          <w:tcPr>
            <w:tcW w:w="5480" w:type="dxa"/>
            <w:vAlign w:val="bottom"/>
          </w:tcPr>
          <w:p>
            <w:pPr>
              <w:ind w:left="300"/>
              <w:spacing w:after="0"/>
              <w:rPr>
                <w:sz w:val="20"/>
                <w:szCs w:val="20"/>
                <w:color w:val="auto"/>
              </w:rPr>
            </w:pPr>
            <w:r>
              <w:rPr>
                <w:rFonts w:ascii="Courier New" w:cs="Courier New" w:eastAsia="Courier New" w:hAnsi="Courier New"/>
                <w:sz w:val="16"/>
                <w:szCs w:val="16"/>
                <w:color w:val="auto"/>
              </w:rPr>
              <w:t>Prepaid expenses and other</w:t>
            </w:r>
          </w:p>
        </w:tc>
        <w:tc>
          <w:tcPr>
            <w:tcW w:w="280" w:type="dxa"/>
            <w:vAlign w:val="bottom"/>
          </w:tcPr>
          <w:p>
            <w:pPr>
              <w:spacing w:after="0"/>
              <w:rPr>
                <w:sz w:val="16"/>
                <w:szCs w:val="16"/>
                <w:color w:val="auto"/>
              </w:rPr>
            </w:pPr>
          </w:p>
        </w:tc>
        <w:tc>
          <w:tcPr>
            <w:tcW w:w="11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41,139</w:t>
            </w:r>
          </w:p>
        </w:tc>
        <w:tc>
          <w:tcPr>
            <w:tcW w:w="3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7,837</w:t>
            </w:r>
          </w:p>
        </w:tc>
        <w:tc>
          <w:tcPr>
            <w:tcW w:w="200" w:type="dxa"/>
            <w:vAlign w:val="bottom"/>
          </w:tcPr>
          <w:p>
            <w:pPr>
              <w:spacing w:after="0"/>
              <w:rPr>
                <w:sz w:val="16"/>
                <w:szCs w:val="16"/>
                <w:color w:val="auto"/>
              </w:rPr>
            </w:pP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(200)(c)</w:t>
            </w:r>
          </w:p>
        </w:tc>
        <w:tc>
          <w:tcPr>
            <w:tcW w:w="3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48,776</w:t>
            </w:r>
          </w:p>
        </w:tc>
      </w:tr>
      <w:tr>
        <w:trPr>
          <w:trHeight w:val="190"/>
        </w:trPr>
        <w:tc>
          <w:tcPr>
            <w:tcW w:w="5480" w:type="dxa"/>
            <w:vAlign w:val="bottom"/>
          </w:tcPr>
          <w:p>
            <w:pPr>
              <w:spacing w:after="0"/>
              <w:rPr>
                <w:sz w:val="16"/>
                <w:szCs w:val="16"/>
                <w:color w:val="auto"/>
              </w:rPr>
            </w:pPr>
          </w:p>
        </w:tc>
        <w:tc>
          <w:tcPr>
            <w:tcW w:w="138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3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480" w:type="dxa"/>
            <w:vAlign w:val="bottom"/>
          </w:tcPr>
          <w:p>
            <w:pPr>
              <w:ind w:left="700"/>
              <w:spacing w:after="0"/>
              <w:rPr>
                <w:sz w:val="20"/>
                <w:szCs w:val="20"/>
                <w:color w:val="auto"/>
              </w:rPr>
            </w:pPr>
            <w:r>
              <w:rPr>
                <w:rFonts w:ascii="Courier New" w:cs="Courier New" w:eastAsia="Courier New" w:hAnsi="Courier New"/>
                <w:sz w:val="16"/>
                <w:szCs w:val="16"/>
                <w:color w:val="auto"/>
              </w:rPr>
              <w:t>Total current assets</w:t>
            </w:r>
          </w:p>
        </w:tc>
        <w:tc>
          <w:tcPr>
            <w:tcW w:w="280" w:type="dxa"/>
            <w:vAlign w:val="bottom"/>
          </w:tcPr>
          <w:p>
            <w:pPr>
              <w:spacing w:after="0"/>
              <w:rPr>
                <w:sz w:val="16"/>
                <w:szCs w:val="16"/>
                <w:color w:val="auto"/>
              </w:rPr>
            </w:pPr>
          </w:p>
        </w:tc>
        <w:tc>
          <w:tcPr>
            <w:tcW w:w="11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339,981</w:t>
            </w:r>
          </w:p>
        </w:tc>
        <w:tc>
          <w:tcPr>
            <w:tcW w:w="3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99,946</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(49,228)</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390,699</w:t>
            </w:r>
          </w:p>
        </w:tc>
      </w:tr>
      <w:tr>
        <w:trPr>
          <w:trHeight w:val="190"/>
        </w:trPr>
        <w:tc>
          <w:tcPr>
            <w:tcW w:w="5480" w:type="dxa"/>
            <w:vAlign w:val="bottom"/>
          </w:tcPr>
          <w:p>
            <w:pPr>
              <w:spacing w:after="0"/>
              <w:rPr>
                <w:sz w:val="20"/>
                <w:szCs w:val="20"/>
                <w:color w:val="auto"/>
              </w:rPr>
            </w:pPr>
            <w:r>
              <w:rPr>
                <w:rFonts w:ascii="Courier New" w:cs="Courier New" w:eastAsia="Courier New" w:hAnsi="Courier New"/>
                <w:sz w:val="16"/>
                <w:szCs w:val="16"/>
                <w:color w:val="auto"/>
              </w:rPr>
              <w:t>Notes and other receivables</w:t>
            </w:r>
          </w:p>
        </w:tc>
        <w:tc>
          <w:tcPr>
            <w:tcW w:w="280" w:type="dxa"/>
            <w:vAlign w:val="bottom"/>
          </w:tcPr>
          <w:p>
            <w:pPr>
              <w:spacing w:after="0"/>
              <w:rPr>
                <w:sz w:val="16"/>
                <w:szCs w:val="16"/>
                <w:color w:val="auto"/>
              </w:rPr>
            </w:pPr>
          </w:p>
        </w:tc>
        <w:tc>
          <w:tcPr>
            <w:tcW w:w="11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49,059</w:t>
            </w:r>
          </w:p>
        </w:tc>
        <w:tc>
          <w:tcPr>
            <w:tcW w:w="3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49,059</w:t>
            </w:r>
          </w:p>
        </w:tc>
      </w:tr>
      <w:tr>
        <w:trPr>
          <w:trHeight w:val="190"/>
        </w:trPr>
        <w:tc>
          <w:tcPr>
            <w:tcW w:w="5480" w:type="dxa"/>
            <w:vAlign w:val="bottom"/>
          </w:tcPr>
          <w:p>
            <w:pPr>
              <w:spacing w:after="0"/>
              <w:rPr>
                <w:sz w:val="20"/>
                <w:szCs w:val="20"/>
                <w:color w:val="auto"/>
              </w:rPr>
            </w:pPr>
            <w:r>
              <w:rPr>
                <w:rFonts w:ascii="Courier New" w:cs="Courier New" w:eastAsia="Courier New" w:hAnsi="Courier New"/>
                <w:sz w:val="16"/>
                <w:szCs w:val="16"/>
                <w:color w:val="auto"/>
              </w:rPr>
              <w:t>Property and equipment, net</w:t>
            </w:r>
          </w:p>
        </w:tc>
        <w:tc>
          <w:tcPr>
            <w:tcW w:w="280" w:type="dxa"/>
            <w:vAlign w:val="bottom"/>
          </w:tcPr>
          <w:p>
            <w:pPr>
              <w:spacing w:after="0"/>
              <w:rPr>
                <w:sz w:val="16"/>
                <w:szCs w:val="16"/>
                <w:color w:val="auto"/>
              </w:rPr>
            </w:pPr>
          </w:p>
        </w:tc>
        <w:tc>
          <w:tcPr>
            <w:tcW w:w="11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1,810,251</w:t>
            </w:r>
          </w:p>
        </w:tc>
        <w:tc>
          <w:tcPr>
            <w:tcW w:w="3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172,007</w:t>
            </w:r>
          </w:p>
        </w:tc>
        <w:tc>
          <w:tcPr>
            <w:tcW w:w="2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105,250</w:t>
            </w:r>
          </w:p>
        </w:tc>
        <w:tc>
          <w:tcPr>
            <w:tcW w:w="40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7"/>
              </w:rPr>
              <w:t>(c)</w:t>
            </w:r>
          </w:p>
        </w:tc>
        <w:tc>
          <w:tcPr>
            <w:tcW w:w="3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2,087,508</w:t>
            </w:r>
          </w:p>
        </w:tc>
      </w:tr>
      <w:tr>
        <w:trPr>
          <w:trHeight w:val="190"/>
        </w:trPr>
        <w:tc>
          <w:tcPr>
            <w:tcW w:w="5480" w:type="dxa"/>
            <w:vAlign w:val="bottom"/>
          </w:tcPr>
          <w:p>
            <w:pPr>
              <w:spacing w:after="0"/>
              <w:rPr>
                <w:sz w:val="20"/>
                <w:szCs w:val="20"/>
                <w:color w:val="auto"/>
              </w:rPr>
            </w:pPr>
            <w:r>
              <w:rPr>
                <w:rFonts w:ascii="Courier New" w:cs="Courier New" w:eastAsia="Courier New" w:hAnsi="Courier New"/>
                <w:sz w:val="16"/>
                <w:szCs w:val="16"/>
                <w:color w:val="auto"/>
              </w:rPr>
              <w:t>Excess of cost over net assets of acquired</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5480" w:type="dxa"/>
            <w:vAlign w:val="bottom"/>
          </w:tcPr>
          <w:p>
            <w:pPr>
              <w:ind w:left="300"/>
              <w:spacing w:after="0"/>
              <w:rPr>
                <w:sz w:val="20"/>
                <w:szCs w:val="20"/>
                <w:color w:val="auto"/>
              </w:rPr>
            </w:pPr>
            <w:r>
              <w:rPr>
                <w:rFonts w:ascii="Courier New" w:cs="Courier New" w:eastAsia="Courier New" w:hAnsi="Courier New"/>
                <w:sz w:val="16"/>
                <w:szCs w:val="16"/>
                <w:color w:val="auto"/>
              </w:rPr>
              <w:t>business, net</w:t>
            </w:r>
          </w:p>
        </w:tc>
        <w:tc>
          <w:tcPr>
            <w:tcW w:w="280" w:type="dxa"/>
            <w:vAlign w:val="bottom"/>
          </w:tcPr>
          <w:p>
            <w:pPr>
              <w:spacing w:after="0"/>
              <w:rPr>
                <w:sz w:val="16"/>
                <w:szCs w:val="16"/>
                <w:color w:val="auto"/>
              </w:rPr>
            </w:pPr>
          </w:p>
        </w:tc>
        <w:tc>
          <w:tcPr>
            <w:tcW w:w="11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433,913</w:t>
            </w:r>
          </w:p>
        </w:tc>
        <w:tc>
          <w:tcPr>
            <w:tcW w:w="3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116,566</w:t>
            </w:r>
          </w:p>
        </w:tc>
        <w:tc>
          <w:tcPr>
            <w:tcW w:w="2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203,434</w:t>
            </w:r>
          </w:p>
        </w:tc>
        <w:tc>
          <w:tcPr>
            <w:tcW w:w="40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7"/>
              </w:rPr>
              <w:t>(c)</w:t>
            </w:r>
          </w:p>
        </w:tc>
        <w:tc>
          <w:tcPr>
            <w:tcW w:w="3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753,913</w:t>
            </w:r>
          </w:p>
        </w:tc>
      </w:tr>
      <w:tr>
        <w:trPr>
          <w:trHeight w:val="190"/>
        </w:trPr>
        <w:tc>
          <w:tcPr>
            <w:tcW w:w="5480" w:type="dxa"/>
            <w:vAlign w:val="bottom"/>
          </w:tcPr>
          <w:p>
            <w:pPr>
              <w:spacing w:after="0"/>
              <w:rPr>
                <w:sz w:val="20"/>
                <w:szCs w:val="20"/>
                <w:color w:val="auto"/>
              </w:rPr>
            </w:pPr>
            <w:r>
              <w:rPr>
                <w:rFonts w:ascii="Courier New" w:cs="Courier New" w:eastAsia="Courier New" w:hAnsi="Courier New"/>
                <w:sz w:val="16"/>
                <w:szCs w:val="16"/>
                <w:color w:val="auto"/>
              </w:rPr>
              <w:t>Other intangible assets, net</w:t>
            </w:r>
          </w:p>
        </w:tc>
        <w:tc>
          <w:tcPr>
            <w:tcW w:w="280" w:type="dxa"/>
            <w:vAlign w:val="bottom"/>
          </w:tcPr>
          <w:p>
            <w:pPr>
              <w:spacing w:after="0"/>
              <w:rPr>
                <w:sz w:val="16"/>
                <w:szCs w:val="16"/>
                <w:color w:val="auto"/>
              </w:rPr>
            </w:pPr>
          </w:p>
        </w:tc>
        <w:tc>
          <w:tcPr>
            <w:tcW w:w="11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83,486</w:t>
            </w:r>
          </w:p>
        </w:tc>
        <w:tc>
          <w:tcPr>
            <w:tcW w:w="3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5,000</w:t>
            </w:r>
          </w:p>
        </w:tc>
        <w:tc>
          <w:tcPr>
            <w:tcW w:w="40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7"/>
              </w:rPr>
              <w:t>(c)</w:t>
            </w:r>
          </w:p>
        </w:tc>
        <w:tc>
          <w:tcPr>
            <w:tcW w:w="3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88,486</w:t>
            </w:r>
          </w:p>
        </w:tc>
      </w:tr>
      <w:tr>
        <w:trPr>
          <w:trHeight w:val="190"/>
        </w:trPr>
        <w:tc>
          <w:tcPr>
            <w:tcW w:w="548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280" w:type="dxa"/>
            <w:vAlign w:val="bottom"/>
          </w:tcPr>
          <w:p>
            <w:pPr>
              <w:spacing w:after="0"/>
              <w:rPr>
                <w:sz w:val="16"/>
                <w:szCs w:val="16"/>
                <w:color w:val="auto"/>
              </w:rPr>
            </w:pPr>
          </w:p>
        </w:tc>
        <w:tc>
          <w:tcPr>
            <w:tcW w:w="11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113,815</w:t>
            </w:r>
          </w:p>
        </w:tc>
        <w:tc>
          <w:tcPr>
            <w:tcW w:w="3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12,787</w:t>
            </w:r>
          </w:p>
        </w:tc>
        <w:tc>
          <w:tcPr>
            <w:tcW w:w="200" w:type="dxa"/>
            <w:vAlign w:val="bottom"/>
          </w:tcPr>
          <w:p>
            <w:pPr>
              <w:spacing w:after="0"/>
              <w:rPr>
                <w:sz w:val="16"/>
                <w:szCs w:val="16"/>
                <w:color w:val="auto"/>
              </w:rPr>
            </w:pP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(11,399)(c)</w:t>
            </w:r>
          </w:p>
        </w:tc>
        <w:tc>
          <w:tcPr>
            <w:tcW w:w="3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129,203</w:t>
            </w:r>
          </w:p>
        </w:tc>
      </w:tr>
      <w:tr>
        <w:trPr>
          <w:trHeight w:val="190"/>
        </w:trPr>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14,000</w:t>
            </w:r>
          </w:p>
        </w:tc>
        <w:tc>
          <w:tcPr>
            <w:tcW w:w="40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7"/>
              </w:rPr>
              <w:t>(d)</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5480" w:type="dxa"/>
            <w:vAlign w:val="bottom"/>
          </w:tcPr>
          <w:p>
            <w:pPr>
              <w:spacing w:after="0"/>
              <w:rPr>
                <w:sz w:val="16"/>
                <w:szCs w:val="16"/>
                <w:color w:val="auto"/>
              </w:rPr>
            </w:pPr>
          </w:p>
        </w:tc>
        <w:tc>
          <w:tcPr>
            <w:tcW w:w="138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3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480" w:type="dxa"/>
            <w:vAlign w:val="bottom"/>
          </w:tcPr>
          <w:p>
            <w:pPr>
              <w:ind w:left="700"/>
              <w:spacing w:after="0"/>
              <w:rPr>
                <w:sz w:val="20"/>
                <w:szCs w:val="20"/>
                <w:color w:val="auto"/>
              </w:rPr>
            </w:pPr>
            <w:r>
              <w:rPr>
                <w:rFonts w:ascii="Courier New" w:cs="Courier New" w:eastAsia="Courier New" w:hAnsi="Courier New"/>
                <w:sz w:val="16"/>
                <w:szCs w:val="16"/>
                <w:color w:val="auto"/>
              </w:rPr>
              <w:t>Total assets</w:t>
            </w:r>
          </w:p>
        </w:tc>
        <w:tc>
          <w:tcPr>
            <w:tcW w:w="138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$ 2,830,505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401,306</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267,057</w:t>
            </w:r>
          </w:p>
        </w:tc>
        <w:tc>
          <w:tcPr>
            <w:tcW w:w="400" w:type="dxa"/>
            <w:vAlign w:val="bottom"/>
          </w:tcPr>
          <w:p>
            <w:pPr>
              <w:spacing w:after="0"/>
              <w:rPr>
                <w:sz w:val="16"/>
                <w:szCs w:val="16"/>
                <w:color w:val="auto"/>
              </w:rPr>
            </w:pPr>
          </w:p>
        </w:tc>
        <w:tc>
          <w:tcPr>
            <w:tcW w:w="13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$ 3,498,868</w:t>
            </w:r>
          </w:p>
        </w:tc>
      </w:tr>
      <w:tr>
        <w:trPr>
          <w:trHeight w:val="190"/>
        </w:trPr>
        <w:tc>
          <w:tcPr>
            <w:tcW w:w="5480" w:type="dxa"/>
            <w:vAlign w:val="bottom"/>
          </w:tcPr>
          <w:p>
            <w:pPr>
              <w:spacing w:after="0"/>
              <w:rPr>
                <w:sz w:val="16"/>
                <w:szCs w:val="16"/>
                <w:color w:val="auto"/>
              </w:rPr>
            </w:pPr>
          </w:p>
        </w:tc>
        <w:tc>
          <w:tcPr>
            <w:tcW w:w="138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3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569"/>
        </w:trPr>
        <w:tc>
          <w:tcPr>
            <w:tcW w:w="548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0"/>
        </w:trPr>
        <w:tc>
          <w:tcPr>
            <w:tcW w:w="54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5480" w:type="dxa"/>
            <w:vAlign w:val="bottom"/>
          </w:tcPr>
          <w:p>
            <w:pPr>
              <w:ind w:left="300"/>
              <w:spacing w:after="0"/>
              <w:rPr>
                <w:sz w:val="20"/>
                <w:szCs w:val="20"/>
                <w:color w:val="auto"/>
              </w:rPr>
            </w:pPr>
            <w:r>
              <w:rPr>
                <w:rFonts w:ascii="Courier New" w:cs="Courier New" w:eastAsia="Courier New" w:hAnsi="Courier New"/>
                <w:sz w:val="16"/>
                <w:szCs w:val="16"/>
                <w:color w:val="auto"/>
              </w:rPr>
              <w:t>Accounts payable</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94,900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28,425</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3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123,325</w:t>
            </w:r>
          </w:p>
        </w:tc>
      </w:tr>
      <w:tr>
        <w:trPr>
          <w:trHeight w:val="190"/>
        </w:trPr>
        <w:tc>
          <w:tcPr>
            <w:tcW w:w="5480" w:type="dxa"/>
            <w:vAlign w:val="bottom"/>
          </w:tcPr>
          <w:p>
            <w:pPr>
              <w:ind w:left="300"/>
              <w:spacing w:after="0"/>
              <w:rPr>
                <w:sz w:val="20"/>
                <w:szCs w:val="20"/>
                <w:color w:val="auto"/>
              </w:rPr>
            </w:pPr>
            <w:r>
              <w:rPr>
                <w:rFonts w:ascii="Courier New" w:cs="Courier New" w:eastAsia="Courier New" w:hAnsi="Courier New"/>
                <w:sz w:val="16"/>
                <w:szCs w:val="16"/>
                <w:color w:val="auto"/>
              </w:rPr>
              <w:t>Accrued liabilities</w:t>
            </w:r>
          </w:p>
        </w:tc>
        <w:tc>
          <w:tcPr>
            <w:tcW w:w="280" w:type="dxa"/>
            <w:vAlign w:val="bottom"/>
          </w:tcPr>
          <w:p>
            <w:pPr>
              <w:spacing w:after="0"/>
              <w:rPr>
                <w:sz w:val="16"/>
                <w:szCs w:val="16"/>
                <w:color w:val="auto"/>
              </w:rPr>
            </w:pPr>
          </w:p>
        </w:tc>
        <w:tc>
          <w:tcPr>
            <w:tcW w:w="11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172,916</w:t>
            </w:r>
          </w:p>
        </w:tc>
        <w:tc>
          <w:tcPr>
            <w:tcW w:w="3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9,727</w:t>
            </w:r>
          </w:p>
        </w:tc>
        <w:tc>
          <w:tcPr>
            <w:tcW w:w="2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12,058</w:t>
            </w:r>
          </w:p>
        </w:tc>
        <w:tc>
          <w:tcPr>
            <w:tcW w:w="40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7"/>
              </w:rPr>
              <w:t>(c)</w:t>
            </w:r>
          </w:p>
        </w:tc>
        <w:tc>
          <w:tcPr>
            <w:tcW w:w="3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194,701</w:t>
            </w:r>
          </w:p>
        </w:tc>
      </w:tr>
      <w:tr>
        <w:trPr>
          <w:trHeight w:val="190"/>
        </w:trPr>
        <w:tc>
          <w:tcPr>
            <w:tcW w:w="5480" w:type="dxa"/>
            <w:vAlign w:val="bottom"/>
          </w:tcPr>
          <w:p>
            <w:pPr>
              <w:ind w:left="300"/>
              <w:spacing w:after="0"/>
              <w:rPr>
                <w:sz w:val="20"/>
                <w:szCs w:val="20"/>
                <w:color w:val="auto"/>
              </w:rPr>
            </w:pPr>
            <w:r>
              <w:rPr>
                <w:rFonts w:ascii="Courier New" w:cs="Courier New" w:eastAsia="Courier New" w:hAnsi="Courier New"/>
                <w:sz w:val="16"/>
                <w:szCs w:val="16"/>
                <w:color w:val="auto"/>
              </w:rPr>
              <w:t>Deferred revenues</w:t>
            </w:r>
          </w:p>
        </w:tc>
        <w:tc>
          <w:tcPr>
            <w:tcW w:w="280" w:type="dxa"/>
            <w:vAlign w:val="bottom"/>
          </w:tcPr>
          <w:p>
            <w:pPr>
              <w:spacing w:after="0"/>
              <w:rPr>
                <w:sz w:val="16"/>
                <w:szCs w:val="16"/>
                <w:color w:val="auto"/>
              </w:rPr>
            </w:pPr>
          </w:p>
        </w:tc>
        <w:tc>
          <w:tcPr>
            <w:tcW w:w="11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23,450</w:t>
            </w:r>
          </w:p>
        </w:tc>
        <w:tc>
          <w:tcPr>
            <w:tcW w:w="3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23,450</w:t>
            </w:r>
          </w:p>
        </w:tc>
      </w:tr>
      <w:tr>
        <w:trPr>
          <w:trHeight w:val="190"/>
        </w:trPr>
        <w:tc>
          <w:tcPr>
            <w:tcW w:w="5480" w:type="dxa"/>
            <w:vAlign w:val="bottom"/>
          </w:tcPr>
          <w:p>
            <w:pPr>
              <w:ind w:left="300"/>
              <w:spacing w:after="0"/>
              <w:rPr>
                <w:sz w:val="20"/>
                <w:szCs w:val="20"/>
                <w:color w:val="auto"/>
              </w:rPr>
            </w:pPr>
            <w:r>
              <w:rPr>
                <w:rFonts w:ascii="Courier New" w:cs="Courier New" w:eastAsia="Courier New" w:hAnsi="Courier New"/>
                <w:sz w:val="16"/>
                <w:szCs w:val="16"/>
                <w:color w:val="auto"/>
              </w:rPr>
              <w:t>Current maturities of long-term debt</w:t>
            </w:r>
          </w:p>
        </w:tc>
        <w:tc>
          <w:tcPr>
            <w:tcW w:w="280" w:type="dxa"/>
            <w:vAlign w:val="bottom"/>
          </w:tcPr>
          <w:p>
            <w:pPr>
              <w:spacing w:after="0"/>
              <w:rPr>
                <w:sz w:val="16"/>
                <w:szCs w:val="16"/>
                <w:color w:val="auto"/>
              </w:rPr>
            </w:pPr>
          </w:p>
        </w:tc>
        <w:tc>
          <w:tcPr>
            <w:tcW w:w="11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28,695</w:t>
            </w:r>
          </w:p>
        </w:tc>
        <w:tc>
          <w:tcPr>
            <w:tcW w:w="3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77</w:t>
            </w:r>
          </w:p>
        </w:tc>
        <w:tc>
          <w:tcPr>
            <w:tcW w:w="200" w:type="dxa"/>
            <w:vAlign w:val="bottom"/>
          </w:tcPr>
          <w:p>
            <w:pPr>
              <w:spacing w:after="0"/>
              <w:rPr>
                <w:sz w:val="16"/>
                <w:szCs w:val="16"/>
                <w:color w:val="auto"/>
              </w:rPr>
            </w:pP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(77)(c)</w:t>
            </w:r>
          </w:p>
        </w:tc>
        <w:tc>
          <w:tcPr>
            <w:tcW w:w="3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28,695</w:t>
            </w:r>
          </w:p>
        </w:tc>
      </w:tr>
      <w:tr>
        <w:trPr>
          <w:trHeight w:val="190"/>
        </w:trPr>
        <w:tc>
          <w:tcPr>
            <w:tcW w:w="5480" w:type="dxa"/>
            <w:vAlign w:val="bottom"/>
          </w:tcPr>
          <w:p>
            <w:pPr>
              <w:spacing w:after="0"/>
              <w:rPr>
                <w:sz w:val="16"/>
                <w:szCs w:val="16"/>
                <w:color w:val="auto"/>
              </w:rPr>
            </w:pPr>
          </w:p>
        </w:tc>
        <w:tc>
          <w:tcPr>
            <w:tcW w:w="138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3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480" w:type="dxa"/>
            <w:vAlign w:val="bottom"/>
          </w:tcPr>
          <w:p>
            <w:pPr>
              <w:ind w:left="700"/>
              <w:spacing w:after="0"/>
              <w:rPr>
                <w:sz w:val="20"/>
                <w:szCs w:val="20"/>
                <w:color w:val="auto"/>
              </w:rPr>
            </w:pPr>
            <w:r>
              <w:rPr>
                <w:rFonts w:ascii="Courier New" w:cs="Courier New" w:eastAsia="Courier New" w:hAnsi="Courier New"/>
                <w:sz w:val="16"/>
                <w:szCs w:val="16"/>
                <w:color w:val="auto"/>
              </w:rPr>
              <w:t>Total current liabilities</w:t>
            </w:r>
          </w:p>
        </w:tc>
        <w:tc>
          <w:tcPr>
            <w:tcW w:w="280" w:type="dxa"/>
            <w:vAlign w:val="bottom"/>
          </w:tcPr>
          <w:p>
            <w:pPr>
              <w:spacing w:after="0"/>
              <w:rPr>
                <w:sz w:val="16"/>
                <w:szCs w:val="16"/>
                <w:color w:val="auto"/>
              </w:rPr>
            </w:pPr>
          </w:p>
        </w:tc>
        <w:tc>
          <w:tcPr>
            <w:tcW w:w="11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319,961</w:t>
            </w:r>
          </w:p>
        </w:tc>
        <w:tc>
          <w:tcPr>
            <w:tcW w:w="3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38,229</w:t>
            </w:r>
          </w:p>
        </w:tc>
        <w:tc>
          <w:tcPr>
            <w:tcW w:w="2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11,981</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370,171</w:t>
            </w:r>
          </w:p>
        </w:tc>
      </w:tr>
      <w:tr>
        <w:trPr>
          <w:trHeight w:val="190"/>
        </w:trPr>
        <w:tc>
          <w:tcPr>
            <w:tcW w:w="548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280" w:type="dxa"/>
            <w:vAlign w:val="bottom"/>
          </w:tcPr>
          <w:p>
            <w:pPr>
              <w:spacing w:after="0"/>
              <w:rPr>
                <w:sz w:val="16"/>
                <w:szCs w:val="16"/>
                <w:color w:val="auto"/>
              </w:rPr>
            </w:pPr>
          </w:p>
        </w:tc>
        <w:tc>
          <w:tcPr>
            <w:tcW w:w="11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1,158,305</w:t>
            </w:r>
          </w:p>
        </w:tc>
        <w:tc>
          <w:tcPr>
            <w:tcW w:w="3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142</w:t>
            </w:r>
          </w:p>
        </w:tc>
        <w:tc>
          <w:tcPr>
            <w:tcW w:w="2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330,128</w:t>
            </w:r>
          </w:p>
        </w:tc>
        <w:tc>
          <w:tcPr>
            <w:tcW w:w="40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7"/>
              </w:rPr>
              <w:t>(a)</w:t>
            </w:r>
          </w:p>
        </w:tc>
        <w:tc>
          <w:tcPr>
            <w:tcW w:w="3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1,303,375</w:t>
            </w:r>
          </w:p>
        </w:tc>
      </w:tr>
      <w:tr>
        <w:trPr>
          <w:trHeight w:val="190"/>
        </w:trPr>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(185,200)(b)</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548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280" w:type="dxa"/>
            <w:vAlign w:val="bottom"/>
          </w:tcPr>
          <w:p>
            <w:pPr>
              <w:spacing w:after="0"/>
              <w:rPr>
                <w:sz w:val="16"/>
                <w:szCs w:val="16"/>
                <w:color w:val="auto"/>
              </w:rPr>
            </w:pPr>
          </w:p>
        </w:tc>
        <w:tc>
          <w:tcPr>
            <w:tcW w:w="11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8,786</w:t>
            </w:r>
          </w:p>
        </w:tc>
        <w:tc>
          <w:tcPr>
            <w:tcW w:w="3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21,235</w:t>
            </w:r>
          </w:p>
        </w:tc>
        <w:tc>
          <w:tcPr>
            <w:tcW w:w="2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43,765</w:t>
            </w:r>
          </w:p>
        </w:tc>
        <w:tc>
          <w:tcPr>
            <w:tcW w:w="40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7"/>
              </w:rPr>
              <w:t>(c)</w:t>
            </w:r>
          </w:p>
        </w:tc>
        <w:tc>
          <w:tcPr>
            <w:tcW w:w="3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73,786</w:t>
            </w:r>
          </w:p>
        </w:tc>
      </w:tr>
      <w:tr>
        <w:trPr>
          <w:trHeight w:val="190"/>
        </w:trPr>
        <w:tc>
          <w:tcPr>
            <w:tcW w:w="5480" w:type="dxa"/>
            <w:vAlign w:val="bottom"/>
          </w:tcPr>
          <w:p>
            <w:pPr>
              <w:spacing w:after="0"/>
              <w:rPr>
                <w:sz w:val="20"/>
                <w:szCs w:val="20"/>
                <w:color w:val="auto"/>
              </w:rPr>
            </w:pPr>
            <w:r>
              <w:rPr>
                <w:rFonts w:ascii="Courier New" w:cs="Courier New" w:eastAsia="Courier New" w:hAnsi="Courier New"/>
                <w:sz w:val="16"/>
                <w:szCs w:val="16"/>
                <w:color w:val="auto"/>
              </w:rPr>
              <w:t>Closure, post-closure and other liabilities</w:t>
            </w:r>
          </w:p>
        </w:tc>
        <w:tc>
          <w:tcPr>
            <w:tcW w:w="280" w:type="dxa"/>
            <w:vAlign w:val="bottom"/>
          </w:tcPr>
          <w:p>
            <w:pPr>
              <w:spacing w:after="0"/>
              <w:rPr>
                <w:sz w:val="16"/>
                <w:szCs w:val="16"/>
                <w:color w:val="auto"/>
              </w:rPr>
            </w:pPr>
          </w:p>
        </w:tc>
        <w:tc>
          <w:tcPr>
            <w:tcW w:w="11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188,177</w:t>
            </w:r>
          </w:p>
        </w:tc>
        <w:tc>
          <w:tcPr>
            <w:tcW w:w="3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8,497</w:t>
            </w:r>
          </w:p>
        </w:tc>
        <w:tc>
          <w:tcPr>
            <w:tcW w:w="2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12,148</w:t>
            </w:r>
          </w:p>
        </w:tc>
        <w:tc>
          <w:tcPr>
            <w:tcW w:w="40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7"/>
              </w:rPr>
              <w:t>(c)</w:t>
            </w:r>
          </w:p>
        </w:tc>
        <w:tc>
          <w:tcPr>
            <w:tcW w:w="3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208,822</w:t>
            </w:r>
          </w:p>
        </w:tc>
      </w:tr>
      <w:tr>
        <w:trPr>
          <w:trHeight w:val="190"/>
        </w:trPr>
        <w:tc>
          <w:tcPr>
            <w:tcW w:w="5480" w:type="dxa"/>
            <w:vAlign w:val="bottom"/>
          </w:tcPr>
          <w:p>
            <w:pPr>
              <w:spacing w:after="0"/>
              <w:rPr>
                <w:sz w:val="16"/>
                <w:szCs w:val="16"/>
                <w:color w:val="auto"/>
              </w:rPr>
            </w:pPr>
          </w:p>
        </w:tc>
        <w:tc>
          <w:tcPr>
            <w:tcW w:w="138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3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1,675,229</w:t>
            </w:r>
          </w:p>
        </w:tc>
        <w:tc>
          <w:tcPr>
            <w:tcW w:w="3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68,103</w:t>
            </w:r>
          </w:p>
        </w:tc>
        <w:tc>
          <w:tcPr>
            <w:tcW w:w="2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212,822</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1,956,154</w:t>
            </w:r>
          </w:p>
        </w:tc>
      </w:tr>
      <w:tr>
        <w:trPr>
          <w:trHeight w:val="190"/>
        </w:trPr>
        <w:tc>
          <w:tcPr>
            <w:tcW w:w="5480" w:type="dxa"/>
            <w:vAlign w:val="bottom"/>
          </w:tcPr>
          <w:p>
            <w:pPr>
              <w:spacing w:after="0"/>
              <w:rPr>
                <w:sz w:val="16"/>
                <w:szCs w:val="16"/>
                <w:color w:val="auto"/>
              </w:rPr>
            </w:pPr>
          </w:p>
        </w:tc>
        <w:tc>
          <w:tcPr>
            <w:tcW w:w="138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3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48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280" w:type="dxa"/>
            <w:vAlign w:val="bottom"/>
          </w:tcPr>
          <w:p>
            <w:pPr>
              <w:spacing w:after="0"/>
              <w:rPr>
                <w:sz w:val="16"/>
                <w:szCs w:val="16"/>
                <w:color w:val="auto"/>
              </w:rPr>
            </w:pPr>
          </w:p>
        </w:tc>
        <w:tc>
          <w:tcPr>
            <w:tcW w:w="11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54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0"/>
        </w:trPr>
        <w:tc>
          <w:tcPr>
            <w:tcW w:w="5480" w:type="dxa"/>
            <w:vAlign w:val="bottom"/>
          </w:tcPr>
          <w:p>
            <w:pPr>
              <w:ind w:left="300"/>
              <w:spacing w:after="0"/>
              <w:rPr>
                <w:sz w:val="20"/>
                <w:szCs w:val="20"/>
                <w:color w:val="auto"/>
              </w:rPr>
            </w:pPr>
            <w:r>
              <w:rPr>
                <w:rFonts w:ascii="Courier New" w:cs="Courier New" w:eastAsia="Courier New" w:hAnsi="Courier New"/>
                <w:sz w:val="16"/>
                <w:szCs w:val="16"/>
                <w:color w:val="auto"/>
              </w:rPr>
              <w:t>Preferred stock, $1.00 par value; 10,000,000 shares</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5480" w:type="dxa"/>
            <w:vAlign w:val="bottom"/>
          </w:tcPr>
          <w:p>
            <w:pPr>
              <w:ind w:left="500"/>
              <w:spacing w:after="0"/>
              <w:rPr>
                <w:sz w:val="20"/>
                <w:szCs w:val="20"/>
                <w:color w:val="auto"/>
              </w:rPr>
            </w:pPr>
            <w:r>
              <w:rPr>
                <w:rFonts w:ascii="Courier New" w:cs="Courier New" w:eastAsia="Courier New" w:hAnsi="Courier New"/>
                <w:sz w:val="16"/>
                <w:szCs w:val="16"/>
                <w:color w:val="auto"/>
              </w:rPr>
              <w:t>authorized; none issued</w:t>
            </w:r>
          </w:p>
        </w:tc>
        <w:tc>
          <w:tcPr>
            <w:tcW w:w="280" w:type="dxa"/>
            <w:vAlign w:val="bottom"/>
          </w:tcPr>
          <w:p>
            <w:pPr>
              <w:spacing w:after="0"/>
              <w:rPr>
                <w:sz w:val="16"/>
                <w:szCs w:val="16"/>
                <w:color w:val="auto"/>
              </w:rPr>
            </w:pPr>
          </w:p>
        </w:tc>
        <w:tc>
          <w:tcPr>
            <w:tcW w:w="11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480" w:type="dxa"/>
            <w:vAlign w:val="bottom"/>
          </w:tcPr>
          <w:p>
            <w:pPr>
              <w:ind w:left="300"/>
              <w:spacing w:after="0"/>
              <w:rPr>
                <w:sz w:val="20"/>
                <w:szCs w:val="20"/>
                <w:color w:val="auto"/>
              </w:rPr>
            </w:pPr>
            <w:r>
              <w:rPr>
                <w:rFonts w:ascii="Courier New" w:cs="Courier New" w:eastAsia="Courier New" w:hAnsi="Courier New"/>
                <w:sz w:val="16"/>
                <w:szCs w:val="16"/>
                <w:color w:val="auto"/>
              </w:rPr>
              <w:t>Common stock, $.01 par value; 300,000,000 shares</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5480" w:type="dxa"/>
            <w:vAlign w:val="bottom"/>
          </w:tcPr>
          <w:p>
            <w:pPr>
              <w:ind w:left="500"/>
              <w:spacing w:after="0"/>
              <w:rPr>
                <w:sz w:val="20"/>
                <w:szCs w:val="20"/>
                <w:color w:val="auto"/>
              </w:rPr>
            </w:pPr>
            <w:r>
              <w:rPr>
                <w:rFonts w:ascii="Courier New" w:cs="Courier New" w:eastAsia="Courier New" w:hAnsi="Courier New"/>
                <w:sz w:val="16"/>
                <w:szCs w:val="16"/>
                <w:color w:val="auto"/>
              </w:rPr>
              <w:t>authorized; 139,609,250 historical shares issued</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5480" w:type="dxa"/>
            <w:vAlign w:val="bottom"/>
          </w:tcPr>
          <w:p>
            <w:pPr>
              <w:ind w:left="500"/>
              <w:spacing w:after="0"/>
              <w:rPr>
                <w:sz w:val="20"/>
                <w:szCs w:val="20"/>
                <w:color w:val="auto"/>
              </w:rPr>
            </w:pPr>
            <w:r>
              <w:rPr>
                <w:rFonts w:ascii="Courier New" w:cs="Courier New" w:eastAsia="Courier New" w:hAnsi="Courier New"/>
                <w:sz w:val="16"/>
                <w:szCs w:val="16"/>
                <w:color w:val="auto"/>
              </w:rPr>
              <w:t>and outstanding (151,109,250 pro forma shares</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5480" w:type="dxa"/>
            <w:vAlign w:val="bottom"/>
          </w:tcPr>
          <w:p>
            <w:pPr>
              <w:ind w:left="500"/>
              <w:spacing w:after="0"/>
              <w:rPr>
                <w:sz w:val="20"/>
                <w:szCs w:val="20"/>
                <w:color w:val="auto"/>
              </w:rPr>
            </w:pPr>
            <w:r>
              <w:rPr>
                <w:rFonts w:ascii="Courier New" w:cs="Courier New" w:eastAsia="Courier New" w:hAnsi="Courier New"/>
                <w:sz w:val="16"/>
                <w:szCs w:val="16"/>
                <w:color w:val="auto"/>
              </w:rPr>
              <w:t>issued and outstanding)</w:t>
            </w:r>
          </w:p>
        </w:tc>
        <w:tc>
          <w:tcPr>
            <w:tcW w:w="280" w:type="dxa"/>
            <w:vAlign w:val="bottom"/>
          </w:tcPr>
          <w:p>
            <w:pPr>
              <w:spacing w:after="0"/>
              <w:rPr>
                <w:sz w:val="16"/>
                <w:szCs w:val="16"/>
                <w:color w:val="auto"/>
              </w:rPr>
            </w:pPr>
          </w:p>
        </w:tc>
        <w:tc>
          <w:tcPr>
            <w:tcW w:w="11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1,396</w:t>
            </w:r>
          </w:p>
        </w:tc>
        <w:tc>
          <w:tcPr>
            <w:tcW w:w="3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115</w:t>
            </w:r>
          </w:p>
        </w:tc>
        <w:tc>
          <w:tcPr>
            <w:tcW w:w="40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7"/>
              </w:rPr>
              <w:t>(b)</w:t>
            </w:r>
          </w:p>
        </w:tc>
        <w:tc>
          <w:tcPr>
            <w:tcW w:w="3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1,511</w:t>
            </w:r>
          </w:p>
        </w:tc>
      </w:tr>
      <w:tr>
        <w:trPr>
          <w:trHeight w:val="190"/>
        </w:trPr>
        <w:tc>
          <w:tcPr>
            <w:tcW w:w="5480" w:type="dxa"/>
            <w:vAlign w:val="bottom"/>
          </w:tcPr>
          <w:p>
            <w:pPr>
              <w:ind w:left="300"/>
              <w:spacing w:after="0"/>
              <w:rPr>
                <w:sz w:val="20"/>
                <w:szCs w:val="20"/>
                <w:color w:val="auto"/>
              </w:rPr>
            </w:pPr>
            <w:r>
              <w:rPr>
                <w:rFonts w:ascii="Courier New" w:cs="Courier New" w:eastAsia="Courier New" w:hAnsi="Courier New"/>
                <w:sz w:val="16"/>
                <w:szCs w:val="16"/>
                <w:color w:val="auto"/>
              </w:rPr>
              <w:t>Additional paid-in capital</w:t>
            </w:r>
          </w:p>
        </w:tc>
        <w:tc>
          <w:tcPr>
            <w:tcW w:w="280" w:type="dxa"/>
            <w:vAlign w:val="bottom"/>
          </w:tcPr>
          <w:p>
            <w:pPr>
              <w:spacing w:after="0"/>
              <w:rPr>
                <w:sz w:val="16"/>
                <w:szCs w:val="16"/>
                <w:color w:val="auto"/>
              </w:rPr>
            </w:pPr>
          </w:p>
        </w:tc>
        <w:tc>
          <w:tcPr>
            <w:tcW w:w="11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1,255,856</w:t>
            </w:r>
          </w:p>
        </w:tc>
        <w:tc>
          <w:tcPr>
            <w:tcW w:w="3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333,203</w:t>
            </w:r>
          </w:p>
        </w:tc>
        <w:tc>
          <w:tcPr>
            <w:tcW w:w="200" w:type="dxa"/>
            <w:vAlign w:val="bottom"/>
          </w:tcPr>
          <w:p>
            <w:pPr>
              <w:spacing w:after="0"/>
              <w:rPr>
                <w:sz w:val="16"/>
                <w:szCs w:val="16"/>
                <w:color w:val="auto"/>
              </w:rPr>
            </w:pP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(333,203)(e)</w:t>
            </w:r>
          </w:p>
        </w:tc>
        <w:tc>
          <w:tcPr>
            <w:tcW w:w="3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1,643,179</w:t>
            </w:r>
          </w:p>
        </w:tc>
      </w:tr>
      <w:tr>
        <w:trPr>
          <w:trHeight w:val="190"/>
        </w:trPr>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387,323</w:t>
            </w:r>
          </w:p>
        </w:tc>
        <w:tc>
          <w:tcPr>
            <w:tcW w:w="40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7"/>
              </w:rPr>
              <w:t>(b)</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5480" w:type="dxa"/>
            <w:vAlign w:val="bottom"/>
          </w:tcPr>
          <w:p>
            <w:pPr>
              <w:ind w:left="300"/>
              <w:spacing w:after="0"/>
              <w:rPr>
                <w:sz w:val="20"/>
                <w:szCs w:val="20"/>
                <w:color w:val="auto"/>
              </w:rPr>
            </w:pPr>
            <w:r>
              <w:rPr>
                <w:rFonts w:ascii="Courier New" w:cs="Courier New" w:eastAsia="Courier New" w:hAnsi="Courier New"/>
                <w:sz w:val="16"/>
                <w:szCs w:val="16"/>
                <w:color w:val="auto"/>
              </w:rPr>
              <w:t>Retained earnings (accumulated deficit)</w:t>
            </w: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(85,649)</w:t>
            </w:r>
          </w:p>
        </w:tc>
        <w:tc>
          <w:tcPr>
            <w:tcW w:w="3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(85,649)</w:t>
            </w:r>
          </w:p>
        </w:tc>
      </w:tr>
      <w:tr>
        <w:trPr>
          <w:trHeight w:val="190"/>
        </w:trPr>
        <w:tc>
          <w:tcPr>
            <w:tcW w:w="5480" w:type="dxa"/>
            <w:vAlign w:val="bottom"/>
          </w:tcPr>
          <w:p>
            <w:pPr>
              <w:ind w:left="300"/>
              <w:spacing w:after="0"/>
              <w:rPr>
                <w:sz w:val="20"/>
                <w:szCs w:val="20"/>
                <w:color w:val="auto"/>
              </w:rPr>
            </w:pPr>
            <w:r>
              <w:rPr>
                <w:rFonts w:ascii="Courier New" w:cs="Courier New" w:eastAsia="Courier New" w:hAnsi="Courier New"/>
                <w:sz w:val="16"/>
                <w:szCs w:val="16"/>
                <w:color w:val="auto"/>
              </w:rPr>
              <w:t>Foreign currency translation adjustment</w:t>
            </w: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(15,843)</w:t>
            </w:r>
          </w:p>
        </w:tc>
        <w:tc>
          <w:tcPr>
            <w:tcW w:w="3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(15,843)</w:t>
            </w:r>
          </w:p>
        </w:tc>
      </w:tr>
      <w:tr>
        <w:trPr>
          <w:trHeight w:val="190"/>
        </w:trPr>
        <w:tc>
          <w:tcPr>
            <w:tcW w:w="5480" w:type="dxa"/>
            <w:vAlign w:val="bottom"/>
          </w:tcPr>
          <w:p>
            <w:pPr>
              <w:ind w:left="300"/>
              <w:spacing w:after="0"/>
              <w:rPr>
                <w:sz w:val="20"/>
                <w:szCs w:val="20"/>
                <w:color w:val="auto"/>
              </w:rPr>
            </w:pPr>
            <w:r>
              <w:rPr>
                <w:rFonts w:ascii="Courier New" w:cs="Courier New" w:eastAsia="Courier New" w:hAnsi="Courier New"/>
                <w:sz w:val="16"/>
                <w:szCs w:val="16"/>
                <w:color w:val="auto"/>
              </w:rPr>
              <w:t>Less treasury stock at cost, 23,485 shares</w:t>
            </w: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(484)</w:t>
            </w:r>
          </w:p>
        </w:tc>
        <w:tc>
          <w:tcPr>
            <w:tcW w:w="3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(484)</w:t>
            </w:r>
          </w:p>
        </w:tc>
      </w:tr>
      <w:tr>
        <w:trPr>
          <w:trHeight w:val="190"/>
        </w:trPr>
        <w:tc>
          <w:tcPr>
            <w:tcW w:w="5480" w:type="dxa"/>
            <w:vAlign w:val="bottom"/>
          </w:tcPr>
          <w:p>
            <w:pPr>
              <w:spacing w:after="0"/>
              <w:rPr>
                <w:sz w:val="16"/>
                <w:szCs w:val="16"/>
                <w:color w:val="auto"/>
              </w:rPr>
            </w:pPr>
          </w:p>
        </w:tc>
        <w:tc>
          <w:tcPr>
            <w:tcW w:w="138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3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480" w:type="dxa"/>
            <w:vAlign w:val="bottom"/>
          </w:tcPr>
          <w:p>
            <w:pPr>
              <w:ind w:left="700"/>
              <w:spacing w:after="0"/>
              <w:rPr>
                <w:sz w:val="20"/>
                <w:szCs w:val="20"/>
                <w:color w:val="auto"/>
              </w:rPr>
            </w:pPr>
            <w:r>
              <w:rPr>
                <w:rFonts w:ascii="Courier New" w:cs="Courier New" w:eastAsia="Courier New" w:hAnsi="Courier New"/>
                <w:sz w:val="16"/>
                <w:szCs w:val="16"/>
                <w:color w:val="auto"/>
              </w:rPr>
              <w:t>Total stockholders' equity</w:t>
            </w:r>
          </w:p>
        </w:tc>
        <w:tc>
          <w:tcPr>
            <w:tcW w:w="280" w:type="dxa"/>
            <w:vAlign w:val="bottom"/>
          </w:tcPr>
          <w:p>
            <w:pPr>
              <w:spacing w:after="0"/>
              <w:rPr>
                <w:sz w:val="16"/>
                <w:szCs w:val="16"/>
                <w:color w:val="auto"/>
              </w:rPr>
            </w:pPr>
          </w:p>
        </w:tc>
        <w:tc>
          <w:tcPr>
            <w:tcW w:w="11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1,155,276</w:t>
            </w:r>
          </w:p>
        </w:tc>
        <w:tc>
          <w:tcPr>
            <w:tcW w:w="3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333,203</w:t>
            </w:r>
          </w:p>
        </w:tc>
        <w:tc>
          <w:tcPr>
            <w:tcW w:w="2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54,235</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1,542,714</w:t>
            </w:r>
          </w:p>
        </w:tc>
      </w:tr>
      <w:tr>
        <w:trPr>
          <w:trHeight w:val="190"/>
        </w:trPr>
        <w:tc>
          <w:tcPr>
            <w:tcW w:w="5480" w:type="dxa"/>
            <w:vAlign w:val="bottom"/>
          </w:tcPr>
          <w:p>
            <w:pPr>
              <w:spacing w:after="0"/>
              <w:rPr>
                <w:sz w:val="16"/>
                <w:szCs w:val="16"/>
                <w:color w:val="auto"/>
              </w:rPr>
            </w:pPr>
          </w:p>
        </w:tc>
        <w:tc>
          <w:tcPr>
            <w:tcW w:w="138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3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480" w:type="dxa"/>
            <w:vAlign w:val="bottom"/>
          </w:tcPr>
          <w:p>
            <w:pPr>
              <w:ind w:left="700"/>
              <w:spacing w:after="0"/>
              <w:rPr>
                <w:sz w:val="20"/>
                <w:szCs w:val="20"/>
                <w:color w:val="auto"/>
              </w:rPr>
            </w:pPr>
            <w:r>
              <w:rPr>
                <w:rFonts w:ascii="Courier New" w:cs="Courier New" w:eastAsia="Courier New" w:hAnsi="Courier New"/>
                <w:sz w:val="16"/>
                <w:szCs w:val="16"/>
                <w:color w:val="auto"/>
              </w:rPr>
              <w:t>Total liabilities and stockholders' equity</w:t>
            </w:r>
          </w:p>
        </w:tc>
        <w:tc>
          <w:tcPr>
            <w:tcW w:w="138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$ 2,830,505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401,306</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267,057</w:t>
            </w:r>
          </w:p>
        </w:tc>
        <w:tc>
          <w:tcPr>
            <w:tcW w:w="400" w:type="dxa"/>
            <w:vAlign w:val="bottom"/>
          </w:tcPr>
          <w:p>
            <w:pPr>
              <w:spacing w:after="0"/>
              <w:rPr>
                <w:sz w:val="16"/>
                <w:szCs w:val="16"/>
                <w:color w:val="auto"/>
              </w:rPr>
            </w:pPr>
          </w:p>
        </w:tc>
        <w:tc>
          <w:tcPr>
            <w:tcW w:w="13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$ 3,498,868</w:t>
            </w:r>
          </w:p>
        </w:tc>
      </w:tr>
      <w:tr>
        <w:trPr>
          <w:trHeight w:val="190"/>
        </w:trPr>
        <w:tc>
          <w:tcPr>
            <w:tcW w:w="5480" w:type="dxa"/>
            <w:vAlign w:val="bottom"/>
          </w:tcPr>
          <w:p>
            <w:pPr>
              <w:spacing w:after="0"/>
              <w:rPr>
                <w:sz w:val="16"/>
                <w:szCs w:val="16"/>
                <w:color w:val="auto"/>
              </w:rPr>
            </w:pPr>
          </w:p>
        </w:tc>
        <w:tc>
          <w:tcPr>
            <w:tcW w:w="138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3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700" w:right="3840" w:hanging="689"/>
        <w:spacing w:after="0" w:line="255" w:lineRule="auto"/>
        <w:rPr>
          <w:sz w:val="20"/>
          <w:szCs w:val="20"/>
          <w:color w:val="auto"/>
        </w:rPr>
      </w:pPr>
      <w:r>
        <w:rPr>
          <w:rFonts w:ascii="Courier New" w:cs="Courier New" w:eastAsia="Courier New" w:hAnsi="Courier New"/>
          <w:sz w:val="16"/>
          <w:szCs w:val="16"/>
          <w:color w:val="auto"/>
        </w:rPr>
        <w:t>Note 1 Reflects the historical combined balance sheet for Laidlaw Solid Waste Management Group-Canadian Operations as of November 30, 1996.</w:t>
      </w:r>
    </w:p>
    <w:p>
      <w:pPr>
        <w:sectPr>
          <w:pgSz w:w="11900" w:h="16838" w:orient="portrait"/>
          <w:cols w:equalWidth="0" w:num="1">
            <w:col w:w="11440"/>
          </w:cols>
          <w:pgMar w:left="240" w:top="306" w:right="2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See notes to pro forma condensed consolidated financial statements.</w:t>
      </w:r>
    </w:p>
    <w:p>
      <w:pPr>
        <w:sectPr>
          <w:pgSz w:w="11900" w:h="16838" w:orient="portrait"/>
          <w:cols w:equalWidth="0" w:num="1">
            <w:col w:w="11440"/>
          </w:cols>
          <w:pgMar w:left="240" w:top="306" w:right="219" w:bottom="0" w:gutter="0" w:footer="0" w:header="0"/>
          <w:type w:val="continuous"/>
        </w:sectPr>
      </w:pPr>
    </w:p>
    <w:bookmarkStart w:id="21" w:name="page22"/>
    <w:bookmarkEnd w:id="2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6"/>
          <w:szCs w:val="16"/>
          <w:color w:val="auto"/>
        </w:rPr>
        <w:t>22</w:t>
      </w:r>
    </w:p>
    <w:p>
      <w:pPr>
        <w:spacing w:after="0" w:line="388" w:lineRule="exact"/>
        <w:rPr>
          <w:sz w:val="20"/>
          <w:szCs w:val="20"/>
          <w:color w:val="auto"/>
        </w:rPr>
      </w:pPr>
    </w:p>
    <w:p>
      <w:pPr>
        <w:jc w:val="center"/>
        <w:ind w:right="2380"/>
        <w:spacing w:after="0"/>
        <w:rPr>
          <w:sz w:val="20"/>
          <w:szCs w:val="20"/>
          <w:color w:val="auto"/>
        </w:rPr>
      </w:pPr>
      <w:r>
        <w:rPr>
          <w:rFonts w:ascii="Courier New" w:cs="Courier New" w:eastAsia="Courier New" w:hAnsi="Courier New"/>
          <w:sz w:val="16"/>
          <w:szCs w:val="16"/>
          <w:color w:val="auto"/>
        </w:rPr>
        <w:t>USA WASTE SERVICES, INC.</w:t>
      </w:r>
    </w:p>
    <w:p>
      <w:pPr>
        <w:spacing w:after="0" w:line="8" w:lineRule="exact"/>
        <w:rPr>
          <w:sz w:val="20"/>
          <w:szCs w:val="20"/>
          <w:color w:val="auto"/>
        </w:rPr>
      </w:pPr>
    </w:p>
    <w:p>
      <w:pPr>
        <w:jc w:val="center"/>
        <w:ind w:right="2380"/>
        <w:spacing w:after="0"/>
        <w:rPr>
          <w:sz w:val="20"/>
          <w:szCs w:val="20"/>
          <w:color w:val="auto"/>
        </w:rPr>
      </w:pPr>
      <w:r>
        <w:rPr>
          <w:rFonts w:ascii="Courier New" w:cs="Courier New" w:eastAsia="Courier New" w:hAnsi="Courier New"/>
          <w:sz w:val="16"/>
          <w:szCs w:val="16"/>
          <w:color w:val="auto"/>
        </w:rPr>
        <w:t>PRO FORMA CONDENSED CONSOLIDATED STATEMENT OF OPERATIONS</w:t>
      </w:r>
    </w:p>
    <w:p>
      <w:pPr>
        <w:spacing w:after="0" w:line="8" w:lineRule="exact"/>
        <w:rPr>
          <w:sz w:val="20"/>
          <w:szCs w:val="20"/>
          <w:color w:val="auto"/>
        </w:rPr>
      </w:pPr>
    </w:p>
    <w:p>
      <w:pPr>
        <w:jc w:val="center"/>
        <w:ind w:right="2380"/>
        <w:spacing w:after="0"/>
        <w:rPr>
          <w:sz w:val="20"/>
          <w:szCs w:val="20"/>
          <w:color w:val="auto"/>
        </w:rPr>
      </w:pPr>
      <w:r>
        <w:rPr>
          <w:rFonts w:ascii="Courier New" w:cs="Courier New" w:eastAsia="Courier New" w:hAnsi="Courier New"/>
          <w:sz w:val="16"/>
          <w:szCs w:val="16"/>
          <w:color w:val="auto"/>
        </w:rPr>
        <w:t>(IN THOUSANDS, EXCEPT PER SHARE AMOUNTS)</w:t>
      </w:r>
    </w:p>
    <w:p>
      <w:pPr>
        <w:spacing w:after="0" w:line="8" w:lineRule="exact"/>
        <w:rPr>
          <w:sz w:val="20"/>
          <w:szCs w:val="20"/>
          <w:color w:val="auto"/>
        </w:rPr>
      </w:pPr>
    </w:p>
    <w:p>
      <w:pPr>
        <w:jc w:val="center"/>
        <w:ind w:right="2460"/>
        <w:spacing w:after="0"/>
        <w:rPr>
          <w:sz w:val="20"/>
          <w:szCs w:val="20"/>
          <w:color w:val="auto"/>
        </w:rPr>
      </w:pPr>
      <w:r>
        <w:rPr>
          <w:rFonts w:ascii="Courier New" w:cs="Courier New" w:eastAsia="Courier New" w:hAnsi="Courier New"/>
          <w:sz w:val="16"/>
          <w:szCs w:val="16"/>
          <w:color w:val="auto"/>
        </w:rPr>
        <w:t>(UNAUDITED)</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FOR THE YEAR ENDED DECEMBER 31,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358"/>
              <w:spacing w:after="0"/>
              <w:rPr>
                <w:sz w:val="20"/>
                <w:szCs w:val="20"/>
                <w:color w:val="auto"/>
              </w:rPr>
            </w:pPr>
            <w:r>
              <w:rPr>
                <w:rFonts w:ascii="Courier New" w:cs="Courier New" w:eastAsia="Courier New" w:hAnsi="Courier New"/>
                <w:sz w:val="16"/>
                <w:szCs w:val="16"/>
                <w:color w:val="auto"/>
                <w:w w:val="98"/>
              </w:rPr>
              <w:t>BUSINESS</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0"/>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ACQUIRED AFTER</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0"/>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358"/>
              <w:spacing w:after="0"/>
              <w:rPr>
                <w:sz w:val="20"/>
                <w:szCs w:val="20"/>
                <w:color w:val="auto"/>
              </w:rPr>
            </w:pPr>
            <w:r>
              <w:rPr>
                <w:rFonts w:ascii="Courier New" w:cs="Courier New" w:eastAsia="Courier New" w:hAnsi="Courier New"/>
                <w:sz w:val="16"/>
                <w:szCs w:val="16"/>
                <w:color w:val="auto"/>
                <w:w w:val="98"/>
              </w:rPr>
              <w:t>DECEMBER</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0"/>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358"/>
              <w:spacing w:after="0"/>
              <w:rPr>
                <w:sz w:val="20"/>
                <w:szCs w:val="20"/>
                <w:color w:val="auto"/>
              </w:rPr>
            </w:pPr>
            <w:r>
              <w:rPr>
                <w:rFonts w:ascii="Courier New" w:cs="Courier New" w:eastAsia="Courier New" w:hAnsi="Courier New"/>
                <w:sz w:val="16"/>
                <w:szCs w:val="16"/>
                <w:color w:val="auto"/>
                <w:w w:val="98"/>
              </w:rPr>
              <w:t>31, 1996</w:t>
            </w:r>
          </w:p>
        </w:tc>
        <w:tc>
          <w:tcPr>
            <w:tcW w:w="260" w:type="dxa"/>
            <w:vAlign w:val="bottom"/>
          </w:tcPr>
          <w:p>
            <w:pPr>
              <w:spacing w:after="0"/>
              <w:rPr>
                <w:sz w:val="16"/>
                <w:szCs w:val="16"/>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9"/>
              </w:rPr>
              <w:t>PRO FORMA</w:t>
            </w: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0"/>
        </w:trPr>
        <w:tc>
          <w:tcPr>
            <w:tcW w:w="4480" w:type="dxa"/>
            <w:vAlign w:val="bottom"/>
          </w:tcPr>
          <w:p>
            <w:pPr>
              <w:spacing w:after="0"/>
              <w:rPr>
                <w:sz w:val="16"/>
                <w:szCs w:val="16"/>
                <w:color w:val="auto"/>
              </w:rPr>
            </w:pPr>
          </w:p>
        </w:tc>
        <w:tc>
          <w:tcPr>
            <w:tcW w:w="138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HISTORICAL</w:t>
            </w:r>
          </w:p>
        </w:tc>
        <w:tc>
          <w:tcPr>
            <w:tcW w:w="360" w:type="dxa"/>
            <w:vAlign w:val="bottom"/>
          </w:tcPr>
          <w:p>
            <w:pPr>
              <w:spacing w:after="0"/>
              <w:rPr>
                <w:sz w:val="16"/>
                <w:szCs w:val="16"/>
                <w:color w:val="auto"/>
              </w:rPr>
            </w:pPr>
          </w:p>
        </w:tc>
        <w:tc>
          <w:tcPr>
            <w:tcW w:w="1220" w:type="dxa"/>
            <w:vAlign w:val="bottom"/>
          </w:tcPr>
          <w:p>
            <w:pPr>
              <w:jc w:val="right"/>
              <w:ind w:right="358"/>
              <w:spacing w:after="0"/>
              <w:rPr>
                <w:sz w:val="20"/>
                <w:szCs w:val="20"/>
                <w:color w:val="auto"/>
              </w:rPr>
            </w:pPr>
            <w:r>
              <w:rPr>
                <w:rFonts w:ascii="Courier New" w:cs="Courier New" w:eastAsia="Courier New" w:hAnsi="Courier New"/>
                <w:sz w:val="16"/>
                <w:szCs w:val="16"/>
                <w:color w:val="auto"/>
                <w:w w:val="98"/>
              </w:rPr>
              <w:t>(NOTE 1)</w:t>
            </w:r>
          </w:p>
        </w:tc>
        <w:tc>
          <w:tcPr>
            <w:tcW w:w="134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ADJUSTMENTS</w:t>
            </w:r>
          </w:p>
        </w:tc>
        <w:tc>
          <w:tcPr>
            <w:tcW w:w="14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PRO FORMA</w:t>
            </w:r>
          </w:p>
        </w:tc>
      </w:tr>
      <w:tr>
        <w:trPr>
          <w:trHeight w:val="190"/>
        </w:trPr>
        <w:tc>
          <w:tcPr>
            <w:tcW w:w="4480" w:type="dxa"/>
            <w:vAlign w:val="bottom"/>
          </w:tcPr>
          <w:p>
            <w:pPr>
              <w:spacing w:after="0"/>
              <w:rPr>
                <w:sz w:val="16"/>
                <w:szCs w:val="16"/>
                <w:color w:val="auto"/>
              </w:rPr>
            </w:pPr>
          </w:p>
        </w:tc>
        <w:tc>
          <w:tcPr>
            <w:tcW w:w="13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448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3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$ 1,313,388</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268,698</w:t>
            </w:r>
          </w:p>
        </w:tc>
        <w:tc>
          <w:tcPr>
            <w:tcW w:w="260" w:type="dxa"/>
            <w:vAlign w:val="bottom"/>
          </w:tcPr>
          <w:p>
            <w:pPr>
              <w:ind w:left="16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$1,582,086</w:t>
            </w:r>
          </w:p>
        </w:tc>
      </w:tr>
      <w:tr>
        <w:trPr>
          <w:trHeight w:val="190"/>
        </w:trPr>
        <w:tc>
          <w:tcPr>
            <w:tcW w:w="4480" w:type="dxa"/>
            <w:vAlign w:val="bottom"/>
          </w:tcPr>
          <w:p>
            <w:pPr>
              <w:spacing w:after="0"/>
              <w:rPr>
                <w:sz w:val="16"/>
                <w:szCs w:val="16"/>
                <w:color w:val="auto"/>
              </w:rPr>
            </w:pPr>
          </w:p>
        </w:tc>
        <w:tc>
          <w:tcPr>
            <w:tcW w:w="13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48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0"/>
        </w:trPr>
        <w:tc>
          <w:tcPr>
            <w:tcW w:w="4480" w:type="dxa"/>
            <w:vAlign w:val="bottom"/>
          </w:tcPr>
          <w:p>
            <w:pPr>
              <w:ind w:left="780"/>
              <w:spacing w:after="0"/>
              <w:rPr>
                <w:sz w:val="20"/>
                <w:szCs w:val="20"/>
                <w:color w:val="auto"/>
              </w:rPr>
            </w:pPr>
            <w:r>
              <w:rPr>
                <w:rFonts w:ascii="Courier New" w:cs="Courier New" w:eastAsia="Courier New" w:hAnsi="Courier New"/>
                <w:sz w:val="16"/>
                <w:szCs w:val="16"/>
                <w:color w:val="auto"/>
              </w:rPr>
              <w:t>Operating</w:t>
            </w:r>
          </w:p>
        </w:tc>
        <w:tc>
          <w:tcPr>
            <w:tcW w:w="300" w:type="dxa"/>
            <w:vAlign w:val="bottom"/>
          </w:tcPr>
          <w:p>
            <w:pPr>
              <w:spacing w:after="0"/>
              <w:rPr>
                <w:sz w:val="16"/>
                <w:szCs w:val="16"/>
                <w:color w:val="auto"/>
              </w:rPr>
            </w:pPr>
          </w:p>
        </w:tc>
        <w:tc>
          <w:tcPr>
            <w:tcW w:w="10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704,917</w:t>
            </w:r>
          </w:p>
        </w:tc>
        <w:tc>
          <w:tcPr>
            <w:tcW w:w="360" w:type="dxa"/>
            <w:vAlign w:val="bottom"/>
          </w:tcPr>
          <w:p>
            <w:pPr>
              <w:spacing w:after="0"/>
              <w:rPr>
                <w:sz w:val="16"/>
                <w:szCs w:val="16"/>
                <w:color w:val="auto"/>
              </w:rPr>
            </w:pP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194,225</w:t>
            </w:r>
          </w:p>
        </w:tc>
        <w:tc>
          <w:tcPr>
            <w:tcW w:w="26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899,142</w:t>
            </w:r>
          </w:p>
        </w:tc>
      </w:tr>
      <w:tr>
        <w:trPr>
          <w:trHeight w:val="190"/>
        </w:trPr>
        <w:tc>
          <w:tcPr>
            <w:tcW w:w="4480" w:type="dxa"/>
            <w:vAlign w:val="bottom"/>
          </w:tcPr>
          <w:p>
            <w:pPr>
              <w:ind w:left="780"/>
              <w:spacing w:after="0"/>
              <w:rPr>
                <w:sz w:val="20"/>
                <w:szCs w:val="20"/>
                <w:color w:val="auto"/>
              </w:rPr>
            </w:pPr>
            <w:r>
              <w:rPr>
                <w:rFonts w:ascii="Courier New" w:cs="Courier New" w:eastAsia="Courier New" w:hAnsi="Courier New"/>
                <w:sz w:val="16"/>
                <w:szCs w:val="16"/>
                <w:color w:val="auto"/>
              </w:rPr>
              <w:t>General and administrative</w:t>
            </w:r>
          </w:p>
        </w:tc>
        <w:tc>
          <w:tcPr>
            <w:tcW w:w="300" w:type="dxa"/>
            <w:vAlign w:val="bottom"/>
          </w:tcPr>
          <w:p>
            <w:pPr>
              <w:spacing w:after="0"/>
              <w:rPr>
                <w:sz w:val="16"/>
                <w:szCs w:val="16"/>
                <w:color w:val="auto"/>
              </w:rPr>
            </w:pPr>
          </w:p>
        </w:tc>
        <w:tc>
          <w:tcPr>
            <w:tcW w:w="10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160,539</w:t>
            </w:r>
          </w:p>
        </w:tc>
        <w:tc>
          <w:tcPr>
            <w:tcW w:w="360" w:type="dxa"/>
            <w:vAlign w:val="bottom"/>
          </w:tcPr>
          <w:p>
            <w:pPr>
              <w:spacing w:after="0"/>
              <w:rPr>
                <w:sz w:val="16"/>
                <w:szCs w:val="16"/>
                <w:color w:val="auto"/>
              </w:rPr>
            </w:pP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19,478</w:t>
            </w:r>
          </w:p>
        </w:tc>
        <w:tc>
          <w:tcPr>
            <w:tcW w:w="26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180,017</w:t>
            </w:r>
          </w:p>
        </w:tc>
      </w:tr>
      <w:tr>
        <w:trPr>
          <w:trHeight w:val="190"/>
        </w:trPr>
        <w:tc>
          <w:tcPr>
            <w:tcW w:w="4480" w:type="dxa"/>
            <w:vAlign w:val="bottom"/>
          </w:tcPr>
          <w:p>
            <w:pPr>
              <w:ind w:left="780"/>
              <w:spacing w:after="0"/>
              <w:rPr>
                <w:sz w:val="20"/>
                <w:szCs w:val="20"/>
                <w:color w:val="auto"/>
              </w:rPr>
            </w:pPr>
            <w:r>
              <w:rPr>
                <w:rFonts w:ascii="Courier New" w:cs="Courier New" w:eastAsia="Courier New" w:hAnsi="Courier New"/>
                <w:sz w:val="16"/>
                <w:szCs w:val="16"/>
                <w:color w:val="auto"/>
              </w:rPr>
              <w:t>Depreciation and amortization</w:t>
            </w:r>
          </w:p>
        </w:tc>
        <w:tc>
          <w:tcPr>
            <w:tcW w:w="300" w:type="dxa"/>
            <w:vAlign w:val="bottom"/>
          </w:tcPr>
          <w:p>
            <w:pPr>
              <w:spacing w:after="0"/>
              <w:rPr>
                <w:sz w:val="16"/>
                <w:szCs w:val="16"/>
                <w:color w:val="auto"/>
              </w:rPr>
            </w:pPr>
          </w:p>
        </w:tc>
        <w:tc>
          <w:tcPr>
            <w:tcW w:w="10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153,168</w:t>
            </w:r>
          </w:p>
        </w:tc>
        <w:tc>
          <w:tcPr>
            <w:tcW w:w="360" w:type="dxa"/>
            <w:vAlign w:val="bottom"/>
          </w:tcPr>
          <w:p>
            <w:pPr>
              <w:spacing w:after="0"/>
              <w:rPr>
                <w:sz w:val="16"/>
                <w:szCs w:val="16"/>
                <w:color w:val="auto"/>
              </w:rPr>
            </w:pP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30,334</w:t>
            </w:r>
          </w:p>
        </w:tc>
        <w:tc>
          <w:tcPr>
            <w:tcW w:w="26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6,013</w:t>
            </w:r>
          </w:p>
        </w:tc>
        <w:tc>
          <w:tcPr>
            <w:tcW w:w="480" w:type="dxa"/>
            <w:vAlign w:val="bottom"/>
          </w:tcPr>
          <w:p>
            <w:pPr>
              <w:jc w:val="right"/>
              <w:ind w:right="98"/>
              <w:spacing w:after="0"/>
              <w:rPr>
                <w:sz w:val="20"/>
                <w:szCs w:val="20"/>
                <w:color w:val="auto"/>
              </w:rPr>
            </w:pPr>
            <w:r>
              <w:rPr>
                <w:rFonts w:ascii="Courier New" w:cs="Courier New" w:eastAsia="Courier New" w:hAnsi="Courier New"/>
                <w:sz w:val="16"/>
                <w:szCs w:val="16"/>
                <w:color w:val="auto"/>
                <w:w w:val="97"/>
              </w:rPr>
              <w:t>(f)</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195,601</w:t>
            </w:r>
          </w:p>
        </w:tc>
      </w:tr>
      <w:tr>
        <w:trPr>
          <w:trHeight w:val="190"/>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6,086</w:t>
            </w:r>
          </w:p>
        </w:tc>
        <w:tc>
          <w:tcPr>
            <w:tcW w:w="480" w:type="dxa"/>
            <w:vAlign w:val="bottom"/>
          </w:tcPr>
          <w:p>
            <w:pPr>
              <w:jc w:val="right"/>
              <w:ind w:right="98"/>
              <w:spacing w:after="0"/>
              <w:rPr>
                <w:sz w:val="20"/>
                <w:szCs w:val="20"/>
                <w:color w:val="auto"/>
              </w:rPr>
            </w:pPr>
            <w:r>
              <w:rPr>
                <w:rFonts w:ascii="Courier New" w:cs="Courier New" w:eastAsia="Courier New" w:hAnsi="Courier New"/>
                <w:sz w:val="16"/>
                <w:szCs w:val="16"/>
                <w:color w:val="auto"/>
                <w:w w:val="97"/>
              </w:rPr>
              <w:t>(g)</w:t>
            </w:r>
          </w:p>
        </w:tc>
        <w:tc>
          <w:tcPr>
            <w:tcW w:w="1000" w:type="dxa"/>
            <w:vAlign w:val="bottom"/>
          </w:tcPr>
          <w:p>
            <w:pPr>
              <w:spacing w:after="0"/>
              <w:rPr>
                <w:sz w:val="16"/>
                <w:szCs w:val="16"/>
                <w:color w:val="auto"/>
              </w:rPr>
            </w:pPr>
          </w:p>
        </w:tc>
      </w:tr>
      <w:tr>
        <w:trPr>
          <w:trHeight w:val="190"/>
        </w:trPr>
        <w:tc>
          <w:tcPr>
            <w:tcW w:w="4480" w:type="dxa"/>
            <w:vAlign w:val="bottom"/>
          </w:tcPr>
          <w:p>
            <w:pPr>
              <w:ind w:left="780"/>
              <w:spacing w:after="0"/>
              <w:rPr>
                <w:sz w:val="20"/>
                <w:szCs w:val="20"/>
                <w:color w:val="auto"/>
              </w:rPr>
            </w:pPr>
            <w:r>
              <w:rPr>
                <w:rFonts w:ascii="Courier New" w:cs="Courier New" w:eastAsia="Courier New" w:hAnsi="Courier New"/>
                <w:sz w:val="16"/>
                <w:szCs w:val="16"/>
                <w:color w:val="auto"/>
              </w:rPr>
              <w:t>Merger costs</w:t>
            </w:r>
          </w:p>
        </w:tc>
        <w:tc>
          <w:tcPr>
            <w:tcW w:w="300" w:type="dxa"/>
            <w:vAlign w:val="bottom"/>
          </w:tcPr>
          <w:p>
            <w:pPr>
              <w:spacing w:after="0"/>
              <w:rPr>
                <w:sz w:val="16"/>
                <w:szCs w:val="16"/>
                <w:color w:val="auto"/>
              </w:rPr>
            </w:pPr>
          </w:p>
        </w:tc>
        <w:tc>
          <w:tcPr>
            <w:tcW w:w="10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120,656</w:t>
            </w:r>
          </w:p>
        </w:tc>
        <w:tc>
          <w:tcPr>
            <w:tcW w:w="360" w:type="dxa"/>
            <w:vAlign w:val="bottom"/>
          </w:tcPr>
          <w:p>
            <w:pPr>
              <w:spacing w:after="0"/>
              <w:rPr>
                <w:sz w:val="16"/>
                <w:szCs w:val="16"/>
                <w:color w:val="auto"/>
              </w:rPr>
            </w:pP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26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120,656</w:t>
            </w:r>
          </w:p>
        </w:tc>
      </w:tr>
      <w:tr>
        <w:trPr>
          <w:trHeight w:val="190"/>
        </w:trPr>
        <w:tc>
          <w:tcPr>
            <w:tcW w:w="4480" w:type="dxa"/>
            <w:vAlign w:val="bottom"/>
          </w:tcPr>
          <w:p>
            <w:pPr>
              <w:ind w:left="780"/>
              <w:spacing w:after="0"/>
              <w:rPr>
                <w:sz w:val="20"/>
                <w:szCs w:val="20"/>
                <w:color w:val="auto"/>
              </w:rPr>
            </w:pPr>
            <w:r>
              <w:rPr>
                <w:rFonts w:ascii="Courier New" w:cs="Courier New" w:eastAsia="Courier New" w:hAnsi="Courier New"/>
                <w:sz w:val="16"/>
                <w:szCs w:val="16"/>
                <w:color w:val="auto"/>
              </w:rPr>
              <w:t>Unusual items</w:t>
            </w:r>
          </w:p>
        </w:tc>
        <w:tc>
          <w:tcPr>
            <w:tcW w:w="300" w:type="dxa"/>
            <w:vAlign w:val="bottom"/>
          </w:tcPr>
          <w:p>
            <w:pPr>
              <w:spacing w:after="0"/>
              <w:rPr>
                <w:sz w:val="16"/>
                <w:szCs w:val="16"/>
                <w:color w:val="auto"/>
              </w:rPr>
            </w:pPr>
          </w:p>
        </w:tc>
        <w:tc>
          <w:tcPr>
            <w:tcW w:w="10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63,800</w:t>
            </w:r>
          </w:p>
        </w:tc>
        <w:tc>
          <w:tcPr>
            <w:tcW w:w="360" w:type="dxa"/>
            <w:vAlign w:val="bottom"/>
          </w:tcPr>
          <w:p>
            <w:pPr>
              <w:spacing w:after="0"/>
              <w:rPr>
                <w:sz w:val="16"/>
                <w:szCs w:val="16"/>
                <w:color w:val="auto"/>
              </w:rPr>
            </w:pP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26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63,800</w:t>
            </w:r>
          </w:p>
        </w:tc>
      </w:tr>
      <w:tr>
        <w:trPr>
          <w:trHeight w:val="190"/>
        </w:trPr>
        <w:tc>
          <w:tcPr>
            <w:tcW w:w="4480" w:type="dxa"/>
            <w:vAlign w:val="bottom"/>
          </w:tcPr>
          <w:p>
            <w:pPr>
              <w:spacing w:after="0"/>
              <w:rPr>
                <w:sz w:val="16"/>
                <w:szCs w:val="16"/>
                <w:color w:val="auto"/>
              </w:rPr>
            </w:pPr>
          </w:p>
        </w:tc>
        <w:tc>
          <w:tcPr>
            <w:tcW w:w="13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1,203,080</w:t>
            </w:r>
          </w:p>
        </w:tc>
        <w:tc>
          <w:tcPr>
            <w:tcW w:w="360" w:type="dxa"/>
            <w:vAlign w:val="bottom"/>
          </w:tcPr>
          <w:p>
            <w:pPr>
              <w:spacing w:after="0"/>
              <w:rPr>
                <w:sz w:val="16"/>
                <w:szCs w:val="16"/>
                <w:color w:val="auto"/>
              </w:rPr>
            </w:pP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244,037</w:t>
            </w:r>
          </w:p>
        </w:tc>
        <w:tc>
          <w:tcPr>
            <w:tcW w:w="26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12,099</w:t>
            </w:r>
          </w:p>
        </w:tc>
        <w:tc>
          <w:tcPr>
            <w:tcW w:w="480" w:type="dxa"/>
            <w:vAlign w:val="bottom"/>
          </w:tcPr>
          <w:p>
            <w:pPr>
              <w:spacing w:after="0"/>
              <w:rPr>
                <w:sz w:val="16"/>
                <w:szCs w:val="16"/>
                <w:color w:val="auto"/>
              </w:rPr>
            </w:pP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1,459,216</w:t>
            </w:r>
          </w:p>
        </w:tc>
      </w:tr>
      <w:tr>
        <w:trPr>
          <w:trHeight w:val="190"/>
        </w:trPr>
        <w:tc>
          <w:tcPr>
            <w:tcW w:w="4480" w:type="dxa"/>
            <w:vAlign w:val="bottom"/>
          </w:tcPr>
          <w:p>
            <w:pPr>
              <w:spacing w:after="0"/>
              <w:rPr>
                <w:sz w:val="16"/>
                <w:szCs w:val="16"/>
                <w:color w:val="auto"/>
              </w:rPr>
            </w:pPr>
          </w:p>
        </w:tc>
        <w:tc>
          <w:tcPr>
            <w:tcW w:w="13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48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300" w:type="dxa"/>
            <w:vAlign w:val="bottom"/>
          </w:tcPr>
          <w:p>
            <w:pPr>
              <w:spacing w:after="0"/>
              <w:rPr>
                <w:sz w:val="16"/>
                <w:szCs w:val="16"/>
                <w:color w:val="auto"/>
              </w:rPr>
            </w:pPr>
          </w:p>
        </w:tc>
        <w:tc>
          <w:tcPr>
            <w:tcW w:w="10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110,308</w:t>
            </w:r>
          </w:p>
        </w:tc>
        <w:tc>
          <w:tcPr>
            <w:tcW w:w="360" w:type="dxa"/>
            <w:vAlign w:val="bottom"/>
          </w:tcPr>
          <w:p>
            <w:pPr>
              <w:spacing w:after="0"/>
              <w:rPr>
                <w:sz w:val="16"/>
                <w:szCs w:val="16"/>
                <w:color w:val="auto"/>
              </w:rPr>
            </w:pP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24,661</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(12,099)</w:t>
            </w:r>
          </w:p>
        </w:tc>
        <w:tc>
          <w:tcPr>
            <w:tcW w:w="480" w:type="dxa"/>
            <w:vAlign w:val="bottom"/>
          </w:tcPr>
          <w:p>
            <w:pPr>
              <w:spacing w:after="0"/>
              <w:rPr>
                <w:sz w:val="16"/>
                <w:szCs w:val="16"/>
                <w:color w:val="auto"/>
              </w:rPr>
            </w:pP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122,870</w:t>
            </w:r>
          </w:p>
        </w:tc>
      </w:tr>
      <w:tr>
        <w:trPr>
          <w:trHeight w:val="190"/>
        </w:trPr>
        <w:tc>
          <w:tcPr>
            <w:tcW w:w="4480" w:type="dxa"/>
            <w:vAlign w:val="bottom"/>
          </w:tcPr>
          <w:p>
            <w:pPr>
              <w:spacing w:after="0"/>
              <w:rPr>
                <w:sz w:val="20"/>
                <w:szCs w:val="20"/>
                <w:color w:val="auto"/>
              </w:rPr>
            </w:pPr>
            <w:r>
              <w:rPr>
                <w:rFonts w:ascii="Courier New" w:cs="Courier New" w:eastAsia="Courier New" w:hAnsi="Courier New"/>
                <w:sz w:val="16"/>
                <w:szCs w:val="16"/>
                <w:color w:val="auto"/>
              </w:rPr>
              <w:t>Other expense, net (primarily interest)</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(32,220)</w:t>
            </w:r>
          </w:p>
        </w:tc>
        <w:tc>
          <w:tcPr>
            <w:tcW w:w="360" w:type="dxa"/>
            <w:vAlign w:val="bottom"/>
          </w:tcPr>
          <w:p>
            <w:pPr>
              <w:spacing w:after="0"/>
              <w:rPr>
                <w:sz w:val="16"/>
                <w:szCs w:val="16"/>
                <w:color w:val="auto"/>
              </w:rPr>
            </w:pP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(10,701)</w:t>
            </w:r>
          </w:p>
        </w:tc>
        <w:tc>
          <w:tcPr>
            <w:tcW w:w="26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9,140</w:t>
            </w:r>
          </w:p>
        </w:tc>
        <w:tc>
          <w:tcPr>
            <w:tcW w:w="480" w:type="dxa"/>
            <w:vAlign w:val="bottom"/>
          </w:tcPr>
          <w:p>
            <w:pPr>
              <w:jc w:val="right"/>
              <w:ind w:right="98"/>
              <w:spacing w:after="0"/>
              <w:rPr>
                <w:sz w:val="20"/>
                <w:szCs w:val="20"/>
                <w:color w:val="auto"/>
              </w:rPr>
            </w:pPr>
            <w:r>
              <w:rPr>
                <w:rFonts w:ascii="Courier New" w:cs="Courier New" w:eastAsia="Courier New" w:hAnsi="Courier New"/>
                <w:sz w:val="16"/>
                <w:szCs w:val="16"/>
                <w:color w:val="auto"/>
                <w:w w:val="97"/>
              </w:rPr>
              <w:t>(h)</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(22,377)</w:t>
            </w:r>
          </w:p>
        </w:tc>
      </w:tr>
      <w:tr>
        <w:trPr>
          <w:trHeight w:val="190"/>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11,404</w:t>
            </w:r>
          </w:p>
        </w:tc>
        <w:tc>
          <w:tcPr>
            <w:tcW w:w="480" w:type="dxa"/>
            <w:vAlign w:val="bottom"/>
          </w:tcPr>
          <w:p>
            <w:pPr>
              <w:jc w:val="right"/>
              <w:ind w:right="98"/>
              <w:spacing w:after="0"/>
              <w:rPr>
                <w:sz w:val="20"/>
                <w:szCs w:val="20"/>
                <w:color w:val="auto"/>
              </w:rPr>
            </w:pPr>
            <w:r>
              <w:rPr>
                <w:rFonts w:ascii="Courier New" w:cs="Courier New" w:eastAsia="Courier New" w:hAnsi="Courier New"/>
                <w:sz w:val="16"/>
                <w:szCs w:val="16"/>
                <w:color w:val="auto"/>
                <w:w w:val="97"/>
              </w:rPr>
              <w:t>(i)</w:t>
            </w:r>
          </w:p>
        </w:tc>
        <w:tc>
          <w:tcPr>
            <w:tcW w:w="1000" w:type="dxa"/>
            <w:vAlign w:val="bottom"/>
          </w:tcPr>
          <w:p>
            <w:pPr>
              <w:spacing w:after="0"/>
              <w:rPr>
                <w:sz w:val="16"/>
                <w:szCs w:val="16"/>
                <w:color w:val="auto"/>
              </w:rPr>
            </w:pPr>
          </w:p>
        </w:tc>
      </w:tr>
      <w:tr>
        <w:trPr>
          <w:trHeight w:val="190"/>
        </w:trPr>
        <w:tc>
          <w:tcPr>
            <w:tcW w:w="4480" w:type="dxa"/>
            <w:vAlign w:val="bottom"/>
          </w:tcPr>
          <w:p>
            <w:pPr>
              <w:spacing w:after="0"/>
              <w:rPr>
                <w:sz w:val="16"/>
                <w:szCs w:val="16"/>
                <w:color w:val="auto"/>
              </w:rPr>
            </w:pPr>
          </w:p>
        </w:tc>
        <w:tc>
          <w:tcPr>
            <w:tcW w:w="13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48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300" w:type="dxa"/>
            <w:vAlign w:val="bottom"/>
          </w:tcPr>
          <w:p>
            <w:pPr>
              <w:spacing w:after="0"/>
              <w:rPr>
                <w:sz w:val="16"/>
                <w:szCs w:val="16"/>
                <w:color w:val="auto"/>
              </w:rPr>
            </w:pPr>
          </w:p>
        </w:tc>
        <w:tc>
          <w:tcPr>
            <w:tcW w:w="10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78,088</w:t>
            </w:r>
          </w:p>
        </w:tc>
        <w:tc>
          <w:tcPr>
            <w:tcW w:w="360" w:type="dxa"/>
            <w:vAlign w:val="bottom"/>
          </w:tcPr>
          <w:p>
            <w:pPr>
              <w:spacing w:after="0"/>
              <w:rPr>
                <w:sz w:val="16"/>
                <w:szCs w:val="16"/>
                <w:color w:val="auto"/>
              </w:rPr>
            </w:pP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13,960</w:t>
            </w:r>
          </w:p>
        </w:tc>
        <w:tc>
          <w:tcPr>
            <w:tcW w:w="26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8,445</w:t>
            </w:r>
          </w:p>
        </w:tc>
        <w:tc>
          <w:tcPr>
            <w:tcW w:w="480" w:type="dxa"/>
            <w:vAlign w:val="bottom"/>
          </w:tcPr>
          <w:p>
            <w:pPr>
              <w:spacing w:after="0"/>
              <w:rPr>
                <w:sz w:val="16"/>
                <w:szCs w:val="16"/>
                <w:color w:val="auto"/>
              </w:rPr>
            </w:pP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100,493</w:t>
            </w:r>
          </w:p>
        </w:tc>
      </w:tr>
      <w:tr>
        <w:trPr>
          <w:trHeight w:val="190"/>
        </w:trPr>
        <w:tc>
          <w:tcPr>
            <w:tcW w:w="448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300" w:type="dxa"/>
            <w:vAlign w:val="bottom"/>
          </w:tcPr>
          <w:p>
            <w:pPr>
              <w:spacing w:after="0"/>
              <w:rPr>
                <w:sz w:val="16"/>
                <w:szCs w:val="16"/>
                <w:color w:val="auto"/>
              </w:rPr>
            </w:pPr>
          </w:p>
        </w:tc>
        <w:tc>
          <w:tcPr>
            <w:tcW w:w="10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45,142</w:t>
            </w:r>
          </w:p>
        </w:tc>
        <w:tc>
          <w:tcPr>
            <w:tcW w:w="360" w:type="dxa"/>
            <w:vAlign w:val="bottom"/>
          </w:tcPr>
          <w:p>
            <w:pPr>
              <w:spacing w:after="0"/>
              <w:rPr>
                <w:sz w:val="16"/>
                <w:szCs w:val="16"/>
                <w:color w:val="auto"/>
              </w:rPr>
            </w:pP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7,034</w:t>
            </w:r>
          </w:p>
        </w:tc>
        <w:tc>
          <w:tcPr>
            <w:tcW w:w="26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3,010</w:t>
            </w:r>
          </w:p>
        </w:tc>
        <w:tc>
          <w:tcPr>
            <w:tcW w:w="480" w:type="dxa"/>
            <w:vAlign w:val="bottom"/>
          </w:tcPr>
          <w:p>
            <w:pPr>
              <w:jc w:val="right"/>
              <w:ind w:right="98"/>
              <w:spacing w:after="0"/>
              <w:rPr>
                <w:sz w:val="20"/>
                <w:szCs w:val="20"/>
                <w:color w:val="auto"/>
              </w:rPr>
            </w:pPr>
            <w:r>
              <w:rPr>
                <w:rFonts w:ascii="Courier New" w:cs="Courier New" w:eastAsia="Courier New" w:hAnsi="Courier New"/>
                <w:sz w:val="16"/>
                <w:szCs w:val="16"/>
                <w:color w:val="auto"/>
                <w:w w:val="97"/>
              </w:rPr>
              <w:t>(j)</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55,186</w:t>
            </w:r>
          </w:p>
        </w:tc>
      </w:tr>
      <w:tr>
        <w:trPr>
          <w:trHeight w:val="190"/>
        </w:trPr>
        <w:tc>
          <w:tcPr>
            <w:tcW w:w="4480" w:type="dxa"/>
            <w:vAlign w:val="bottom"/>
          </w:tcPr>
          <w:p>
            <w:pPr>
              <w:spacing w:after="0"/>
              <w:rPr>
                <w:sz w:val="16"/>
                <w:szCs w:val="16"/>
                <w:color w:val="auto"/>
              </w:rPr>
            </w:pPr>
          </w:p>
        </w:tc>
        <w:tc>
          <w:tcPr>
            <w:tcW w:w="13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4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30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32,946</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6,926</w:t>
            </w:r>
          </w:p>
        </w:tc>
        <w:tc>
          <w:tcPr>
            <w:tcW w:w="260" w:type="dxa"/>
            <w:vAlign w:val="bottom"/>
          </w:tcPr>
          <w:p>
            <w:pPr>
              <w:ind w:left="16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5,435</w:t>
            </w:r>
          </w:p>
        </w:tc>
        <w:tc>
          <w:tcPr>
            <w:tcW w:w="480" w:type="dxa"/>
            <w:vAlign w:val="bottom"/>
          </w:tcPr>
          <w:p>
            <w:pPr>
              <w:ind w:left="380"/>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45,307</w:t>
            </w:r>
          </w:p>
        </w:tc>
      </w:tr>
      <w:tr>
        <w:trPr>
          <w:trHeight w:val="190"/>
        </w:trPr>
        <w:tc>
          <w:tcPr>
            <w:tcW w:w="4480" w:type="dxa"/>
            <w:vAlign w:val="bottom"/>
          </w:tcPr>
          <w:p>
            <w:pPr>
              <w:spacing w:after="0"/>
              <w:rPr>
                <w:sz w:val="16"/>
                <w:szCs w:val="16"/>
                <w:color w:val="auto"/>
              </w:rPr>
            </w:pPr>
          </w:p>
        </w:tc>
        <w:tc>
          <w:tcPr>
            <w:tcW w:w="13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480" w:type="dxa"/>
            <w:vAlign w:val="bottom"/>
          </w:tcPr>
          <w:p>
            <w:pPr>
              <w:spacing w:after="0"/>
              <w:rPr>
                <w:sz w:val="20"/>
                <w:szCs w:val="20"/>
                <w:color w:val="auto"/>
              </w:rPr>
            </w:pPr>
            <w:r>
              <w:rPr>
                <w:rFonts w:ascii="Courier New" w:cs="Courier New" w:eastAsia="Courier New" w:hAnsi="Courier New"/>
                <w:sz w:val="16"/>
                <w:szCs w:val="16"/>
                <w:color w:val="auto"/>
              </w:rPr>
              <w:t>Earnings per common share</w:t>
            </w:r>
          </w:p>
        </w:tc>
        <w:tc>
          <w:tcPr>
            <w:tcW w:w="30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0.24</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ind w:left="380"/>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0.30</w:t>
            </w:r>
          </w:p>
        </w:tc>
      </w:tr>
      <w:tr>
        <w:trPr>
          <w:trHeight w:val="190"/>
        </w:trPr>
        <w:tc>
          <w:tcPr>
            <w:tcW w:w="4480" w:type="dxa"/>
            <w:vAlign w:val="bottom"/>
          </w:tcPr>
          <w:p>
            <w:pPr>
              <w:spacing w:after="0"/>
              <w:rPr>
                <w:sz w:val="16"/>
                <w:szCs w:val="16"/>
                <w:color w:val="auto"/>
              </w:rPr>
            </w:pPr>
          </w:p>
        </w:tc>
        <w:tc>
          <w:tcPr>
            <w:tcW w:w="13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48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and</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0"/>
        </w:trPr>
        <w:tc>
          <w:tcPr>
            <w:tcW w:w="4480" w:type="dxa"/>
            <w:vAlign w:val="bottom"/>
          </w:tcPr>
          <w:p>
            <w:pPr>
              <w:ind w:left="780"/>
              <w:spacing w:after="0"/>
              <w:rPr>
                <w:sz w:val="20"/>
                <w:szCs w:val="20"/>
                <w:color w:val="auto"/>
              </w:rPr>
            </w:pPr>
            <w:r>
              <w:rPr>
                <w:rFonts w:ascii="Courier New" w:cs="Courier New" w:eastAsia="Courier New" w:hAnsi="Courier New"/>
                <w:sz w:val="16"/>
                <w:szCs w:val="16"/>
                <w:color w:val="auto"/>
              </w:rPr>
              <w:t>common equivalent shares outstanding</w:t>
            </w:r>
          </w:p>
        </w:tc>
        <w:tc>
          <w:tcPr>
            <w:tcW w:w="300" w:type="dxa"/>
            <w:vAlign w:val="bottom"/>
          </w:tcPr>
          <w:p>
            <w:pPr>
              <w:spacing w:after="0"/>
              <w:rPr>
                <w:sz w:val="16"/>
                <w:szCs w:val="16"/>
                <w:color w:val="auto"/>
              </w:rPr>
            </w:pPr>
          </w:p>
        </w:tc>
        <w:tc>
          <w:tcPr>
            <w:tcW w:w="10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139,740</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11,500(k)</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151,240</w:t>
            </w:r>
          </w:p>
        </w:tc>
      </w:tr>
      <w:tr>
        <w:trPr>
          <w:trHeight w:val="190"/>
        </w:trPr>
        <w:tc>
          <w:tcPr>
            <w:tcW w:w="4480" w:type="dxa"/>
            <w:vAlign w:val="bottom"/>
          </w:tcPr>
          <w:p>
            <w:pPr>
              <w:spacing w:after="0"/>
              <w:rPr>
                <w:sz w:val="16"/>
                <w:szCs w:val="16"/>
                <w:color w:val="auto"/>
              </w:rPr>
            </w:pPr>
          </w:p>
        </w:tc>
        <w:tc>
          <w:tcPr>
            <w:tcW w:w="13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194" w:lineRule="exact"/>
        <w:rPr>
          <w:sz w:val="20"/>
          <w:szCs w:val="20"/>
          <w:color w:val="auto"/>
        </w:rPr>
      </w:pPr>
    </w:p>
    <w:p>
      <w:pPr>
        <w:jc w:val="both"/>
        <w:ind w:left="880" w:right="2660" w:hanging="886"/>
        <w:spacing w:after="0" w:line="253" w:lineRule="auto"/>
        <w:tabs>
          <w:tab w:leader="none" w:pos="860" w:val="left"/>
        </w:tabs>
        <w:rPr>
          <w:sz w:val="20"/>
          <w:szCs w:val="20"/>
          <w:color w:val="auto"/>
        </w:rPr>
      </w:pPr>
      <w:r>
        <w:rPr>
          <w:rFonts w:ascii="Courier New" w:cs="Courier New" w:eastAsia="Courier New" w:hAnsi="Courier New"/>
          <w:sz w:val="16"/>
          <w:szCs w:val="16"/>
          <w:color w:val="auto"/>
        </w:rPr>
        <w:t>Note 1</w:t>
        <w:tab/>
        <w:t>Reflects the historical combined statement of operations for Laidlaw Solid Waste Management Group - Canadian Operations for the 12 months ended November 30, 1996.</w:t>
      </w:r>
    </w:p>
    <w:p>
      <w:pPr>
        <w:spacing w:after="0" w:line="200" w:lineRule="exact"/>
        <w:rPr>
          <w:sz w:val="20"/>
          <w:szCs w:val="20"/>
          <w:color w:val="auto"/>
        </w:rPr>
      </w:pPr>
    </w:p>
    <w:p>
      <w:pPr>
        <w:spacing w:after="0" w:line="364"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See notes to pro forma condensed consolidated financial statements.</w:t>
      </w:r>
    </w:p>
    <w:p>
      <w:pPr>
        <w:sectPr>
          <w:pgSz w:w="11900" w:h="16838" w:orient="portrait"/>
          <w:cols w:equalWidth="0" w:num="1">
            <w:col w:w="10260"/>
          </w:cols>
          <w:pgMar w:left="240" w:top="306" w:right="1399"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6"/>
          <w:szCs w:val="16"/>
          <w:color w:val="auto"/>
        </w:rPr>
        <w:t>23</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USA WASTE SERVICES, INC.</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NOTES TO PRO FORMA CONDENSED CONSOLIDATED FINANCIAL STATEMENTS</w:t>
      </w:r>
    </w:p>
    <w:p>
      <w:pPr>
        <w:spacing w:after="0" w:line="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(Unaudited)</w:t>
      </w:r>
    </w:p>
    <w:p>
      <w:pPr>
        <w:spacing w:after="0" w:line="388" w:lineRule="exact"/>
        <w:rPr>
          <w:sz w:val="20"/>
          <w:szCs w:val="20"/>
          <w:color w:val="auto"/>
        </w:rPr>
      </w:pPr>
    </w:p>
    <w:p>
      <w:pPr>
        <w:ind w:right="2439" w:firstLine="789"/>
        <w:spacing w:after="0" w:line="252" w:lineRule="auto"/>
        <w:rPr>
          <w:sz w:val="20"/>
          <w:szCs w:val="20"/>
          <w:color w:val="auto"/>
        </w:rPr>
      </w:pPr>
      <w:r>
        <w:rPr>
          <w:rFonts w:ascii="Courier New" w:cs="Courier New" w:eastAsia="Courier New" w:hAnsi="Courier New"/>
          <w:sz w:val="16"/>
          <w:szCs w:val="16"/>
          <w:color w:val="auto"/>
        </w:rPr>
        <w:t>The accompanying unaudited pro forma condensed consolidated financial statements (the "Pro Forma Financial Statements") for USA Waste Services, Inc. (the "Company") have been prepared based upon certain pro forma adjustments to the historical consolidated financial statements of the Company set forth in its previously filed Annual Report on Form 10-K for the year ended December 31, 1996.</w:t>
      </w:r>
    </w:p>
    <w:p>
      <w:pPr>
        <w:spacing w:after="0" w:line="376" w:lineRule="exact"/>
        <w:rPr>
          <w:sz w:val="20"/>
          <w:szCs w:val="20"/>
          <w:color w:val="auto"/>
        </w:rPr>
      </w:pPr>
    </w:p>
    <w:p>
      <w:pPr>
        <w:ind w:right="2439" w:firstLine="789"/>
        <w:spacing w:after="0" w:line="252" w:lineRule="auto"/>
        <w:rPr>
          <w:sz w:val="20"/>
          <w:szCs w:val="20"/>
          <w:color w:val="auto"/>
        </w:rPr>
      </w:pPr>
      <w:r>
        <w:rPr>
          <w:rFonts w:ascii="Courier New" w:cs="Courier New" w:eastAsia="Courier New" w:hAnsi="Courier New"/>
          <w:sz w:val="16"/>
          <w:szCs w:val="16"/>
          <w:color w:val="auto"/>
        </w:rPr>
        <w:t>The Pro Forma Financial Statements are based on certain assumptions and preliminary estimates which are subject to change. The Pro Forma Financial Statements do not purport to be indicative of the results which would actually have been obtained had the acquisition, Notes Offering and Equity Offering been completed on the dates indicated or which may be obtained in the future.</w:t>
      </w:r>
    </w:p>
    <w:p>
      <w:pPr>
        <w:spacing w:after="0" w:line="186" w:lineRule="exact"/>
        <w:rPr>
          <w:sz w:val="20"/>
          <w:szCs w:val="20"/>
          <w:color w:val="auto"/>
        </w:rPr>
      </w:pPr>
    </w:p>
    <w:p>
      <w:pPr>
        <w:ind w:right="2519" w:firstLine="789"/>
        <w:spacing w:after="0" w:line="255" w:lineRule="auto"/>
        <w:rPr>
          <w:sz w:val="20"/>
          <w:szCs w:val="20"/>
          <w:color w:val="auto"/>
        </w:rPr>
      </w:pPr>
      <w:r>
        <w:rPr>
          <w:rFonts w:ascii="Courier New" w:cs="Courier New" w:eastAsia="Courier New" w:hAnsi="Courier New"/>
          <w:sz w:val="16"/>
          <w:szCs w:val="16"/>
          <w:color w:val="auto"/>
        </w:rPr>
        <w:t>The pro forma adjustments which have been made to the accompanying Pro Forma Financial Statements are described below:</w:t>
      </w:r>
    </w:p>
    <w:p>
      <w:pPr>
        <w:spacing w:after="0" w:line="184" w:lineRule="exact"/>
        <w:rPr>
          <w:sz w:val="20"/>
          <w:szCs w:val="20"/>
          <w:color w:val="auto"/>
        </w:rPr>
      </w:pPr>
    </w:p>
    <w:p>
      <w:pPr>
        <w:ind w:left="1180" w:right="2819" w:hanging="390"/>
        <w:spacing w:after="0" w:line="255" w:lineRule="auto"/>
        <w:tabs>
          <w:tab w:leader="none" w:pos="11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the financing of the purchase price of the acquisition from the Company's credit facility.</w:t>
      </w:r>
    </w:p>
    <w:p>
      <w:pPr>
        <w:spacing w:after="0" w:line="183" w:lineRule="exact"/>
        <w:rPr>
          <w:rFonts w:ascii="Courier New" w:cs="Courier New" w:eastAsia="Courier New" w:hAnsi="Courier New"/>
          <w:sz w:val="16"/>
          <w:szCs w:val="16"/>
          <w:color w:val="auto"/>
        </w:rPr>
      </w:pPr>
    </w:p>
    <w:p>
      <w:pPr>
        <w:ind w:left="1180" w:right="2439" w:hanging="390"/>
        <w:spacing w:after="0" w:line="252" w:lineRule="auto"/>
        <w:tabs>
          <w:tab w:leader="none" w:pos="11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the proceeds from and the repayment of debt as a result of the sale of $535,275,000 of 4% subordinate debt and 11,500,000 shares of common stock of the Company as if the Notes Offering and Equity Offering had occurred on December 31, 1996.</w:t>
      </w:r>
    </w:p>
    <w:p>
      <w:pPr>
        <w:spacing w:after="0" w:line="186" w:lineRule="exact"/>
        <w:rPr>
          <w:rFonts w:ascii="Courier New" w:cs="Courier New" w:eastAsia="Courier New" w:hAnsi="Courier New"/>
          <w:sz w:val="16"/>
          <w:szCs w:val="16"/>
          <w:color w:val="auto"/>
        </w:rPr>
      </w:pPr>
    </w:p>
    <w:p>
      <w:pPr>
        <w:ind w:left="1180" w:right="2719" w:hanging="390"/>
        <w:spacing w:after="0" w:line="255" w:lineRule="auto"/>
        <w:tabs>
          <w:tab w:leader="none" w:pos="11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the estimated purchase price allocation of the business acquired.</w:t>
      </w:r>
    </w:p>
    <w:p>
      <w:pPr>
        <w:spacing w:after="0" w:line="183" w:lineRule="exact"/>
        <w:rPr>
          <w:rFonts w:ascii="Courier New" w:cs="Courier New" w:eastAsia="Courier New" w:hAnsi="Courier New"/>
          <w:sz w:val="16"/>
          <w:szCs w:val="16"/>
          <w:color w:val="auto"/>
        </w:rPr>
      </w:pPr>
    </w:p>
    <w:p>
      <w:pPr>
        <w:ind w:left="1180" w:hanging="390"/>
        <w:spacing w:after="0"/>
        <w:tabs>
          <w:tab w:leader="none" w:pos="11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the transaction costs related to the Notes Offering.</w:t>
      </w:r>
    </w:p>
    <w:p>
      <w:pPr>
        <w:spacing w:after="0" w:line="197" w:lineRule="exact"/>
        <w:rPr>
          <w:rFonts w:ascii="Courier New" w:cs="Courier New" w:eastAsia="Courier New" w:hAnsi="Courier New"/>
          <w:sz w:val="16"/>
          <w:szCs w:val="16"/>
          <w:color w:val="auto"/>
        </w:rPr>
      </w:pPr>
    </w:p>
    <w:p>
      <w:pPr>
        <w:ind w:left="1180" w:hanging="390"/>
        <w:spacing w:after="0"/>
        <w:tabs>
          <w:tab w:leader="none" w:pos="11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the elimination of the equity of the business acquired.</w:t>
      </w:r>
    </w:p>
    <w:p>
      <w:pPr>
        <w:spacing w:after="0" w:line="197" w:lineRule="exact"/>
        <w:rPr>
          <w:rFonts w:ascii="Courier New" w:cs="Courier New" w:eastAsia="Courier New" w:hAnsi="Courier New"/>
          <w:sz w:val="16"/>
          <w:szCs w:val="16"/>
          <w:color w:val="auto"/>
        </w:rPr>
      </w:pPr>
    </w:p>
    <w:p>
      <w:pPr>
        <w:ind w:left="1180" w:right="2439" w:hanging="390"/>
        <w:spacing w:after="0" w:line="252" w:lineRule="auto"/>
        <w:tabs>
          <w:tab w:leader="none" w:pos="11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changes in depreciation and depletion due to the allocation of the purchase price of the acquisition. Landfill costs are depleted over the anticipated life of the site on a units-of-production basis.</w:t>
      </w:r>
    </w:p>
    <w:p>
      <w:pPr>
        <w:spacing w:after="0" w:line="186" w:lineRule="exact"/>
        <w:rPr>
          <w:rFonts w:ascii="Courier New" w:cs="Courier New" w:eastAsia="Courier New" w:hAnsi="Courier New"/>
          <w:sz w:val="16"/>
          <w:szCs w:val="16"/>
          <w:color w:val="auto"/>
        </w:rPr>
      </w:pPr>
    </w:p>
    <w:p>
      <w:pPr>
        <w:ind w:left="1180" w:right="2619" w:hanging="390"/>
        <w:spacing w:after="0" w:line="252" w:lineRule="auto"/>
        <w:tabs>
          <w:tab w:leader="none" w:pos="11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the amortization of goodwill and other intangibles. Goodwill is amortized over a 40 year period on a straight-line basis. Noncompetition agreements and customer lists are amortized over their contractual terms on a straight-line basis.</w:t>
      </w:r>
    </w:p>
    <w:p>
      <w:pPr>
        <w:spacing w:after="0" w:line="186" w:lineRule="exact"/>
        <w:rPr>
          <w:rFonts w:ascii="Courier New" w:cs="Courier New" w:eastAsia="Courier New" w:hAnsi="Courier New"/>
          <w:sz w:val="16"/>
          <w:szCs w:val="16"/>
          <w:color w:val="auto"/>
        </w:rPr>
      </w:pPr>
    </w:p>
    <w:p>
      <w:pPr>
        <w:ind w:left="1180" w:right="2519" w:hanging="390"/>
        <w:spacing w:after="0" w:line="252" w:lineRule="auto"/>
        <w:tabs>
          <w:tab w:leader="none" w:pos="11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the change in interest expense resulting from the repayment of debt in connection with the Notes Offering and Equity Offering, offset by the debt incurred in connection with the financing of the acquisition, as if they had occurred January 1, 1996.</w:t>
      </w:r>
    </w:p>
    <w:p>
      <w:pPr>
        <w:spacing w:after="0" w:line="185" w:lineRule="exact"/>
        <w:rPr>
          <w:rFonts w:ascii="Courier New" w:cs="Courier New" w:eastAsia="Courier New" w:hAnsi="Courier New"/>
          <w:sz w:val="16"/>
          <w:szCs w:val="16"/>
          <w:color w:val="auto"/>
        </w:rPr>
      </w:pPr>
    </w:p>
    <w:p>
      <w:pPr>
        <w:ind w:left="1180" w:right="2439" w:hanging="390"/>
        <w:spacing w:after="0" w:line="255" w:lineRule="auto"/>
        <w:tabs>
          <w:tab w:leader="none" w:pos="11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the reduction of the acquired business' allocated interest expense.</w:t>
      </w:r>
    </w:p>
    <w:p>
      <w:pPr>
        <w:spacing w:after="0" w:line="183" w:lineRule="exact"/>
        <w:rPr>
          <w:rFonts w:ascii="Courier New" w:cs="Courier New" w:eastAsia="Courier New" w:hAnsi="Courier New"/>
          <w:sz w:val="16"/>
          <w:szCs w:val="16"/>
          <w:color w:val="auto"/>
        </w:rPr>
      </w:pPr>
    </w:p>
    <w:p>
      <w:pPr>
        <w:ind w:left="1180" w:right="2719" w:hanging="390"/>
        <w:spacing w:after="0" w:line="253" w:lineRule="auto"/>
        <w:tabs>
          <w:tab w:leader="none" w:pos="11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the income tax impact related to the operations of the business acquired and the income tax effect of each of the above pro forma adjustments.</w:t>
      </w:r>
    </w:p>
    <w:p>
      <w:pPr>
        <w:spacing w:after="0" w:line="185" w:lineRule="exact"/>
        <w:rPr>
          <w:rFonts w:ascii="Courier New" w:cs="Courier New" w:eastAsia="Courier New" w:hAnsi="Courier New"/>
          <w:sz w:val="16"/>
          <w:szCs w:val="16"/>
          <w:color w:val="auto"/>
        </w:rPr>
      </w:pPr>
    </w:p>
    <w:p>
      <w:pPr>
        <w:ind w:left="1180" w:right="2619" w:hanging="390"/>
        <w:spacing w:after="0" w:line="253" w:lineRule="auto"/>
        <w:tabs>
          <w:tab w:leader="none" w:pos="11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the additional weighted average common and common equivalent shares outstanding which have been included to reflect the Equity Offering as if it had occurred January 1, 1996.</w:t>
      </w:r>
    </w:p>
    <w:p>
      <w:pPr>
        <w:sectPr>
          <w:pgSz w:w="11900" w:h="16838" w:orient="portrait"/>
          <w:cols w:equalWidth="0" w:num="1">
            <w:col w:w="10219"/>
          </w:cols>
          <w:pgMar w:left="240" w:top="306" w:right="1440" w:bottom="1440" w:gutter="0" w:footer="0" w:header="0"/>
        </w:sectPr>
      </w:pPr>
    </w:p>
    <w:bookmarkStart w:id="24" w:name="page25"/>
    <w:bookmarkEnd w:id="24"/>
    <w:p>
      <w:pPr>
        <w:ind w:left="300"/>
        <w:spacing w:after="0"/>
        <w:rPr>
          <w:sz w:val="20"/>
          <w:szCs w:val="20"/>
          <w:color w:val="auto"/>
        </w:rPr>
      </w:pPr>
      <w:r>
        <w:rPr>
          <w:rFonts w:ascii="Courier New" w:cs="Courier New" w:eastAsia="Courier New" w:hAnsi="Courier New"/>
          <w:sz w:val="16"/>
          <w:szCs w:val="16"/>
          <w:color w:val="auto"/>
        </w:rPr>
        <w:t>24</w:t>
      </w:r>
    </w:p>
    <w:p>
      <w:pPr>
        <w:spacing w:after="0" w:line="200" w:lineRule="exact"/>
        <w:rPr>
          <w:sz w:val="20"/>
          <w:szCs w:val="20"/>
          <w:color w:val="auto"/>
        </w:rPr>
      </w:pPr>
    </w:p>
    <w:p>
      <w:pPr>
        <w:spacing w:after="0" w:line="377"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USA WASTE SERVICES, INC.</w:t>
      </w:r>
    </w:p>
    <w:p>
      <w:pPr>
        <w:spacing w:after="0" w:line="19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306" w:right="1440" w:bottom="1440" w:gutter="0" w:footer="0" w:header="0"/>
        </w:sectPr>
      </w:pP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sectPr>
          <w:pgSz w:w="11900" w:h="16838" w:orient="portrait"/>
          <w:cols w:equalWidth="0" w:num="2">
            <w:col w:w="2240" w:space="720"/>
            <w:col w:w="7259"/>
          </w:cols>
          <w:pgMar w:left="240" w:top="306" w:right="1440" w:bottom="1440" w:gutter="0" w:footer="0" w:header="0"/>
          <w:type w:val="continuous"/>
        </w:sectPr>
      </w:pPr>
    </w:p>
    <w:p>
      <w:pPr>
        <w:spacing w:after="0"/>
        <w:tabs>
          <w:tab w:leader="none" w:pos="1360"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6"/>
          <w:szCs w:val="16"/>
          <w:color w:val="auto"/>
        </w:rPr>
        <w:t>Consent of Independent Accountants</w:t>
      </w:r>
    </w:p>
    <w:p>
      <w:pPr>
        <w:sectPr>
          <w:pgSz w:w="11900" w:h="16838" w:orient="portrait"/>
          <w:cols w:equalWidth="0" w:num="1">
            <w:col w:w="10219"/>
          </w:cols>
          <w:pgMar w:left="240" w:top="306" w:right="1440" w:bottom="1440" w:gutter="0" w:footer="0" w:header="0"/>
          <w:type w:val="continuous"/>
        </w:sectPr>
      </w:pPr>
    </w:p>
    <w:bookmarkStart w:id="25" w:name="page26"/>
    <w:bookmarkEnd w:id="25"/>
    <w:p>
      <w:pPr>
        <w:ind w:left="300"/>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377" w:lineRule="exact"/>
        <w:rPr>
          <w:sz w:val="20"/>
          <w:szCs w:val="20"/>
          <w:color w:val="auto"/>
        </w:rPr>
      </w:pPr>
    </w:p>
    <w:p>
      <w:pPr>
        <w:jc w:val="right"/>
        <w:ind w:right="2439"/>
        <w:spacing w:after="0"/>
        <w:rPr>
          <w:sz w:val="20"/>
          <w:szCs w:val="20"/>
          <w:color w:val="auto"/>
        </w:rPr>
      </w:pPr>
      <w:r>
        <w:rPr>
          <w:rFonts w:ascii="Courier New" w:cs="Courier New" w:eastAsia="Courier New" w:hAnsi="Courier New"/>
          <w:sz w:val="16"/>
          <w:szCs w:val="16"/>
          <w:color w:val="auto"/>
        </w:rPr>
        <w:t>EXHIBIT 23.1</w:t>
      </w:r>
    </w:p>
    <w:p>
      <w:pPr>
        <w:spacing w:after="0" w:line="19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8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We consent to the incorporation by reference in the Registration Statements of USA Waste Services, Inc. on Form S-3 (File Nos. 33-42988, 33-43809, 33-76226, 33-85018, 333-00097, 333-08573, 333-17421, 333-17453, and 333-21035), on Form S-4 (File Nos. 33-77110, 33-59259, 33-60103, 33-63981, 333-02181, 333-08161, and 333-14109), and on Form S-8 (File Nos. 33-43619, 33-72436, 33-84988,</w:t>
      </w:r>
    </w:p>
    <w:p>
      <w:pPr>
        <w:ind w:right="2439"/>
        <w:spacing w:after="0" w:line="252" w:lineRule="auto"/>
        <w:rPr>
          <w:sz w:val="20"/>
          <w:szCs w:val="20"/>
          <w:color w:val="auto"/>
        </w:rPr>
      </w:pPr>
      <w:r>
        <w:rPr>
          <w:rFonts w:ascii="Courier New" w:cs="Courier New" w:eastAsia="Courier New" w:hAnsi="Courier New"/>
          <w:sz w:val="16"/>
          <w:szCs w:val="16"/>
          <w:color w:val="auto"/>
        </w:rPr>
        <w:t>33-84990, 33-59807, 33-61621, 33-61625, 33-61627, 333-14115, and 333-14613), of our report dated October 16, 1996 (except for Notes 1 and 8 which are as at January 15, 1997), on our audit of the financial statements of Laidlaw Solid Waste Management Group - Canadian Operations as at August 31, 1996 and for the year then ended, which is included in this Current Report on Form 8-K/A.</w:t>
      </w:r>
    </w:p>
    <w:p>
      <w:pPr>
        <w:spacing w:after="0" w:line="186"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COOPERS &amp; LYBRAND</w:t>
      </w:r>
    </w:p>
    <w:p>
      <w:pPr>
        <w:spacing w:after="0" w:line="8"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Chartered Accountants</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Hamilton, Canada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15, 1997</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lowerLetter"/>
      <w:start w:val="1"/>
    </w:lvl>
  </w:abstractNum>
  <w:abstractNum w:abstractNumId="1">
    <w:nsid w:val="41A7C4C9"/>
    <w:multiLevelType w:val="hybridMultilevel"/>
    <w:lvl w:ilvl="0">
      <w:lvlJc w:val="left"/>
      <w:lvlText w:val="(%1)"/>
      <w:numFmt w:val="lowerLetter"/>
      <w:start w:val="2"/>
    </w:lvl>
  </w:abstractNum>
  <w:abstractNum w:abstractNumId="2">
    <w:nsid w:val="6B68079A"/>
    <w:multiLevelType w:val="hybridMultilevel"/>
    <w:lvl w:ilvl="0">
      <w:lvlJc w:val="left"/>
      <w:lvlText w:val="(%1)"/>
      <w:numFmt w:val="lowerLetter"/>
      <w:start w:val="3"/>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2"/>
    </w:lvl>
  </w:abstractNum>
  <w:abstractNum w:abstractNumId="14">
    <w:nsid w:val="721DA317"/>
    <w:multiLevelType w:val="hybridMultilevel"/>
    <w:lvl w:ilvl="0">
      <w:lvlJc w:val="left"/>
      <w:lvlText w:val="%1."/>
      <w:numFmt w:val="decimal"/>
      <w:start w:val="2"/>
    </w:lvl>
    <w:lvl w:ilvl="1">
      <w:lvlJc w:val="left"/>
      <w:lvlText w:val="(%2)"/>
      <w:numFmt w:val="lowerLetter"/>
      <w:start w:val="3"/>
    </w:lvl>
  </w:abstractNum>
  <w:abstractNum w:abstractNumId="15">
    <w:nsid w:val="2443A858"/>
    <w:multiLevelType w:val="hybridMultilevel"/>
    <w:lvl w:ilvl="0">
      <w:lvlJc w:val="left"/>
      <w:lvlText w:val="(%1)"/>
      <w:numFmt w:val="lowerLetter"/>
      <w:start w:val="4"/>
    </w:lvl>
  </w:abstractNum>
  <w:abstractNum w:abstractNumId="16">
    <w:nsid w:val="2D1D5AE9"/>
    <w:multiLevelType w:val="hybridMultilevel"/>
    <w:lvl w:ilvl="0">
      <w:lvlJc w:val="left"/>
      <w:lvlText w:val="(%1)"/>
      <w:numFmt w:val="lowerLetter"/>
      <w:start w:val="5"/>
    </w:lvl>
  </w:abstractNum>
  <w:abstractNum w:abstractNumId="17">
    <w:nsid w:val="6763845E"/>
    <w:multiLevelType w:val="hybridMultilevel"/>
    <w:lvl w:ilvl="0">
      <w:lvlJc w:val="left"/>
      <w:lvlText w:val="(%1)"/>
      <w:numFmt w:val="lowerLetter"/>
      <w:start w:val="6"/>
    </w:lvl>
  </w:abstractNum>
  <w:abstractNum w:abstractNumId="18">
    <w:nsid w:val="75A2A8D4"/>
    <w:multiLevelType w:val="hybridMultilevel"/>
    <w:lvl w:ilvl="0">
      <w:lvlJc w:val="left"/>
      <w:lvlText w:val="(%1)"/>
      <w:numFmt w:val="lowerLetter"/>
      <w:start w:val="7"/>
    </w:lvl>
  </w:abstractNum>
  <w:abstractNum w:abstractNumId="19">
    <w:nsid w:val="8EDBDAB"/>
    <w:multiLevelType w:val="hybridMultilevel"/>
    <w:lvl w:ilvl="0">
      <w:lvlJc w:val="left"/>
      <w:lvlText w:val="%1."/>
      <w:numFmt w:val="decimal"/>
      <w:start w:val="2"/>
    </w:lvl>
    <w:lvl w:ilvl="1">
      <w:lvlJc w:val="left"/>
      <w:lvlText w:val="(%2)"/>
      <w:numFmt w:val="lowerLetter"/>
      <w:start w:val="8"/>
    </w:lvl>
  </w:abstractNum>
  <w:abstractNum w:abstractNumId="20">
    <w:nsid w:val="79838CB2"/>
    <w:multiLevelType w:val="hybridMultilevel"/>
    <w:lvl w:ilvl="0">
      <w:lvlJc w:val="left"/>
      <w:lvlText w:val="(%1)"/>
      <w:numFmt w:val="lowerRoman"/>
      <w:start w:val="1"/>
    </w:lvl>
  </w:abstractNum>
  <w:abstractNum w:abstractNumId="21">
    <w:nsid w:val="4353D0CD"/>
    <w:multiLevelType w:val="hybridMultilevel"/>
    <w:lvl w:ilvl="0">
      <w:lvlJc w:val="left"/>
      <w:lvlText w:val="%1."/>
      <w:numFmt w:val="decimal"/>
      <w:start w:val="3"/>
    </w:lvl>
  </w:abstractNum>
  <w:abstractNum w:abstractNumId="22">
    <w:nsid w:val="B03E0C6"/>
    <w:multiLevelType w:val="hybridMultilevel"/>
    <w:lvl w:ilvl="0">
      <w:lvlJc w:val="left"/>
      <w:lvlText w:val="%1."/>
      <w:numFmt w:val="decimal"/>
      <w:start w:val="4"/>
    </w:lvl>
  </w:abstractNum>
  <w:abstractNum w:abstractNumId="23">
    <w:nsid w:val="189A769B"/>
    <w:multiLevelType w:val="hybridMultilevel"/>
    <w:lvl w:ilvl="0">
      <w:lvlJc w:val="left"/>
      <w:lvlText w:val="%1."/>
      <w:numFmt w:val="decimal"/>
      <w:start w:val="4"/>
    </w:lvl>
  </w:abstractNum>
  <w:abstractNum w:abstractNumId="24">
    <w:nsid w:val="54E49EB4"/>
    <w:multiLevelType w:val="hybridMultilevel"/>
    <w:lvl w:ilvl="0">
      <w:lvlJc w:val="left"/>
      <w:lvlText w:val="%1."/>
      <w:numFmt w:val="decimal"/>
      <w:start w:val="5"/>
    </w:lvl>
  </w:abstractNum>
  <w:abstractNum w:abstractNumId="25">
    <w:nsid w:val="71F32454"/>
    <w:multiLevelType w:val="hybridMultilevel"/>
    <w:lvl w:ilvl="0">
      <w:lvlJc w:val="left"/>
      <w:lvlText w:val="(%1)"/>
      <w:numFmt w:val="lowerLetter"/>
      <w:start w:val="1"/>
    </w:lvl>
  </w:abstractNum>
  <w:abstractNum w:abstractNumId="26">
    <w:nsid w:val="2CA88611"/>
    <w:multiLevelType w:val="hybridMultilevel"/>
    <w:lvl w:ilvl="0">
      <w:lvlJc w:val="left"/>
      <w:lvlText w:val="%1."/>
      <w:numFmt w:val="decimal"/>
      <w:start w:val="6"/>
    </w:lvl>
  </w:abstractNum>
  <w:abstractNum w:abstractNumId="27">
    <w:nsid w:val="836C40E"/>
    <w:multiLevelType w:val="hybridMultilevel"/>
    <w:lvl w:ilvl="0">
      <w:lvlJc w:val="left"/>
      <w:lvlText w:val="%1."/>
      <w:numFmt w:val="decimal"/>
      <w:start w:val="7"/>
    </w:lvl>
  </w:abstractNum>
  <w:abstractNum w:abstractNumId="28">
    <w:nsid w:val="2901D8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2019-12-20T04:10:11Z</dcterms:created>
  <dcterms:modified xsi:type="dcterms:W3CDTF">2019-12-20T04:10:11Z</dcterms:modified>
</cp:coreProperties>
</file>