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SEPTEMBER 25, 1995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REGISTRATION NO. 33-62547</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54"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right"/>
        <w:ind w:left="740" w:right="840"/>
        <w:spacing w:after="0" w:line="290"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36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5000 QUORUM DRIVE, SUITE 300</w:t>
      </w:r>
    </w:p>
    <w:p>
      <w:pPr>
        <w:ind w:left="1380"/>
        <w:spacing w:after="0" w:line="238" w:lineRule="auto"/>
        <w:rPr>
          <w:sz w:val="20"/>
          <w:szCs w:val="20"/>
          <w:color w:val="auto"/>
        </w:rPr>
      </w:pPr>
      <w:r>
        <w:rPr>
          <w:rFonts w:ascii="Courier New" w:cs="Courier New" w:eastAsia="Courier New" w:hAnsi="Courier New"/>
          <w:sz w:val="18"/>
          <w:szCs w:val="18"/>
          <w:color w:val="auto"/>
        </w:rPr>
        <w:t>DALLAS, TEXAS 75240</w:t>
      </w:r>
    </w:p>
    <w:p>
      <w:pPr>
        <w:ind w:left="1700"/>
        <w:spacing w:after="0"/>
        <w:rPr>
          <w:sz w:val="20"/>
          <w:szCs w:val="20"/>
          <w:color w:val="auto"/>
        </w:rPr>
      </w:pPr>
      <w:r>
        <w:rPr>
          <w:rFonts w:ascii="Courier New" w:cs="Courier New" w:eastAsia="Courier New" w:hAnsi="Courier New"/>
          <w:sz w:val="18"/>
          <w:szCs w:val="18"/>
          <w:color w:val="auto"/>
        </w:rPr>
        <w:t>(214) 383-7900</w:t>
      </w:r>
    </w:p>
    <w:p>
      <w:pPr>
        <w:spacing w:after="0" w:line="3" w:lineRule="exact"/>
        <w:rPr>
          <w:sz w:val="24"/>
          <w:szCs w:val="24"/>
          <w:color w:val="auto"/>
        </w:rPr>
      </w:pPr>
    </w:p>
    <w:p>
      <w:pPr>
        <w:ind w:left="1580" w:right="220" w:hanging="1474"/>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w:t>
      </w:r>
    </w:p>
    <w:p>
      <w:pPr>
        <w:spacing w:after="0" w:line="6" w:lineRule="exact"/>
        <w:rPr>
          <w:sz w:val="24"/>
          <w:szCs w:val="24"/>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area code, of registrant's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73-1309529</w:t>
      </w:r>
    </w:p>
    <w:p>
      <w:pPr>
        <w:ind w:left="1280"/>
        <w:spacing w:after="0" w:line="238" w:lineRule="auto"/>
        <w:rPr>
          <w:sz w:val="20"/>
          <w:szCs w:val="20"/>
          <w:color w:val="auto"/>
        </w:rPr>
      </w:pPr>
      <w:r>
        <w:rPr>
          <w:rFonts w:ascii="Courier New" w:cs="Courier New" w:eastAsia="Courier New" w:hAnsi="Courier New"/>
          <w:sz w:val="18"/>
          <w:szCs w:val="18"/>
          <w:color w:val="auto"/>
        </w:rPr>
        <w:t>(I.R.S. Employer</w:t>
      </w:r>
    </w:p>
    <w:p>
      <w:pPr>
        <w:ind w:left="1060"/>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GREGORY T. SANGALIS</w:t>
      </w:r>
    </w:p>
    <w:p>
      <w:pPr>
        <w:ind w:left="640"/>
        <w:spacing w:after="0" w:line="238" w:lineRule="auto"/>
        <w:rPr>
          <w:sz w:val="20"/>
          <w:szCs w:val="20"/>
          <w:color w:val="auto"/>
        </w:rPr>
      </w:pPr>
      <w:r>
        <w:rPr>
          <w:rFonts w:ascii="Courier New" w:cs="Courier New" w:eastAsia="Courier New" w:hAnsi="Courier New"/>
          <w:sz w:val="18"/>
          <w:szCs w:val="18"/>
          <w:color w:val="auto"/>
        </w:rPr>
        <w:t>5000 QUORUM DRIVE, SUITE 300</w:t>
      </w:r>
    </w:p>
    <w:p>
      <w:pPr>
        <w:ind w:left="1060"/>
        <w:spacing w:after="0"/>
        <w:rPr>
          <w:sz w:val="20"/>
          <w:szCs w:val="20"/>
          <w:color w:val="auto"/>
        </w:rPr>
      </w:pPr>
      <w:r>
        <w:rPr>
          <w:rFonts w:ascii="Courier New" w:cs="Courier New" w:eastAsia="Courier New" w:hAnsi="Courier New"/>
          <w:sz w:val="18"/>
          <w:szCs w:val="18"/>
          <w:color w:val="auto"/>
        </w:rPr>
        <w:t>DALLAS, TEXAS 75240</w:t>
      </w:r>
    </w:p>
    <w:p>
      <w:pPr>
        <w:ind w:left="1380"/>
        <w:spacing w:after="0" w:line="237" w:lineRule="auto"/>
        <w:rPr>
          <w:sz w:val="20"/>
          <w:szCs w:val="20"/>
          <w:color w:val="auto"/>
        </w:rPr>
      </w:pPr>
      <w:r>
        <w:rPr>
          <w:rFonts w:ascii="Courier New" w:cs="Courier New" w:eastAsia="Courier New" w:hAnsi="Courier New"/>
          <w:sz w:val="18"/>
          <w:szCs w:val="18"/>
          <w:color w:val="auto"/>
        </w:rPr>
        <w:t>(214) 383-7900</w:t>
      </w:r>
    </w:p>
    <w:p>
      <w:pPr>
        <w:spacing w:after="0" w:line="238" w:lineRule="auto"/>
        <w:rPr>
          <w:sz w:val="20"/>
          <w:szCs w:val="20"/>
          <w:color w:val="auto"/>
        </w:rPr>
      </w:pPr>
      <w:r>
        <w:rPr>
          <w:rFonts w:ascii="Courier New" w:cs="Courier New" w:eastAsia="Courier New" w:hAnsi="Courier New"/>
          <w:sz w:val="18"/>
          <w:szCs w:val="18"/>
          <w:color w:val="auto"/>
        </w:rPr>
        <w:t>(Name, address, including zip code, and</w:t>
      </w:r>
    </w:p>
    <w:p>
      <w:pPr>
        <w:ind w:left="1160"/>
        <w:spacing w:after="0"/>
        <w:rPr>
          <w:sz w:val="20"/>
          <w:szCs w:val="20"/>
          <w:color w:val="auto"/>
        </w:rPr>
      </w:pPr>
      <w:r>
        <w:rPr>
          <w:rFonts w:ascii="Courier New" w:cs="Courier New" w:eastAsia="Courier New" w:hAnsi="Courier New"/>
          <w:sz w:val="18"/>
          <w:szCs w:val="18"/>
          <w:color w:val="auto"/>
        </w:rPr>
        <w:t>telephone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418" w:lineRule="exact"/>
        <w:rPr>
          <w:sz w:val="24"/>
          <w:szCs w:val="24"/>
          <w:color w:val="auto"/>
        </w:rPr>
      </w:pPr>
    </w:p>
    <w:p>
      <w:pPr>
        <w:sectPr>
          <w:pgSz w:w="11900" w:h="16854" w:orient="portrait"/>
          <w:cols w:equalWidth="0" w:num="2">
            <w:col w:w="4860" w:space="300"/>
            <w:col w:w="5059"/>
          </w:cols>
          <w:pgMar w:left="240" w:top="244" w:right="1440" w:bottom="0" w:gutter="0" w:footer="0" w:header="0"/>
          <w:type w:val="continuous"/>
        </w:sectPr>
      </w:pPr>
    </w:p>
    <w:p>
      <w:pPr>
        <w:spacing w:after="0" w:line="20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32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Copies to:</w:t>
            </w:r>
          </w:p>
        </w:tc>
        <w:tc>
          <w:tcPr>
            <w:tcW w:w="3220" w:type="dxa"/>
            <w:vAlign w:val="bottom"/>
          </w:tcPr>
          <w:p>
            <w:pPr>
              <w:spacing w:after="0"/>
              <w:rPr>
                <w:sz w:val="17"/>
                <w:szCs w:val="17"/>
                <w:color w:val="auto"/>
              </w:rPr>
            </w:pPr>
          </w:p>
        </w:tc>
      </w:tr>
      <w:tr>
        <w:trPr>
          <w:trHeight w:val="810"/>
        </w:trPr>
        <w:tc>
          <w:tcPr>
            <w:tcW w:w="5540" w:type="dxa"/>
            <w:vAlign w:val="bottom"/>
            <w:gridSpan w:val="2"/>
          </w:tcPr>
          <w:p>
            <w:pPr>
              <w:jc w:val="center"/>
              <w:ind w:right="712"/>
              <w:spacing w:after="0"/>
              <w:rPr>
                <w:sz w:val="20"/>
                <w:szCs w:val="20"/>
                <w:color w:val="auto"/>
              </w:rPr>
            </w:pPr>
            <w:r>
              <w:rPr>
                <w:rFonts w:ascii="Courier New" w:cs="Courier New" w:eastAsia="Courier New" w:hAnsi="Courier New"/>
                <w:sz w:val="18"/>
                <w:szCs w:val="18"/>
                <w:color w:val="auto"/>
                <w:w w:val="97"/>
              </w:rPr>
              <w:t>DAVID J. GRAHAM</w:t>
            </w:r>
          </w:p>
        </w:tc>
        <w:tc>
          <w:tcPr>
            <w:tcW w:w="32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THOMAS J. MURPHY</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ANDREWS &amp;</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KURTH L.L.P.</w:t>
            </w:r>
          </w:p>
        </w:tc>
        <w:tc>
          <w:tcPr>
            <w:tcW w:w="3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MCDERMOTT, WILL &amp; EMERY</w:t>
            </w:r>
          </w:p>
        </w:tc>
      </w:tr>
      <w:tr>
        <w:trPr>
          <w:trHeight w:val="203"/>
        </w:trPr>
        <w:tc>
          <w:tcPr>
            <w:tcW w:w="5540" w:type="dxa"/>
            <w:vAlign w:val="bottom"/>
            <w:gridSpan w:val="2"/>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4200 TEXAS COMMERCE TOWER</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227 WEST MONROE STREET</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TEXAS 77002</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CHICAGO, ILLINOIS 60606-5096</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220-4200</w:t>
            </w:r>
          </w:p>
        </w:tc>
        <w:tc>
          <w:tcPr>
            <w:tcW w:w="32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(312) 984-2069</w:t>
            </w:r>
          </w:p>
        </w:tc>
      </w:tr>
      <w:tr>
        <w:trPr>
          <w:trHeight w:val="608"/>
        </w:trPr>
        <w:tc>
          <w:tcPr>
            <w:tcW w:w="2280" w:type="dxa"/>
            <w:vAlign w:val="bottom"/>
          </w:tcPr>
          <w:p>
            <w:pPr>
              <w:spacing w:after="0"/>
              <w:rPr>
                <w:sz w:val="24"/>
                <w:szCs w:val="24"/>
                <w:color w:val="auto"/>
              </w:rPr>
            </w:pPr>
          </w:p>
        </w:tc>
        <w:tc>
          <w:tcPr>
            <w:tcW w:w="326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spacing w:after="0"/>
              <w:rPr>
                <w:sz w:val="24"/>
                <w:szCs w:val="24"/>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APPROXIMATE DATE</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COMMENCEMENT OF PROPOSED SALE TO THE PUBLIC: As soon as</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practicable after the</w:t>
            </w:r>
          </w:p>
        </w:tc>
        <w:tc>
          <w:tcPr>
            <w:tcW w:w="6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Registration Statement becomes effective.</w:t>
            </w:r>
          </w:p>
        </w:tc>
      </w:tr>
    </w:tbl>
    <w:p>
      <w:pPr>
        <w:spacing w:after="0" w:line="207"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854" w:orient="portrait"/>
          <w:cols w:equalWidth="0" w:num="1">
            <w:col w:w="10219"/>
          </w:cols>
          <w:pgMar w:left="240" w:top="244" w:right="1440" w:bottom="0" w:gutter="0" w:footer="0" w:header="0"/>
          <w:type w:val="continuous"/>
        </w:sectPr>
      </w:pPr>
    </w:p>
    <w:bookmarkStart w:id="1" w:name="page2"/>
    <w:bookmarkEnd w:id="1"/>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amendment is being filed with the Securities and Exchange Commission by USA Waste Services, Inc. ("the Company") solely to file an exhibit to the Company's Registration Statement on Form S-3. Accordingly, the Prospectus which forms a part of the Registration Statement is not included in this amendment.</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expenses to be paid by the registrant in connection with this offering other than underwriting discounts and commissions are estimated as follows:</w:t>
      </w:r>
    </w:p>
    <w:p>
      <w:pPr>
        <w:spacing w:after="0" w:line="200" w:lineRule="exact"/>
        <w:rPr>
          <w:sz w:val="20"/>
          <w:szCs w:val="20"/>
          <w:color w:val="auto"/>
        </w:rPr>
      </w:pPr>
    </w:p>
    <w:p>
      <w:pPr>
        <w:spacing w:after="0" w:line="369"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9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$ 41,280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NASD filing fee...........................................................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12,471</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NYSE fees.................................................................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and engraving....................................................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services.......................................................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services............................................................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Transfer agent and registrar fees.........................................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71,249</w:t>
            </w:r>
          </w:p>
        </w:tc>
      </w:tr>
      <w:tr>
        <w:trPr>
          <w:trHeight w:val="203"/>
        </w:trPr>
        <w:tc>
          <w:tcPr>
            <w:tcW w:w="79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$550,000</w:t>
            </w:r>
          </w:p>
        </w:tc>
      </w:tr>
      <w:tr>
        <w:trPr>
          <w:trHeight w:val="203"/>
        </w:trPr>
        <w:tc>
          <w:tcPr>
            <w:tcW w:w="79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Certificate of Incorporation and Bylaws contain provisions permitted by the Delaware Corporation Law (under which the Company is organized) which, in general terms, provide that directors and officers will be indemnified by the Company for all losses that may be incurred by them in connection with any claim or legal action in which they may become involved by reason of their service as a director or officer of the Company, if they meet certain specified conditions. In addition, the Company's Certificate of Incorporation contains provisions permitted by the Delaware General Corporation Law, which limit the monetary liability of directors of the Company for certain breaches of their fiduciary duty of care and provide for the advancement by the Company to directors and officers of expenses incurred by them in defending suits arising out of their service as such. The Company has also entered into agreements with its officers and directors which essentially provide that the Company will indemnify the officers and directors to the extent set forth in the Certificate of Incorporation and Bylaws of the Company. In addition, the Company maintains a directors' and officers' liability insurance policy.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instruments are included as exhibits to this Registration Statement and are filed herewith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Form of</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Underwriting</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Agreement.</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Opinion</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Andrews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Kurth</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23.1</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Andrews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Kurth</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L.L.P. (included in Exhibit 5.1).</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23.2</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Coopers</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Lybrand</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23.3</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2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of Deloitte &amp; Touche</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23.4</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Consent</w:t>
            </w:r>
          </w:p>
        </w:tc>
        <w:tc>
          <w:tcPr>
            <w:tcW w:w="2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of Arthur Andersen</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24.1</w:t>
            </w:r>
          </w:p>
        </w:tc>
        <w:tc>
          <w:tcPr>
            <w:tcW w:w="2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Powers of attorney</w:t>
            </w:r>
          </w:p>
        </w:tc>
        <w:tc>
          <w:tcPr>
            <w:tcW w:w="1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(included</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on the signature page contained in Part II</w:t>
            </w:r>
          </w:p>
        </w:tc>
      </w:tr>
      <w:tr>
        <w:trPr>
          <w:trHeight w:val="203"/>
        </w:trPr>
        <w:tc>
          <w:tcPr>
            <w:tcW w:w="740" w:type="dxa"/>
            <w:vAlign w:val="bottom"/>
          </w:tcPr>
          <w:p>
            <w:pPr>
              <w:spacing w:after="0"/>
              <w:rPr>
                <w:sz w:val="17"/>
                <w:szCs w:val="17"/>
                <w:color w:val="auto"/>
              </w:rPr>
            </w:pPr>
          </w:p>
        </w:tc>
        <w:tc>
          <w:tcPr>
            <w:tcW w:w="7800" w:type="dxa"/>
            <w:vAlign w:val="bottom"/>
            <w:gridSpan w:val="6"/>
          </w:tcPr>
          <w:p>
            <w:pPr>
              <w:ind w:left="320"/>
              <w:spacing w:after="0" w:line="203" w:lineRule="exact"/>
              <w:rPr>
                <w:sz w:val="20"/>
                <w:szCs w:val="20"/>
                <w:color w:val="auto"/>
              </w:rPr>
            </w:pPr>
            <w:r>
              <w:rPr>
                <w:rFonts w:ascii="Courier New" w:cs="Courier New" w:eastAsia="Courier New" w:hAnsi="Courier New"/>
                <w:sz w:val="18"/>
                <w:szCs w:val="18"/>
                <w:color w:val="auto"/>
              </w:rPr>
              <w:t>of this Registration Statement).</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undertakes that, for purposes of determining any liability under the Securities Act of 1933, each filing of the Company's annual report pursuant to Section 13(a) or Section 15(d) of the Securities Exchange Act of 1934 that is incorporated by reference in this Registration Statement shall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of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hereby undertakes that:</w:t>
      </w:r>
    </w:p>
    <w:p>
      <w:pPr>
        <w:spacing w:after="0" w:line="207" w:lineRule="exact"/>
        <w:rPr>
          <w:sz w:val="20"/>
          <w:szCs w:val="20"/>
          <w:color w:val="auto"/>
        </w:rPr>
      </w:pPr>
    </w:p>
    <w:p>
      <w:pPr>
        <w:ind w:left="540" w:right="1779" w:firstLine="521"/>
        <w:spacing w:after="0" w:line="272" w:lineRule="auto"/>
        <w:tabs>
          <w:tab w:leader="none" w:pos="14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Company pursuant to Rule 424(b)(1) or (4) or 497(h) under the Securities Act of 1933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ind w:left="540" w:right="1779" w:firstLine="521"/>
        <w:spacing w:after="0" w:line="273" w:lineRule="auto"/>
        <w:tabs>
          <w:tab w:leader="none" w:pos="14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September 25, 1995.</w:t>
      </w:r>
    </w:p>
    <w:p>
      <w:pPr>
        <w:spacing w:after="0" w:line="38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4640"/>
        <w:spacing w:after="0"/>
        <w:tabs>
          <w:tab w:leader="none" w:pos="5140" w:val="left"/>
          <w:tab w:leader="none" w:pos="56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JOHN E. DRURY</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jc w:val="center"/>
        <w:ind w:left="1340"/>
        <w:spacing w:after="0"/>
        <w:rPr>
          <w:sz w:val="20"/>
          <w:szCs w:val="20"/>
          <w:color w:val="auto"/>
        </w:rPr>
      </w:pPr>
      <w:r>
        <w:rPr>
          <w:rFonts w:ascii="Courier New" w:cs="Courier New" w:eastAsia="Courier New" w:hAnsi="Courier New"/>
          <w:sz w:val="18"/>
          <w:szCs w:val="18"/>
          <w:color w:val="auto"/>
        </w:rPr>
        <w:t>John E. Drury</w:t>
      </w:r>
    </w:p>
    <w:p>
      <w:pPr>
        <w:jc w:val="center"/>
        <w:ind w:left="13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10"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below and on September 25,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0"/>
        <w:spacing w:after="0"/>
        <w:tabs>
          <w:tab w:leader="none" w:pos="71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TITLE</w:t>
      </w:r>
    </w:p>
    <w:p>
      <w:pPr>
        <w:spacing w:after="0"/>
        <w:tabs>
          <w:tab w:leader="none" w:pos="5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280"/>
        <w:spacing w:after="0"/>
        <w:tabs>
          <w:tab w:leader="none" w:pos="1780" w:val="left"/>
          <w:tab w:leader="none" w:pos="5040" w:val="left"/>
        </w:tabs>
        <w:rPr>
          <w:sz w:val="20"/>
          <w:szCs w:val="20"/>
          <w:color w:val="auto"/>
        </w:rPr>
      </w:pPr>
      <w:r>
        <w:rPr>
          <w:rFonts w:ascii="Courier New" w:cs="Courier New" w:eastAsia="Courier New" w:hAnsi="Courier New"/>
          <w:sz w:val="18"/>
          <w:szCs w:val="18"/>
          <w:color w:val="auto"/>
        </w:rPr>
        <w:t>/s/</w:t>
        <w:tab/>
        <w:t>JOHN E. DRURY</w:t>
      </w:r>
      <w:r>
        <w:rPr>
          <w:sz w:val="20"/>
          <w:szCs w:val="20"/>
          <w:color w:val="auto"/>
        </w:rPr>
        <w:tab/>
      </w:r>
      <w:r>
        <w:rPr>
          <w:rFonts w:ascii="Courier New" w:cs="Courier New" w:eastAsia="Courier New" w:hAnsi="Courier New"/>
          <w:sz w:val="16"/>
          <w:szCs w:val="16"/>
          <w:color w:val="auto"/>
        </w:rPr>
        <w:t>Chief Executive Officer and Chairman of the</w:t>
      </w:r>
    </w:p>
    <w:p>
      <w:pPr>
        <w:ind w:left="5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Board of Directors</w:t>
      </w:r>
    </w:p>
    <w:p>
      <w:pPr>
        <w:ind w:left="1700"/>
        <w:spacing w:after="0"/>
        <w:rPr>
          <w:sz w:val="20"/>
          <w:szCs w:val="20"/>
          <w:color w:val="auto"/>
        </w:rPr>
      </w:pPr>
      <w:r>
        <w:rPr>
          <w:rFonts w:ascii="Courier New" w:cs="Courier New" w:eastAsia="Courier New" w:hAnsi="Courier New"/>
          <w:sz w:val="18"/>
          <w:szCs w:val="18"/>
          <w:color w:val="auto"/>
        </w:rPr>
        <w:t>John E. Drury</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Vice Chairman of the Board of Directors and</w:t>
      </w:r>
    </w:p>
    <w:p>
      <w:pPr>
        <w:ind w:left="5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Chief Development Officer</w:t>
      </w:r>
    </w:p>
    <w:p>
      <w:pPr>
        <w:ind w:left="1280"/>
        <w:spacing w:after="0"/>
        <w:rPr>
          <w:sz w:val="20"/>
          <w:szCs w:val="20"/>
          <w:color w:val="auto"/>
        </w:rPr>
      </w:pPr>
      <w:r>
        <w:rPr>
          <w:rFonts w:ascii="Courier New" w:cs="Courier New" w:eastAsia="Courier New" w:hAnsi="Courier New"/>
          <w:sz w:val="18"/>
          <w:szCs w:val="18"/>
          <w:color w:val="auto"/>
        </w:rPr>
        <w:t>Donald F. Moorehead, Jr.</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Vice Chairman of the Board of Directors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President, Chief Operating Officer and</w:t>
      </w:r>
    </w:p>
    <w:p>
      <w:pPr>
        <w:ind w:left="5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1160"/>
        <w:spacing w:after="0"/>
        <w:rPr>
          <w:sz w:val="20"/>
          <w:szCs w:val="20"/>
          <w:color w:val="auto"/>
        </w:rPr>
      </w:pPr>
      <w:r>
        <w:rPr>
          <w:rFonts w:ascii="Courier New" w:cs="Courier New" w:eastAsia="Courier New" w:hAnsi="Courier New"/>
          <w:sz w:val="18"/>
          <w:szCs w:val="18"/>
          <w:color w:val="auto"/>
        </w:rPr>
        <w:t>David Sutherland-Yoest</w:t>
      </w:r>
    </w:p>
    <w:p>
      <w:pPr>
        <w:spacing w:after="0" w:line="200" w:lineRule="exact"/>
        <w:rPr>
          <w:sz w:val="20"/>
          <w:szCs w:val="20"/>
          <w:color w:val="auto"/>
        </w:rPr>
      </w:pPr>
    </w:p>
    <w:p>
      <w:pPr>
        <w:ind w:left="1280"/>
        <w:spacing w:after="0"/>
        <w:tabs>
          <w:tab w:leader="none" w:pos="1780" w:val="left"/>
          <w:tab w:leader="none" w:pos="5040" w:val="left"/>
        </w:tabs>
        <w:rPr>
          <w:sz w:val="20"/>
          <w:szCs w:val="20"/>
          <w:color w:val="auto"/>
        </w:rPr>
      </w:pPr>
      <w:r>
        <w:rPr>
          <w:rFonts w:ascii="Courier New" w:cs="Courier New" w:eastAsia="Courier New" w:hAnsi="Courier New"/>
          <w:sz w:val="18"/>
          <w:szCs w:val="18"/>
          <w:color w:val="auto"/>
        </w:rPr>
        <w:t>/s/</w:t>
        <w:tab/>
        <w:t>EARL E. DeFRATES</w:t>
      </w:r>
      <w:r>
        <w:rPr>
          <w:sz w:val="20"/>
          <w:szCs w:val="20"/>
          <w:color w:val="auto"/>
        </w:rPr>
        <w:tab/>
      </w:r>
      <w:r>
        <w:rPr>
          <w:rFonts w:ascii="Courier New" w:cs="Courier New" w:eastAsia="Courier New" w:hAnsi="Courier New"/>
          <w:sz w:val="16"/>
          <w:szCs w:val="16"/>
          <w:color w:val="auto"/>
        </w:rPr>
        <w:t>Executive Vice President and Chief Financial</w:t>
      </w:r>
    </w:p>
    <w:p>
      <w:pPr>
        <w:ind w:left="5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Officer</w:t>
      </w:r>
    </w:p>
    <w:p>
      <w:pPr>
        <w:ind w:left="1480"/>
        <w:spacing w:after="0"/>
        <w:rPr>
          <w:sz w:val="20"/>
          <w:szCs w:val="20"/>
          <w:color w:val="auto"/>
        </w:rPr>
      </w:pPr>
      <w:r>
        <w:rPr>
          <w:rFonts w:ascii="Courier New" w:cs="Courier New" w:eastAsia="Courier New" w:hAnsi="Courier New"/>
          <w:sz w:val="18"/>
          <w:szCs w:val="18"/>
          <w:color w:val="auto"/>
        </w:rPr>
        <w:t>Earl E. DeFrates</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Executive Vice President and Director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Vice President, Corporate Controller and</w:t>
      </w:r>
    </w:p>
    <w:p>
      <w:pPr>
        <w:ind w:left="5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Chief Accounting Officer</w:t>
      </w:r>
    </w:p>
    <w:p>
      <w:pPr>
        <w:ind w:left="1580"/>
        <w:spacing w:after="0"/>
        <w:rPr>
          <w:sz w:val="20"/>
          <w:szCs w:val="20"/>
          <w:color w:val="auto"/>
        </w:rPr>
      </w:pPr>
      <w:r>
        <w:rPr>
          <w:rFonts w:ascii="Courier New" w:cs="Courier New" w:eastAsia="Courier New" w:hAnsi="Courier New"/>
          <w:sz w:val="18"/>
          <w:szCs w:val="18"/>
          <w:color w:val="auto"/>
        </w:rPr>
        <w:t>Bruce E. Snyder</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George L. Ball</w:t>
      </w:r>
    </w:p>
    <w:p>
      <w:pPr>
        <w:spacing w:after="0" w:line="200" w:lineRule="exact"/>
        <w:rPr>
          <w:sz w:val="20"/>
          <w:szCs w:val="20"/>
          <w:color w:val="auto"/>
        </w:rPr>
      </w:pPr>
    </w:p>
    <w:p>
      <w:pPr>
        <w:ind w:left="22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Peter J. Gibbons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60" w:space="320"/>
            <w:col w:w="4939"/>
          </w:cols>
          <w:pgMar w:left="240" w:top="317" w:right="1440" w:bottom="1440" w:gutter="0" w:footer="0" w:header="0"/>
          <w:type w:val="continuous"/>
        </w:sectPr>
      </w:pPr>
    </w:p>
    <w:p>
      <w:pPr>
        <w:spacing w:after="0" w:line="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Richard J. Heckmann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317" w:right="1440" w:bottom="1440" w:gutter="0" w:footer="0" w:header="0"/>
          <w:type w:val="continuous"/>
        </w:sectPr>
      </w:pP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William E. Moffett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317" w:right="1440" w:bottom="144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Earl E. DeFrates</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17"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Courier New" w:cs="Courier New" w:eastAsia="Courier New" w:hAnsi="Courier New"/>
                <w:sz w:val="18"/>
                <w:szCs w:val="18"/>
                <w:color w:val="auto"/>
              </w:rPr>
              <w:t>INDEX TO EXHIBITS</w:t>
            </w:r>
          </w:p>
        </w:tc>
        <w:tc>
          <w:tcPr>
            <w:tcW w:w="1480" w:type="dxa"/>
            <w:vAlign w:val="bottom"/>
          </w:tcPr>
          <w:p>
            <w:pPr>
              <w:spacing w:after="0"/>
              <w:rPr>
                <w:sz w:val="17"/>
                <w:szCs w:val="17"/>
                <w:color w:val="auto"/>
              </w:rPr>
            </w:pPr>
          </w:p>
        </w:tc>
      </w:tr>
      <w:tr>
        <w:trPr>
          <w:trHeight w:val="810"/>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SEQUENTIALLY</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NUMBERED</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c>
          <w:tcPr>
            <w:tcW w:w="7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Form of</w:t>
            </w:r>
          </w:p>
        </w:tc>
        <w:tc>
          <w:tcPr>
            <w:tcW w:w="1320" w:type="dxa"/>
            <w:vAlign w:val="bottom"/>
          </w:tcPr>
          <w:p>
            <w:pPr>
              <w:ind w:left="40"/>
              <w:spacing w:after="0"/>
              <w:rPr>
                <w:sz w:val="20"/>
                <w:szCs w:val="20"/>
                <w:color w:val="auto"/>
              </w:rPr>
            </w:pPr>
            <w:r>
              <w:rPr>
                <w:rFonts w:ascii="Courier New" w:cs="Courier New" w:eastAsia="Courier New" w:hAnsi="Courier New"/>
                <w:sz w:val="18"/>
                <w:szCs w:val="18"/>
                <w:color w:val="auto"/>
                <w:w w:val="97"/>
              </w:rPr>
              <w:t>Underwriting</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Agreement.</w:t>
            </w:r>
          </w:p>
        </w:tc>
        <w:tc>
          <w:tcPr>
            <w:tcW w:w="1480" w:type="dxa"/>
            <w:vAlign w:val="bottom"/>
          </w:tcPr>
          <w:p>
            <w:pPr>
              <w:spacing w:after="0"/>
              <w:rPr>
                <w:sz w:val="24"/>
                <w:szCs w:val="24"/>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Opinion</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Andrews &amp;</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Kurth L.L.P.</w:t>
            </w:r>
          </w:p>
        </w:tc>
        <w:tc>
          <w:tcPr>
            <w:tcW w:w="1480" w:type="dxa"/>
            <w:vAlign w:val="bottom"/>
          </w:tcPr>
          <w:p>
            <w:pPr>
              <w:spacing w:after="0"/>
              <w:rPr>
                <w:sz w:val="17"/>
                <w:szCs w:val="17"/>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23.1</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Andrews &amp;</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Kurth L.L.P. (included in Exhibit 5.1).</w:t>
            </w:r>
          </w:p>
        </w:tc>
        <w:tc>
          <w:tcPr>
            <w:tcW w:w="1480" w:type="dxa"/>
            <w:vAlign w:val="bottom"/>
          </w:tcPr>
          <w:p>
            <w:pPr>
              <w:spacing w:after="0"/>
              <w:rPr>
                <w:sz w:val="17"/>
                <w:szCs w:val="17"/>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Coopers &amp;</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Lybrand L.L.P.</w:t>
            </w:r>
          </w:p>
        </w:tc>
        <w:tc>
          <w:tcPr>
            <w:tcW w:w="1480" w:type="dxa"/>
            <w:vAlign w:val="bottom"/>
          </w:tcPr>
          <w:p>
            <w:pPr>
              <w:spacing w:after="0"/>
              <w:rPr>
                <w:sz w:val="17"/>
                <w:szCs w:val="17"/>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Deloitte &amp; Touche LLP.</w:t>
            </w:r>
          </w:p>
        </w:tc>
        <w:tc>
          <w:tcPr>
            <w:tcW w:w="1480" w:type="dxa"/>
            <w:vAlign w:val="bottom"/>
          </w:tcPr>
          <w:p>
            <w:pPr>
              <w:spacing w:after="0"/>
              <w:rPr>
                <w:sz w:val="17"/>
                <w:szCs w:val="17"/>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Consent</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Arthur Andersen LLP.</w:t>
            </w:r>
          </w:p>
        </w:tc>
        <w:tc>
          <w:tcPr>
            <w:tcW w:w="1480" w:type="dxa"/>
            <w:vAlign w:val="bottom"/>
          </w:tcPr>
          <w:p>
            <w:pPr>
              <w:spacing w:after="0"/>
              <w:rPr>
                <w:sz w:val="17"/>
                <w:szCs w:val="17"/>
                <w:color w:val="auto"/>
              </w:rPr>
            </w:pPr>
          </w:p>
        </w:tc>
      </w:tr>
      <w:tr>
        <w:trPr>
          <w:trHeight w:val="203"/>
        </w:trPr>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24.1</w:t>
            </w:r>
          </w:p>
        </w:tc>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Powers of attorney (included on the signature page contained in Part II</w:t>
            </w:r>
          </w:p>
        </w:tc>
        <w:tc>
          <w:tcPr>
            <w:tcW w:w="148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this</w:t>
            </w:r>
          </w:p>
        </w:tc>
        <w:tc>
          <w:tcPr>
            <w:tcW w:w="1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Statement).</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ectPr>
          <w:pgSz w:w="11900" w:h="16838" w:orient="portrait"/>
          <w:cols w:equalWidth="0" w:num="1">
            <w:col w:w="10440"/>
          </w:cols>
          <w:pgMar w:left="240" w:top="312" w:right="1219"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ind w:left="6960"/>
        <w:spacing w:after="0" w:line="238" w:lineRule="auto"/>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5,137,500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_______________, 1995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DEUTSCHE MORGAN GRENFELL/</w:t>
      </w:r>
    </w:p>
    <w:p>
      <w:pPr>
        <w:ind w:left="220"/>
        <w:spacing w:after="0" w:line="237" w:lineRule="auto"/>
        <w:rPr>
          <w:sz w:val="20"/>
          <w:szCs w:val="20"/>
          <w:color w:val="auto"/>
        </w:rPr>
      </w:pPr>
      <w:r>
        <w:rPr>
          <w:rFonts w:ascii="Courier New" w:cs="Courier New" w:eastAsia="Courier New" w:hAnsi="Courier New"/>
          <w:sz w:val="18"/>
          <w:szCs w:val="18"/>
          <w:color w:val="auto"/>
        </w:rPr>
        <w:t>C.J. LAWRENCE INC.</w:t>
      </w:r>
    </w:p>
    <w:p>
      <w:pPr>
        <w:spacing w:after="0" w:line="238" w:lineRule="auto"/>
        <w:rPr>
          <w:sz w:val="20"/>
          <w:szCs w:val="20"/>
          <w:color w:val="auto"/>
        </w:rPr>
      </w:pPr>
      <w:r>
        <w:rPr>
          <w:rFonts w:ascii="Courier New" w:cs="Courier New" w:eastAsia="Courier New" w:hAnsi="Courier New"/>
          <w:sz w:val="18"/>
          <w:szCs w:val="18"/>
          <w:color w:val="auto"/>
        </w:rPr>
        <w:t>SMITH BARNEY INC.</w:t>
      </w:r>
    </w:p>
    <w:p>
      <w:pPr>
        <w:ind w:left="220"/>
        <w:spacing w:after="0"/>
        <w:rPr>
          <w:sz w:val="20"/>
          <w:szCs w:val="20"/>
          <w:color w:val="auto"/>
        </w:rPr>
      </w:pPr>
      <w:r>
        <w:rPr>
          <w:rFonts w:ascii="Courier New" w:cs="Courier New" w:eastAsia="Courier New" w:hAnsi="Courier New"/>
          <w:sz w:val="18"/>
          <w:szCs w:val="18"/>
          <w:color w:val="auto"/>
        </w:rPr>
        <w:t>As representatives of the</w:t>
      </w:r>
    </w:p>
    <w:p>
      <w:pPr>
        <w:ind w:left="420"/>
        <w:spacing w:after="0" w:line="237" w:lineRule="auto"/>
        <w:rPr>
          <w:sz w:val="20"/>
          <w:szCs w:val="20"/>
          <w:color w:val="auto"/>
        </w:rPr>
      </w:pPr>
      <w:r>
        <w:rPr>
          <w:rFonts w:ascii="Courier New" w:cs="Courier New" w:eastAsia="Courier New" w:hAnsi="Courier New"/>
          <w:sz w:val="18"/>
          <w:szCs w:val="18"/>
          <w:color w:val="auto"/>
        </w:rPr>
        <w:t>several underwriters</w:t>
      </w:r>
    </w:p>
    <w:p>
      <w:pPr>
        <w:ind w:left="420"/>
        <w:spacing w:after="0"/>
        <w:rPr>
          <w:sz w:val="20"/>
          <w:szCs w:val="20"/>
          <w:color w:val="auto"/>
        </w:rPr>
      </w:pPr>
      <w:r>
        <w:rPr>
          <w:rFonts w:ascii="Courier New" w:cs="Courier New" w:eastAsia="Courier New" w:hAnsi="Courier New"/>
          <w:sz w:val="18"/>
          <w:szCs w:val="18"/>
          <w:color w:val="auto"/>
        </w:rPr>
        <w:t>named in Schedule I hereto</w:t>
      </w:r>
    </w:p>
    <w:p>
      <w:pPr>
        <w:jc w:val="right"/>
        <w:ind w:right="6639"/>
        <w:spacing w:after="0" w:line="237" w:lineRule="auto"/>
        <w:rPr>
          <w:sz w:val="20"/>
          <w:szCs w:val="20"/>
          <w:color w:val="auto"/>
        </w:rPr>
      </w:pPr>
      <w:r>
        <w:rPr>
          <w:rFonts w:ascii="Courier New" w:cs="Courier New" w:eastAsia="Courier New" w:hAnsi="Courier New"/>
          <w:sz w:val="18"/>
          <w:szCs w:val="18"/>
          <w:color w:val="auto"/>
        </w:rPr>
        <w:t>c/o Donaldson, Lufkin &amp; Jenrette</w:t>
      </w:r>
    </w:p>
    <w:p>
      <w:pPr>
        <w:jc w:val="right"/>
        <w:ind w:right="6639"/>
        <w:spacing w:after="0"/>
        <w:rPr>
          <w:sz w:val="20"/>
          <w:szCs w:val="20"/>
          <w:color w:val="auto"/>
        </w:rPr>
      </w:pPr>
      <w:r>
        <w:rPr>
          <w:rFonts w:ascii="Courier New" w:cs="Courier New" w:eastAsia="Courier New" w:hAnsi="Courier New"/>
          <w:sz w:val="18"/>
          <w:szCs w:val="18"/>
          <w:color w:val="auto"/>
        </w:rPr>
        <w:t>Securities Corporation</w:t>
      </w:r>
    </w:p>
    <w:p>
      <w:pPr>
        <w:ind w:left="1060"/>
        <w:spacing w:after="0" w:line="237" w:lineRule="auto"/>
        <w:rPr>
          <w:sz w:val="20"/>
          <w:szCs w:val="20"/>
          <w:color w:val="auto"/>
        </w:rPr>
      </w:pPr>
      <w:r>
        <w:rPr>
          <w:rFonts w:ascii="Courier New" w:cs="Courier New" w:eastAsia="Courier New" w:hAnsi="Courier New"/>
          <w:sz w:val="18"/>
          <w:szCs w:val="18"/>
          <w:color w:val="auto"/>
        </w:rPr>
        <w:t>140 Broadway</w:t>
      </w:r>
    </w:p>
    <w:p>
      <w:pPr>
        <w:ind w:left="106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New York</w:t>
        <w:tab/>
        <w:t>10005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USA Waste Services, Inc., a Delaware corporation (the "Company"), and the stockholder of the Company named in Schedule II hereto, (collectively, the "Selling Stockholder"), severally propose to sell an aggregate of 5,137,500 shares of Common Stock, $.01 par value, of the Company (the "Firm Shares"), to the several underwriters named in Schedule I hereto (the "Underwriters"). The Firm Shares consist of 5,000,000 shares to be issued and sold by the Company and 137,500 outstanding shares to be sold by the Selling Stockholder. The Company also proposes to issue and sell to the several Underwriters not more than</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770,625 additional shares of Common Stock, $.01 par value, of the Company (the "Additional Shares"), if requested by the Underwriters as provided in Section 2 hereof. The Firm Shares and the Additional Shares are herein collectively called the Shares. The shares of common stock of the Company to be outstanding after giving effect to the sales contemplated hereby are hereinafter referred to as the Common Stock. The Company and the Selling Stockholder are hereinafter collectively called the Sellers.</w:t>
      </w:r>
    </w:p>
    <w:p>
      <w:pPr>
        <w:spacing w:after="0" w:line="211" w:lineRule="exact"/>
        <w:rPr>
          <w:sz w:val="20"/>
          <w:szCs w:val="20"/>
          <w:color w:val="auto"/>
        </w:rPr>
      </w:pPr>
    </w:p>
    <w:p>
      <w:pPr>
        <w:ind w:right="1879" w:firstLine="1799"/>
        <w:spacing w:after="0" w:line="238" w:lineRule="auto"/>
        <w:tabs>
          <w:tab w:leader="none" w:pos="22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33-_____), including a preliminary prospectus relating to the Shares, which may be amended. The registration statement as amended on the date it became effective, on the one hand, and the prospectus constituting a part thereof in the form first used to confirm sales of Shares, on the other hand (including (a) the information (if any) deemed to be part of the registration statement at the time of effectiveness pursuant to Rule 430A or Rule 434 under the Act, and (b) any documents or information incorporated or deemed to be incorporated by reference into such registration statement or prospectus), are hereinafter referred to as the "Registration Statement" and the "Prospectus", respectively. Any registration statement (including any amendment or supplement thereto or 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through not specifically stated, any document filed under the Exchange Act of 1934, as amended, and the rules and regulations of the Commission thereunder (the "Exchange Act") which is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deemed to be incorporated by reference in the Registration Statement or the Prospectus, as the case may be.</w:t>
      </w:r>
    </w:p>
    <w:p>
      <w:pPr>
        <w:spacing w:after="0" w:line="208" w:lineRule="exact"/>
        <w:rPr>
          <w:sz w:val="20"/>
          <w:szCs w:val="20"/>
          <w:color w:val="auto"/>
        </w:rPr>
      </w:pPr>
    </w:p>
    <w:p>
      <w:pPr>
        <w:ind w:right="1879" w:firstLine="1799"/>
        <w:spacing w:after="0" w:line="238" w:lineRule="auto"/>
        <w:tabs>
          <w:tab w:leader="none" w:pos="22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to Sell and Purchase. On the basis of the representations and warranties contained in this Agreement, and subject to its terms and conditions, (i) the Company agrees to issue and sell 5,000,000 Firm Shares, (ii) each Selling Stockholder agrees, severally and not jointly, to sell the number of Firm Shares set forth opposite such Selling Stockholder's name in Schedule II hereto and (iii) each Underwriter agrees, severally and not jointly, to purchase from each Seller at a price per share of $______ (the "Purchase Price") the number of Firm Shares (subject to such adjustments to eliminate fractional shares as you may determine) which bears the same proportion to the total number of Firm Shares to be sold by such Seller as the number of Firm Shares set forth opposite the name of such Underwriter in Schedule I hereto bears to the total number of Firm Shares.</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On the basis of the representations and warranties contained in this Agreement, and subject to its terms and conditions, (i) the Company agrees to issue and sell up to 770,625 Additional Shares and (ii) the Underwriters shall have the right to purchase, severally and not jointly, up to an aggregate 770,625 Additional Shares from the Company at the Purchase Price. Additional Shares may be purchased solely for the purpose of covering over-allotments made in connection with the offering of the Firm Shares. The Underwriters may exercise their right to purchase Additional Shares in whole or in part from time to time by giving written notice thereof to the Company within 30 days after the date of this Agreement. You shall give any such notice on behalf of the Underwriters and such notice shall specify the aggregate number of Additional Shares to be purchased pursuant to such exercise and the date for payment and delivery thereof. The date specified in any such notice shall be a business day (i) no earlier than the Closing Date (as hereinafter defined), (ii) no later than ten business days after such notice has been given and (iii) no earlier than two business days after such notice has been given. If any Additional Shares are to be purchased, each Underwriter, severally and not jointly, agrees to purchase from the Company the number of Additional Shares (subject to such adjustments to eliminate fractional shares as you may determine) which bears the same proportion to the total number of Additional Shares to be purchased from the Company as the number of Firm Shares set forth opposite the name of such Underwriter in Schedule I bears to the total number of Firm Shares.</w:t>
      </w:r>
    </w:p>
    <w:p>
      <w:pPr>
        <w:spacing w:after="0" w:line="211" w:lineRule="exact"/>
        <w:rPr>
          <w:sz w:val="20"/>
          <w:szCs w:val="20"/>
          <w:color w:val="auto"/>
        </w:rPr>
      </w:pPr>
    </w:p>
    <w:p>
      <w:pPr>
        <w:ind w:right="2099" w:firstLine="1791"/>
        <w:spacing w:after="0" w:line="235" w:lineRule="auto"/>
        <w:rPr>
          <w:sz w:val="20"/>
          <w:szCs w:val="20"/>
          <w:color w:val="auto"/>
        </w:rPr>
      </w:pPr>
      <w:r>
        <w:rPr>
          <w:rFonts w:ascii="Courier New" w:cs="Courier New" w:eastAsia="Courier New" w:hAnsi="Courier New"/>
          <w:sz w:val="18"/>
          <w:szCs w:val="18"/>
          <w:color w:val="auto"/>
        </w:rPr>
        <w:t>The Sellers hereby agree, severally and not jointly, and the Company shall, concurrently with the execution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Agreement, deliver an agreement executed by (i) each of the directors and officers of the Company and (ii) each stockholder listed on Annex I hereto, pursuant to which each such person agrees, not to offer, sell, contract to sell, grant any option to purchase, or otherwise dispose of any common stock of the Company or any securities convertible into or exercisable or exchangeable for such common stock or in any other manner transfer all or a portion of the economic consequences associated with the ownership of any such common stock, except to the Underwriters pursuant to this Agreement, for a period of 90 days after the date of the Prospectus without the prior written consent of Donaldson, Lufkin &amp; Jenrette Securities Corporation. Notwithstanding the foregoing, during such period (i) the Company may grant stock options pursuant to the Company's existing stock option plans, (ii) the Company may issue shares of its common stock upon the exercise of an option or warrant or the conversion of a security outstanding on the date hereof, and [(III) THE COMPANY MAY ISSUE THE SHARES OF ITS COMMON STOCK THAT ARE CURRENTLY REGISTERED ON ITS REGISTRATION STATEMENT NO. __ IN CONNECTION WITH ACQUISITIONS.]</w:t>
      </w:r>
    </w:p>
    <w:p>
      <w:pPr>
        <w:spacing w:after="0" w:line="397" w:lineRule="exact"/>
        <w:rPr>
          <w:sz w:val="20"/>
          <w:szCs w:val="20"/>
          <w:color w:val="auto"/>
        </w:rPr>
      </w:pPr>
    </w:p>
    <w:p>
      <w:pPr>
        <w:ind w:right="1879" w:firstLine="1799"/>
        <w:spacing w:after="0" w:line="237" w:lineRule="auto"/>
        <w:tabs>
          <w:tab w:leader="none" w:pos="221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Public Offering. The Sellers are advised by you that the Underwriters propose (i) to make a public offering of their respective portions of the Shares as soon after the effective date of the Registration Statement as in your judgment is advisable and (ii) initially to offer the Shares upon the terms set forth in the Prospectus.</w:t>
      </w:r>
    </w:p>
    <w:p>
      <w:pPr>
        <w:spacing w:after="0" w:line="208" w:lineRule="exact"/>
        <w:rPr>
          <w:rFonts w:ascii="Courier New" w:cs="Courier New" w:eastAsia="Courier New" w:hAnsi="Courier New"/>
          <w:sz w:val="18"/>
          <w:szCs w:val="18"/>
          <w:color w:val="auto"/>
        </w:rPr>
      </w:pPr>
    </w:p>
    <w:p>
      <w:pPr>
        <w:ind w:right="1879" w:firstLine="1799"/>
        <w:spacing w:after="0" w:line="270" w:lineRule="auto"/>
        <w:tabs>
          <w:tab w:leader="none" w:pos="2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and Payment. Delivery to the Underwriters of and payment for the Firm Shares shall be made at 10:00 A.M., New York City time, on the fourth business day (or the third business day if required under Rule 15c6-1 of the Exchange Act) following the date the Registration Statement becomes effective (or, if the Company has elected to rely upon Rule 430A of the Act, the fourth business day (or the third business day if required under rule 15c6-1 of the Exchange Act) after the determination of the Purchase Price), or such other time not later than ten business days after such date as shall be agreed upon by you and the Company (such time and date of payment and delivery being herein called the "Closing Date") at the offices of Andrews &amp; Kurth L.L.P. in Dallas, Texas or at such other place as you shall designate. The Closing Date and the location of delivery of and the form of payment for the Firm Shares may be varied by agreement between you and the Sellers.</w:t>
      </w:r>
    </w:p>
    <w:p>
      <w:pPr>
        <w:spacing w:after="0" w:line="38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Delivery to the Underwriters of and payment for any Additional Shares to be purchased by the Underwriters shall be made at the offices of Andrews &amp; Kurth L.L.P. in Dallas, Texas at 10:00 A.M., New York City time, on the date specified in the applicable exercise notice given by you pursuant to Section 2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"Option Closing Date"). Any such Option Closing Date and the location of delivery of and the form of payment for such Additional Shares may be varied by agreement between you and the Company.</w:t>
      </w:r>
    </w:p>
    <w:p>
      <w:pPr>
        <w:spacing w:after="0" w:line="209"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Certificates for the Shares shall be registered in such names and issued in such denominations as you shall request in writing not later than two full business days prior to the Closing Date or an Option Closing Date, as the case may be. Such certificates shall be made available to you for inspection not later than 9:30 A.M., New York City time, on the business day next preceding the Closing Date or an Option Closing Date, as the case may be. Certificates in definitive form evidencing the Shares shall be delivered to you on the Closing Date or an Option Closing Date, as the case may be, with any transfer taxes thereon duly paid by the respective Sellers, for the respective accounts of the several Underwriters, against payment of the Purchase Price therefor by wire transfer in same day funds to an account specified by the Company. The amount otherwise payable to the Company and the Selling Stockholder for the Shares shall be reduced by an amount equal to interest on the Purchase Price from the Closing Date to and including the next business day computed at Donaldson, Lufkin &amp; Jenrette Securities Corporation's cost of funds. The Purchase Price for the Shares being sold by the Selling Stockholder shall be paid to the Company as custodian under the Custodian Agreement between the Company and the Selling Stockholder and shall be distributed according to the terms of such Custodian Agreement.</w:t>
      </w:r>
    </w:p>
    <w:p>
      <w:pPr>
        <w:spacing w:after="0" w:line="200" w:lineRule="exact"/>
        <w:rPr>
          <w:sz w:val="20"/>
          <w:szCs w:val="20"/>
          <w:color w:val="auto"/>
        </w:rPr>
      </w:pPr>
    </w:p>
    <w:p>
      <w:pPr>
        <w:spacing w:after="0" w:line="392" w:lineRule="exact"/>
        <w:rPr>
          <w:sz w:val="20"/>
          <w:szCs w:val="20"/>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Company.  The Company agrees with you:</w:t>
      </w:r>
    </w:p>
    <w:p>
      <w:pPr>
        <w:spacing w:after="0" w:line="206" w:lineRule="exact"/>
        <w:rPr>
          <w:rFonts w:ascii="Courier New" w:cs="Courier New" w:eastAsia="Courier New" w:hAnsi="Courier New"/>
          <w:sz w:val="18"/>
          <w:szCs w:val="18"/>
          <w:color w:val="auto"/>
        </w:rPr>
      </w:pPr>
    </w:p>
    <w:p>
      <w:pPr>
        <w:ind w:left="960" w:right="2739" w:firstLine="839"/>
        <w:spacing w:after="0" w:line="290" w:lineRule="auto"/>
        <w:tabs>
          <w:tab w:leader="none" w:pos="232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cause the Registration Statement to become effective at the earliest possible time.</w:t>
      </w:r>
    </w:p>
    <w:p>
      <w:pPr>
        <w:spacing w:after="0" w:line="169" w:lineRule="exact"/>
        <w:rPr>
          <w:rFonts w:ascii="Courier New" w:cs="Courier New" w:eastAsia="Courier New" w:hAnsi="Courier New"/>
          <w:sz w:val="16"/>
          <w:szCs w:val="16"/>
          <w:color w:val="auto"/>
        </w:rPr>
      </w:pPr>
    </w:p>
    <w:p>
      <w:pPr>
        <w:ind w:left="960" w:right="1879" w:firstLine="839"/>
        <w:spacing w:after="0" w:line="270" w:lineRule="auto"/>
        <w:tabs>
          <w:tab w:leader="none" w:pos="232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Shares for offering or sale in any jurisdiction, or the initiation of any proceeding for such purposes, and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184" w:lineRule="exact"/>
        <w:rPr>
          <w:sz w:val="20"/>
          <w:szCs w:val="20"/>
          <w:color w:val="auto"/>
        </w:rPr>
      </w:pPr>
    </w:p>
    <w:p>
      <w:pPr>
        <w:ind w:left="640" w:right="1879" w:firstLine="839"/>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you, without charge, four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209" w:lineRule="exact"/>
        <w:rPr>
          <w:rFonts w:ascii="Courier New" w:cs="Courier New" w:eastAsia="Courier New" w:hAnsi="Courier New"/>
          <w:sz w:val="18"/>
          <w:szCs w:val="18"/>
          <w:color w:val="auto"/>
        </w:rPr>
      </w:pPr>
    </w:p>
    <w:p>
      <w:pPr>
        <w:ind w:left="640" w:right="1879" w:firstLine="839"/>
        <w:spacing w:after="0" w:line="238"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(i) file any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462(b) Registration Statement, Term Sheet or amendment or supplement to the Registration Statement or the Prospectus which may be necessary or advisable in connection with the distribution of the Shares by you, and to use its best efforts to cause the same to become promptly effective.</w:t>
      </w:r>
    </w:p>
    <w:p>
      <w:pPr>
        <w:spacing w:after="0" w:line="207" w:lineRule="exact"/>
        <w:rPr>
          <w:rFonts w:ascii="Courier New" w:cs="Courier New" w:eastAsia="Courier New" w:hAnsi="Courier New"/>
          <w:sz w:val="18"/>
          <w:szCs w:val="18"/>
          <w:color w:val="auto"/>
        </w:rPr>
      </w:pPr>
    </w:p>
    <w:p>
      <w:pPr>
        <w:ind w:left="640" w:right="1999" w:firstLine="839"/>
        <w:spacing w:after="0" w:line="271" w:lineRule="auto"/>
        <w:tabs>
          <w:tab w:leader="none" w:pos="20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Registration Statement becomes effective, and from time to time thereafter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640" w:right="1879" w:firstLine="839"/>
        <w:spacing w:after="0" w:line="270" w:lineRule="auto"/>
        <w:tabs>
          <w:tab w:leader="none" w:pos="20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 each Underwriter and to such dealers as you shall specify, such number of copies thereof as such Underwriter or dealers may reasonably request.</w:t>
      </w:r>
    </w:p>
    <w:p>
      <w:pPr>
        <w:spacing w:after="0" w:line="387" w:lineRule="exact"/>
        <w:rPr>
          <w:rFonts w:ascii="Courier New" w:cs="Courier New" w:eastAsia="Courier New" w:hAnsi="Courier New"/>
          <w:sz w:val="16"/>
          <w:szCs w:val="16"/>
          <w:color w:val="auto"/>
        </w:rPr>
      </w:pPr>
    </w:p>
    <w:p>
      <w:pPr>
        <w:ind w:left="640" w:right="1879" w:firstLine="839"/>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public offering of the Shares, to cooperate with you and counsel for the Underwriters in connection with the registration or qualification of the Shares for offer and sale by the several Underwriters and by dealers under the state securities or Blue Sky laws of such jurisdictions as you may request, to continue such qualification in effect so long as required for distribution of the Shares and to file such consents to service of process or other documents as may be necessary in order to effect such registration or qualification.</w:t>
      </w:r>
    </w:p>
    <w:p>
      <w:pPr>
        <w:spacing w:after="0" w:line="213" w:lineRule="exact"/>
        <w:rPr>
          <w:rFonts w:ascii="Courier New" w:cs="Courier New" w:eastAsia="Courier New" w:hAnsi="Courier New"/>
          <w:sz w:val="18"/>
          <w:szCs w:val="18"/>
          <w:color w:val="auto"/>
        </w:rPr>
      </w:pPr>
    </w:p>
    <w:p>
      <w:pPr>
        <w:ind w:left="640" w:right="1999" w:firstLine="839"/>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mail and make generally available to its stockholders as soon as reasonably practicable an earnings statement covering a period of at least twelve months after the effective date of the Registration Statement (but in no event commencing later than 90 days after such date) which shall satisfy the provisions of Section 11(a) of the Act.</w:t>
      </w:r>
    </w:p>
    <w:p>
      <w:pPr>
        <w:spacing w:after="0" w:line="209" w:lineRule="exact"/>
        <w:rPr>
          <w:rFonts w:ascii="Courier New" w:cs="Courier New" w:eastAsia="Courier New" w:hAnsi="Courier New"/>
          <w:sz w:val="18"/>
          <w:szCs w:val="18"/>
          <w:color w:val="auto"/>
        </w:rPr>
      </w:pPr>
    </w:p>
    <w:p>
      <w:pPr>
        <w:ind w:left="640" w:right="1879" w:firstLine="839"/>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of five years after the date of this Agreement, (i) to mail as soon as reasonably practicable after the end of each fiscal year to the record holders of its Common Stock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392" w:lineRule="exact"/>
        <w:rPr>
          <w:sz w:val="20"/>
          <w:szCs w:val="20"/>
          <w:color w:val="auto"/>
        </w:rPr>
      </w:pPr>
    </w:p>
    <w:p>
      <w:pPr>
        <w:ind w:left="640" w:right="1879" w:firstLine="839"/>
        <w:spacing w:after="0" w:line="237" w:lineRule="auto"/>
        <w:tabs>
          <w:tab w:leader="none" w:pos="200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referred to in paragraph (i), to furnish to you as soon as available a copy of each report or other publicly available information of the Company mailed to the holders of Common Stock or filed with the Commission and such other publicly available information concerning the Company and its subsidiaries as you may reasonably request.</w:t>
      </w:r>
    </w:p>
    <w:p>
      <w:pPr>
        <w:spacing w:after="0" w:line="204" w:lineRule="exact"/>
        <w:rPr>
          <w:rFonts w:ascii="Courier New" w:cs="Courier New" w:eastAsia="Courier New" w:hAnsi="Courier New"/>
          <w:sz w:val="18"/>
          <w:szCs w:val="18"/>
          <w:color w:val="auto"/>
        </w:rPr>
      </w:pPr>
    </w:p>
    <w:p>
      <w:pPr>
        <w:ind w:left="2000" w:hanging="521"/>
        <w:spacing w:after="0"/>
        <w:tabs>
          <w:tab w:leader="none" w:pos="20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all costs, expenses, fees and taxes incident to</w:t>
      </w:r>
    </w:p>
    <w:p>
      <w:pPr>
        <w:spacing w:after="0" w:line="4" w:lineRule="exact"/>
        <w:rPr>
          <w:rFonts w:ascii="Courier New" w:cs="Courier New" w:eastAsia="Courier New" w:hAnsi="Courier New"/>
          <w:sz w:val="18"/>
          <w:szCs w:val="18"/>
          <w:color w:val="auto"/>
        </w:rPr>
      </w:pPr>
    </w:p>
    <w:p>
      <w:pPr>
        <w:ind w:left="640" w:right="1879" w:hanging="4"/>
        <w:spacing w:after="0" w:line="268" w:lineRule="auto"/>
        <w:tabs>
          <w:tab w:leader="none" w:pos="106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printing, filing and distribution under the Act of the Registration Statement (including financial statements and exhibits), each preliminary prospectus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the Preliminary and Supplemental Blue Sky Memoranda, (iv) the registration or qualification of the Shares for offer and sale under the securities or Blue Sky laws of the several states (including in each case the fees and disbursements of counsel for the Underwriters relating to such registration or qualification and memoranda relating thereto),</w:t>
      </w:r>
    </w:p>
    <w:p>
      <w:pPr>
        <w:spacing w:after="0" w:line="2" w:lineRule="exact"/>
        <w:rPr>
          <w:rFonts w:ascii="Courier New" w:cs="Courier New" w:eastAsia="Courier New" w:hAnsi="Courier New"/>
          <w:sz w:val="16"/>
          <w:szCs w:val="16"/>
          <w:color w:val="auto"/>
        </w:rPr>
      </w:pPr>
    </w:p>
    <w:p>
      <w:pPr>
        <w:ind w:left="640" w:right="1879" w:hanging="4"/>
        <w:spacing w:after="0" w:line="271" w:lineRule="auto"/>
        <w:tabs>
          <w:tab w:leader="none" w:pos="10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fees and the fees and disbursements of counsel incurred in connection with filings and clearance with the National Association of Securities Dealers, Inc. in connection with the offering, (vi) the listing of the Shares on the New York Stock Exchange, and (vii) furnishing such copies of the Registration Statement, the Prospectus and all amendments and supplements thereto as may be requested for use in connection with the offering or sale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9</w:t>
      </w:r>
    </w:p>
    <w:p>
      <w:pPr>
        <w:ind w:left="960"/>
        <w:spacing w:after="0" w:line="238" w:lineRule="auto"/>
        <w:rPr>
          <w:sz w:val="20"/>
          <w:szCs w:val="20"/>
          <w:color w:val="auto"/>
        </w:rPr>
      </w:pPr>
      <w:r>
        <w:rPr>
          <w:rFonts w:ascii="Courier New" w:cs="Courier New" w:eastAsia="Courier New" w:hAnsi="Courier New"/>
          <w:sz w:val="18"/>
          <w:szCs w:val="18"/>
          <w:color w:val="auto"/>
        </w:rPr>
        <w:t>Shares by the Underwriters or by dealers to whom Shares may be sold.</w:t>
      </w:r>
    </w:p>
    <w:p>
      <w:pPr>
        <w:spacing w:after="0" w:line="207" w:lineRule="exact"/>
        <w:rPr>
          <w:sz w:val="20"/>
          <w:szCs w:val="20"/>
          <w:color w:val="auto"/>
        </w:rPr>
      </w:pPr>
    </w:p>
    <w:p>
      <w:pPr>
        <w:ind w:left="960" w:right="1879" w:firstLine="839"/>
        <w:spacing w:after="0" w:line="236"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maintain the listing of the Common Stock on the New York Stock Exchange for a period of five years after the effective date of the Registration Statement.</w:t>
      </w:r>
    </w:p>
    <w:p>
      <w:pPr>
        <w:spacing w:after="0" w:line="208" w:lineRule="exact"/>
        <w:rPr>
          <w:rFonts w:ascii="Courier New" w:cs="Courier New" w:eastAsia="Courier New" w:hAnsi="Courier New"/>
          <w:sz w:val="18"/>
          <w:szCs w:val="18"/>
          <w:color w:val="auto"/>
        </w:rPr>
      </w:pPr>
    </w:p>
    <w:p>
      <w:pPr>
        <w:ind w:left="960" w:right="1879" w:firstLine="839"/>
        <w:spacing w:after="0" w:line="237"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its best efforts to do and perform all things required or necessary to be done and performed under this Agreement by the Company prior to the Closing Date or any Option Closing Date, as the case may be, and to satisfy all conditions precedent to the delivery of the Shares.</w:t>
      </w:r>
    </w:p>
    <w:p>
      <w:pPr>
        <w:spacing w:after="0" w:line="208" w:lineRule="exact"/>
        <w:rPr>
          <w:rFonts w:ascii="Courier New" w:cs="Courier New" w:eastAsia="Courier New" w:hAnsi="Courier New"/>
          <w:sz w:val="18"/>
          <w:szCs w:val="18"/>
          <w:color w:val="auto"/>
        </w:rPr>
      </w:pPr>
    </w:p>
    <w:p>
      <w:pPr>
        <w:ind w:left="960" w:right="2099" w:firstLine="839"/>
        <w:spacing w:after="0" w:line="236"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the net proceeds received by it from the sale of Shares in the manner specified in the Prospectus under "Use of Proceeds."</w:t>
      </w:r>
    </w:p>
    <w:p>
      <w:pPr>
        <w:spacing w:after="0" w:line="208" w:lineRule="exact"/>
        <w:rPr>
          <w:rFonts w:ascii="Courier New" w:cs="Courier New" w:eastAsia="Courier New" w:hAnsi="Courier New"/>
          <w:sz w:val="18"/>
          <w:szCs w:val="18"/>
          <w:color w:val="auto"/>
        </w:rPr>
      </w:pPr>
    </w:p>
    <w:p>
      <w:pPr>
        <w:ind w:left="960" w:right="1879" w:firstLine="839"/>
        <w:spacing w:after="0" w:line="237"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that the Registration Statement becomes effective, any information shall have been omitted therefrom in reliance upon Rule 430A of the Act, then immediately following the determination of the Purchase Price, to prepare, and file or transmit for filing with the Commission in accordance with Rule 430A and Rule 424(b) of the Act, copies of an amended Prospectus, or, if required by such Rule 430A, a post-effective amendment to the Registration Statement (including an amended Prospectus), containing all information so omitted.</w:t>
      </w:r>
    </w:p>
    <w:p>
      <w:pPr>
        <w:spacing w:after="0" w:line="208" w:lineRule="exact"/>
        <w:rPr>
          <w:sz w:val="20"/>
          <w:szCs w:val="20"/>
          <w:color w:val="auto"/>
        </w:rPr>
      </w:pPr>
    </w:p>
    <w:p>
      <w:pPr>
        <w:ind w:left="2220" w:hanging="421"/>
        <w:spacing w:after="0"/>
        <w:tabs>
          <w:tab w:leader="none" w:pos="2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represents and warrants to each Underwriter that:</w:t>
      </w:r>
    </w:p>
    <w:p>
      <w:pPr>
        <w:spacing w:after="0" w:line="207" w:lineRule="exact"/>
        <w:rPr>
          <w:sz w:val="20"/>
          <w:szCs w:val="20"/>
          <w:color w:val="auto"/>
        </w:rPr>
      </w:pPr>
    </w:p>
    <w:p>
      <w:pPr>
        <w:ind w:left="960" w:right="2099" w:firstLine="839"/>
        <w:spacing w:after="0" w:line="237" w:lineRule="auto"/>
        <w:tabs>
          <w:tab w:leader="none" w:pos="23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meets the requirements for use of Form S-3; the Registration Statement has become effective; no stop order suspending the effectiveness of the Registration Statement is in effect, and no proceedings for such purpose are pending before or threatened by the Commission.</w:t>
      </w:r>
    </w:p>
    <w:p>
      <w:pPr>
        <w:spacing w:after="0" w:line="208" w:lineRule="exact"/>
        <w:rPr>
          <w:rFonts w:ascii="Courier New" w:cs="Courier New" w:eastAsia="Courier New" w:hAnsi="Courier New"/>
          <w:sz w:val="18"/>
          <w:szCs w:val="18"/>
          <w:color w:val="auto"/>
        </w:rPr>
      </w:pPr>
    </w:p>
    <w:p>
      <w:pPr>
        <w:ind w:left="960" w:right="1999" w:firstLine="839"/>
        <w:spacing w:after="0" w:line="237" w:lineRule="auto"/>
        <w:tabs>
          <w:tab w:leader="none" w:pos="23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Registration Statement, any 462(b) Registration Statement or any post-effective amendment to the Registration Statement became or becomes effective, on the date that any amendment or supplement to the Prospectus is filed with the Commission, and at the Closing Date, and if later, the Option Closing Date, (i) each part of the Registration Statement, when such part became effective, did not contain and each such part, as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640" w:right="1879"/>
        <w:spacing w:after="0" w:line="238" w:lineRule="auto"/>
        <w:rPr>
          <w:sz w:val="20"/>
          <w:szCs w:val="20"/>
          <w:color w:val="auto"/>
        </w:rPr>
      </w:pPr>
      <w:r>
        <w:rPr>
          <w:rFonts w:ascii="Courier New" w:cs="Courier New" w:eastAsia="Courier New" w:hAnsi="Courier New"/>
          <w:sz w:val="18"/>
          <w:szCs w:val="18"/>
          <w:color w:val="auto"/>
        </w:rPr>
        <w:t>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208" w:lineRule="exact"/>
        <w:rPr>
          <w:sz w:val="20"/>
          <w:szCs w:val="20"/>
          <w:color w:val="auto"/>
        </w:rPr>
      </w:pPr>
    </w:p>
    <w:p>
      <w:pPr>
        <w:ind w:left="640" w:right="1879" w:firstLine="839"/>
        <w:spacing w:after="0" w:line="238" w:lineRule="auto"/>
        <w:tabs>
          <w:tab w:leader="none" w:pos="200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sheet or prospectus subject to completion provided by the Company to the Underwriters for use in connection with the offering and sale of the Shares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 respects with the requirements of the Exchange Act, and, when read together with other information in the Prospectus, at the time the Registration Statement became effective and as of the Closing Date and, if later, the Option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209" w:lineRule="exact"/>
        <w:rPr>
          <w:rFonts w:ascii="Courier New" w:cs="Courier New" w:eastAsia="Courier New" w:hAnsi="Courier New"/>
          <w:sz w:val="18"/>
          <w:szCs w:val="18"/>
          <w:color w:val="auto"/>
        </w:rPr>
      </w:pPr>
    </w:p>
    <w:p>
      <w:pPr>
        <w:ind w:left="640" w:right="1879" w:firstLine="839"/>
        <w:spacing w:after="0" w:line="273" w:lineRule="auto"/>
        <w:tabs>
          <w:tab w:leader="none" w:pos="200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preliminary prospectus filed as part of the registration statement as originally filed or as part of any amendment thereto, or filed pursuant to Rule 424 under the Act, complied when so filed in all material respects with the Act; and did not contain an untrue statement of a material fact or omit to state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material fact required to be stated therein or necessary to make the statements therein, in the light of the circumstances under which they were made, not misleading.</w:t>
      </w:r>
    </w:p>
    <w:p>
      <w:pPr>
        <w:spacing w:after="0" w:line="209" w:lineRule="exact"/>
        <w:rPr>
          <w:sz w:val="20"/>
          <w:szCs w:val="20"/>
          <w:color w:val="auto"/>
        </w:rPr>
      </w:pPr>
    </w:p>
    <w:p>
      <w:pPr>
        <w:ind w:left="640" w:right="1999" w:firstLine="839"/>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15" w:lineRule="exact"/>
        <w:rPr>
          <w:rFonts w:ascii="Courier New" w:cs="Courier New" w:eastAsia="Courier New" w:hAnsi="Courier New"/>
          <w:sz w:val="18"/>
          <w:szCs w:val="18"/>
          <w:color w:val="auto"/>
        </w:rPr>
      </w:pPr>
    </w:p>
    <w:p>
      <w:pPr>
        <w:ind w:left="640" w:right="1879" w:firstLine="839"/>
        <w:spacing w:after="0" w:line="237"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w:t>
      </w:r>
    </w:p>
    <w:p>
      <w:pPr>
        <w:spacing w:after="0" w:line="209" w:lineRule="exact"/>
        <w:rPr>
          <w:rFonts w:ascii="Courier New" w:cs="Courier New" w:eastAsia="Courier New" w:hAnsi="Courier New"/>
          <w:sz w:val="18"/>
          <w:szCs w:val="18"/>
          <w:color w:val="auto"/>
        </w:rPr>
      </w:pPr>
    </w:p>
    <w:p>
      <w:pPr>
        <w:ind w:left="640" w:right="1999" w:firstLine="839"/>
        <w:spacing w:after="0" w:line="238"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capital stock of the Company (including the Shares to be sold by the Selling Stockholder) have been duly authorized and validly issued and are fully paid, non-assessable and not subject to any preemptive or similar rights; and the Shares to be issued and sold by the Company hereunder have been duly authorized and, when issued and delivered to the Underwriters against payment therefor as provided by this Agreement, will be validly issued, fully paid and non-assessable, and the issuance of such Shares will not be subject to any preemptive or similar rights. Upon payment of the Purchase Price and delivery of certificates representing the Shares, each of the Underwriters will receive the Shares free and clear of all liens, security interests or encumbrances.</w:t>
      </w:r>
    </w:p>
    <w:p>
      <w:pPr>
        <w:spacing w:after="0" w:line="207" w:lineRule="exact"/>
        <w:rPr>
          <w:rFonts w:ascii="Courier New" w:cs="Courier New" w:eastAsia="Courier New" w:hAnsi="Courier New"/>
          <w:sz w:val="18"/>
          <w:szCs w:val="18"/>
          <w:color w:val="auto"/>
        </w:rPr>
      </w:pPr>
    </w:p>
    <w:p>
      <w:pPr>
        <w:ind w:left="640" w:right="2199" w:firstLine="839"/>
        <w:spacing w:after="0" w:line="236"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including the Common Stock, conforms as to legal matters to the description thereof incorporated by reference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640" w:right="1879" w:firstLine="839"/>
        <w:spacing w:after="0" w:line="271"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property is bound.</w:t>
      </w:r>
    </w:p>
    <w:p>
      <w:pPr>
        <w:spacing w:after="0" w:line="185" w:lineRule="exact"/>
        <w:rPr>
          <w:rFonts w:ascii="Courier New" w:cs="Courier New" w:eastAsia="Courier New" w:hAnsi="Courier New"/>
          <w:sz w:val="16"/>
          <w:szCs w:val="16"/>
          <w:color w:val="auto"/>
        </w:rPr>
      </w:pPr>
    </w:p>
    <w:p>
      <w:pPr>
        <w:ind w:left="640" w:right="1879" w:firstLine="839"/>
        <w:spacing w:after="0" w:line="238" w:lineRule="auto"/>
        <w:tabs>
          <w:tab w:leader="none" w:pos="200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compliance by the Company with all the provisions hereof and the consummation of the transactions contemplated hereby will not require any consent, approval, authorization or other order of any court, regulatory body, administrative agency or other governmental body (except such as may be required under the securities or Blue Sky laws of the various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property is bound, or violate or conflict with any laws, administrative regulations or rulings or court decrees applicable to the Company, any of its subsidiaries or their respective property.</w:t>
      </w:r>
    </w:p>
    <w:p>
      <w:pPr>
        <w:spacing w:after="0" w:line="208" w:lineRule="exact"/>
        <w:rPr>
          <w:rFonts w:ascii="Courier New" w:cs="Courier New" w:eastAsia="Courier New" w:hAnsi="Courier New"/>
          <w:sz w:val="18"/>
          <w:szCs w:val="18"/>
          <w:color w:val="auto"/>
        </w:rPr>
      </w:pPr>
    </w:p>
    <w:p>
      <w:pPr>
        <w:ind w:left="640" w:right="1879" w:firstLine="839"/>
        <w:spacing w:after="0" w:line="270"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there are no material legal or governmental proceedings pending to which the Company or any of its subsidiaries is a party or of which any of their respective property is the subject, and, to the Company's knowledge, no such proceedings are threatened or contemplated. Except as disclosed on Annex II hereto, no material development has occurred with respect to the matters described under the caption "Item 1 - Legal Proceedings" in the Company's Form 10-Q for the quarterly period ended June 30, 1995 or the caption "Description of Chambers-Legal Proceedings" in the Company's Proxy Statement, Annual Report and Prospectus dated May 19, 1995 (the "Proxy Statement"). No contract or document of a character required to be described in the Registration Statement or the Prospectus or to be filed as an exhibit to the Registration Statement is not so described or filed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640" w:right="1879" w:firstLine="839"/>
        <w:spacing w:after="0" w:line="238"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207" w:lineRule="exact"/>
        <w:rPr>
          <w:rFonts w:ascii="Courier New" w:cs="Courier New" w:eastAsia="Courier New" w:hAnsi="Courier New"/>
          <w:sz w:val="18"/>
          <w:szCs w:val="18"/>
          <w:color w:val="auto"/>
        </w:rPr>
      </w:pPr>
    </w:p>
    <w:p>
      <w:pPr>
        <w:ind w:left="640" w:right="1879" w:firstLine="839"/>
        <w:spacing w:after="0" w:line="269" w:lineRule="auto"/>
        <w:tabs>
          <w:tab w:leader="none" w:pos="200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396" w:lineRule="exact"/>
        <w:rPr>
          <w:rFonts w:ascii="Courier New" w:cs="Courier New" w:eastAsia="Courier New" w:hAnsi="Courier New"/>
          <w:sz w:val="16"/>
          <w:szCs w:val="16"/>
          <w:color w:val="auto"/>
        </w:rPr>
      </w:pPr>
    </w:p>
    <w:p>
      <w:pPr>
        <w:ind w:left="640" w:right="1879" w:firstLine="839"/>
        <w:spacing w:after="0" w:line="237"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except to the extent properly accrued for in the Company's financial statements, singly or in the aggregate, have a material adverse effect on the Company and its subsidiaries, taken as a whole.</w:t>
      </w:r>
    </w:p>
    <w:p>
      <w:pPr>
        <w:spacing w:after="0" w:line="209" w:lineRule="exact"/>
        <w:rPr>
          <w:sz w:val="20"/>
          <w:szCs w:val="20"/>
          <w:color w:val="auto"/>
        </w:rPr>
      </w:pPr>
    </w:p>
    <w:p>
      <w:pPr>
        <w:ind w:left="640" w:right="1879" w:firstLine="839"/>
        <w:spacing w:after="0" w:line="269" w:lineRule="auto"/>
        <w:tabs>
          <w:tab w:leader="none" w:pos="200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Prospectus or such as are not material to the business, prospects, financial condition or results of operation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 of the Company and its subsidiaries taken as a whole, and the Company and its subsidiaries enjoy peaceful and undisturbed possession under all such leases to which any of them is a party as lessee with such exceptions as do not materially interfere with the use made by the Company or such subsidiary.</w:t>
      </w:r>
    </w:p>
    <w:p>
      <w:pPr>
        <w:spacing w:after="0" w:line="396" w:lineRule="exact"/>
        <w:rPr>
          <w:rFonts w:ascii="Courier New" w:cs="Courier New" w:eastAsia="Courier New" w:hAnsi="Courier New"/>
          <w:sz w:val="16"/>
          <w:szCs w:val="16"/>
          <w:color w:val="auto"/>
        </w:rPr>
      </w:pPr>
    </w:p>
    <w:p>
      <w:pPr>
        <w:ind w:left="640" w:right="2619" w:firstLine="839"/>
        <w:spacing w:after="0" w:line="235" w:lineRule="auto"/>
        <w:tabs>
          <w:tab w:leader="none" w:pos="200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maintains insurance as is customary in the industry.</w:t>
      </w:r>
    </w:p>
    <w:p>
      <w:pPr>
        <w:spacing w:after="0" w:line="208" w:lineRule="exact"/>
        <w:rPr>
          <w:rFonts w:ascii="Courier New" w:cs="Courier New" w:eastAsia="Courier New" w:hAnsi="Courier New"/>
          <w:sz w:val="18"/>
          <w:szCs w:val="18"/>
          <w:color w:val="auto"/>
        </w:rPr>
      </w:pPr>
    </w:p>
    <w:p>
      <w:pPr>
        <w:ind w:left="640" w:right="2099" w:firstLine="839"/>
        <w:spacing w:after="0" w:line="236" w:lineRule="auto"/>
        <w:tabs>
          <w:tab w:leader="none" w:pos="200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Deloitte &amp; Touche LLP and Arthur Andersen LLP are independent public accountants with respect to the Company as required by the Act.</w:t>
      </w:r>
    </w:p>
    <w:p>
      <w:pPr>
        <w:spacing w:after="0" w:line="208" w:lineRule="exact"/>
        <w:rPr>
          <w:rFonts w:ascii="Courier New" w:cs="Courier New" w:eastAsia="Courier New" w:hAnsi="Courier New"/>
          <w:sz w:val="18"/>
          <w:szCs w:val="18"/>
          <w:color w:val="auto"/>
        </w:rPr>
      </w:pPr>
    </w:p>
    <w:p>
      <w:pPr>
        <w:ind w:left="640" w:right="1879" w:firstLine="839"/>
        <w:spacing w:after="0" w:line="238" w:lineRule="auto"/>
        <w:tabs>
          <w:tab w:leader="none" w:pos="200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together with related schedules and notes, included in the Registration Statement and the Prospectus (and any amendment or supplement thereto), present fairly the consolidated financial position, results of operations and changes in financial position of the Company and its subsidiaries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is, in all material respects, accurately presented and prepared on a basis consistent with such financial statements and the books and records of the Company. No other financial statements or schedules are required by the Act or the Exchange Act to be included in the Registration Statement or the Prospectus.</w:t>
      </w:r>
    </w:p>
    <w:p>
      <w:pPr>
        <w:spacing w:after="0" w:line="209" w:lineRule="exact"/>
        <w:rPr>
          <w:sz w:val="20"/>
          <w:szCs w:val="20"/>
          <w:color w:val="auto"/>
        </w:rPr>
      </w:pPr>
    </w:p>
    <w:p>
      <w:pPr>
        <w:ind w:left="640" w:right="2099" w:firstLine="839"/>
        <w:spacing w:after="0" w:line="236"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 company "controlled" by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640" w:right="1879" w:firstLine="839"/>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207" w:lineRule="exact"/>
        <w:rPr>
          <w:rFonts w:ascii="Courier New" w:cs="Courier New" w:eastAsia="Courier New" w:hAnsi="Courier New"/>
          <w:sz w:val="18"/>
          <w:szCs w:val="18"/>
          <w:color w:val="auto"/>
        </w:rPr>
      </w:pPr>
    </w:p>
    <w:p>
      <w:pPr>
        <w:ind w:left="640" w:right="2319" w:firstLine="839"/>
        <w:spacing w:after="0" w:line="235"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are duly authorized for listing on the New York Stock Exchange, subject to official notice of issuance.</w:t>
      </w:r>
    </w:p>
    <w:p>
      <w:pPr>
        <w:spacing w:after="0" w:line="208" w:lineRule="exact"/>
        <w:rPr>
          <w:rFonts w:ascii="Courier New" w:cs="Courier New" w:eastAsia="Courier New" w:hAnsi="Courier New"/>
          <w:sz w:val="18"/>
          <w:szCs w:val="18"/>
          <w:color w:val="auto"/>
        </w:rPr>
      </w:pPr>
    </w:p>
    <w:p>
      <w:pPr>
        <w:ind w:left="640" w:right="2099" w:firstLine="839"/>
        <w:spacing w:after="0" w:line="290" w:lineRule="auto"/>
        <w:tabs>
          <w:tab w:leader="none" w:pos="200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complied with all provisions of Section 517.075, Florida Statutes (Chapter 92-198, Laws of Florida).</w:t>
      </w:r>
    </w:p>
    <w:p>
      <w:pPr>
        <w:spacing w:after="0" w:line="169" w:lineRule="exact"/>
        <w:rPr>
          <w:rFonts w:ascii="Courier New" w:cs="Courier New" w:eastAsia="Courier New" w:hAnsi="Courier New"/>
          <w:sz w:val="16"/>
          <w:szCs w:val="16"/>
          <w:color w:val="auto"/>
        </w:rPr>
      </w:pPr>
    </w:p>
    <w:p>
      <w:pPr>
        <w:ind w:left="640" w:right="1879" w:firstLine="839"/>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w:t>
      </w:r>
    </w:p>
    <w:p>
      <w:pPr>
        <w:spacing w:after="0" w:line="209" w:lineRule="exact"/>
        <w:rPr>
          <w:rFonts w:ascii="Courier New" w:cs="Courier New" w:eastAsia="Courier New" w:hAnsi="Courier New"/>
          <w:sz w:val="18"/>
          <w:szCs w:val="18"/>
          <w:color w:val="auto"/>
        </w:rPr>
      </w:pPr>
    </w:p>
    <w:p>
      <w:pPr>
        <w:ind w:left="640" w:right="2199" w:firstLine="839"/>
        <w:spacing w:after="0" w:line="279" w:lineRule="auto"/>
        <w:tabs>
          <w:tab w:leader="none" w:pos="200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business relationships or related party transactions required to be disclosed therein by Item 404 of Regulation S-K of the Commission.</w:t>
      </w:r>
    </w:p>
    <w:p>
      <w:pPr>
        <w:spacing w:after="0" w:line="178" w:lineRule="exact"/>
        <w:rPr>
          <w:rFonts w:ascii="Courier New" w:cs="Courier New" w:eastAsia="Courier New" w:hAnsi="Courier New"/>
          <w:sz w:val="16"/>
          <w:szCs w:val="16"/>
          <w:color w:val="auto"/>
        </w:rPr>
      </w:pPr>
    </w:p>
    <w:p>
      <w:pPr>
        <w:ind w:left="640" w:right="1999" w:firstLine="839"/>
        <w:spacing w:after="0" w:line="237"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left="640" w:right="1879"/>
        <w:spacing w:after="0" w:line="268" w:lineRule="auto"/>
        <w:rPr>
          <w:sz w:val="20"/>
          <w:szCs w:val="20"/>
          <w:color w:val="auto"/>
        </w:rPr>
      </w:pPr>
      <w:r>
        <w:rPr>
          <w:rFonts w:ascii="Courier New" w:cs="Courier New" w:eastAsia="Courier New" w:hAnsi="Courier New"/>
          <w:sz w:val="16"/>
          <w:szCs w:val="16"/>
          <w:color w:val="auto"/>
        </w:rPr>
        <w:t>any of them, and (ii) no significant strike, labor dispute, slowdown or stoppage pending against the Company or any of its subsidiaries or, to the best knowledge of the Company, threatened against it or any of its subsidiaries except for such actions specified in clause (i) or</w:t>
      </w:r>
    </w:p>
    <w:p>
      <w:pPr>
        <w:spacing w:after="0" w:line="1" w:lineRule="exact"/>
        <w:rPr>
          <w:sz w:val="20"/>
          <w:szCs w:val="20"/>
          <w:color w:val="auto"/>
        </w:rPr>
      </w:pPr>
    </w:p>
    <w:p>
      <w:pPr>
        <w:ind w:left="640" w:right="1999" w:hanging="4"/>
        <w:spacing w:after="0" w:line="236" w:lineRule="auto"/>
        <w:tabs>
          <w:tab w:leader="none" w:pos="116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which, singly or in the aggregate could not reasonably be expected to have a material adverse effect on the Company and its subsidiaries, taken as a whole.</w:t>
      </w:r>
    </w:p>
    <w:p>
      <w:pPr>
        <w:spacing w:after="0" w:line="208" w:lineRule="exact"/>
        <w:rPr>
          <w:rFonts w:ascii="Courier New" w:cs="Courier New" w:eastAsia="Courier New" w:hAnsi="Courier New"/>
          <w:sz w:val="18"/>
          <w:szCs w:val="18"/>
          <w:color w:val="auto"/>
        </w:rPr>
      </w:pPr>
    </w:p>
    <w:p>
      <w:pPr>
        <w:ind w:left="640" w:right="1999" w:firstLine="839"/>
        <w:spacing w:after="0" w:line="270" w:lineRule="auto"/>
        <w:tabs>
          <w:tab w:leader="none" w:pos="200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92" w:lineRule="exact"/>
        <w:rPr>
          <w:sz w:val="20"/>
          <w:szCs w:val="20"/>
          <w:color w:val="auto"/>
        </w:rPr>
      </w:pPr>
    </w:p>
    <w:p>
      <w:pPr>
        <w:ind w:left="640" w:right="1879" w:firstLine="839"/>
        <w:spacing w:after="0" w:line="237" w:lineRule="auto"/>
        <w:tabs>
          <w:tab w:leader="none" w:pos="211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212" w:lineRule="exact"/>
        <w:rPr>
          <w:sz w:val="20"/>
          <w:szCs w:val="20"/>
          <w:color w:val="auto"/>
        </w:rPr>
      </w:pPr>
    </w:p>
    <w:p>
      <w:pPr>
        <w:ind w:left="640" w:right="1999" w:firstLine="843"/>
        <w:spacing w:after="0" w:line="268" w:lineRule="auto"/>
        <w:rPr>
          <w:sz w:val="20"/>
          <w:szCs w:val="20"/>
          <w:color w:val="auto"/>
        </w:rPr>
      </w:pPr>
      <w:r>
        <w:rPr>
          <w:rFonts w:ascii="Courier New" w:cs="Courier New" w:eastAsia="Courier New" w:hAnsi="Courier New"/>
          <w:sz w:val="16"/>
          <w:szCs w:val="16"/>
          <w:color w:val="auto"/>
        </w:rPr>
        <w:t>(ab) Subsequent to the respective dates as of which information is given in the Registration Statement and the Prospectus and prior to the Closing Date, or if later, the Option Closing Date</w:t>
      </w:r>
    </w:p>
    <w:p>
      <w:pPr>
        <w:spacing w:after="0" w:line="1" w:lineRule="exact"/>
        <w:rPr>
          <w:sz w:val="20"/>
          <w:szCs w:val="20"/>
          <w:color w:val="auto"/>
        </w:rPr>
      </w:pPr>
    </w:p>
    <w:p>
      <w:pPr>
        <w:ind w:left="640" w:right="1879" w:hanging="4"/>
        <w:spacing w:after="0" w:line="268" w:lineRule="auto"/>
        <w:tabs>
          <w:tab w:leader="none" w:pos="10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not been and will not have been, except as set forth in or as contemplated by the Registration Statement and the Prospectus any change in the capitalization, long term or short term debt or in the capital stock or equity of the Company or any of its subsidiaries,</w:t>
      </w:r>
    </w:p>
    <w:p>
      <w:pPr>
        <w:jc w:val="both"/>
        <w:ind w:left="640" w:right="1999" w:hanging="4"/>
        <w:spacing w:after="0" w:line="279" w:lineRule="auto"/>
        <w:tabs>
          <w:tab w:leader="none" w:pos="116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incurred any material liabilities or obligations, direct or contingent, nor has it entered into any material transactions other than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w:t>
      </w:r>
    </w:p>
    <w:p>
      <w:pPr>
        <w:spacing w:after="0" w:line="211" w:lineRule="exact"/>
        <w:rPr>
          <w:sz w:val="20"/>
          <w:szCs w:val="20"/>
          <w:color w:val="auto"/>
        </w:rPr>
      </w:pPr>
    </w:p>
    <w:p>
      <w:pPr>
        <w:ind w:left="960" w:right="1879" w:firstLine="843"/>
        <w:spacing w:after="0" w:line="237" w:lineRule="auto"/>
        <w:rPr>
          <w:sz w:val="20"/>
          <w:szCs w:val="20"/>
          <w:color w:val="auto"/>
        </w:rPr>
      </w:pPr>
      <w:r>
        <w:rPr>
          <w:rFonts w:ascii="Courier New" w:cs="Courier New" w:eastAsia="Courier New" w:hAnsi="Courier New"/>
          <w:sz w:val="18"/>
          <w:szCs w:val="18"/>
          <w:color w:val="auto"/>
        </w:rPr>
        <w:t>(ac) 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Shares pursuant to the distribution contemplated by this Agreement, and other than as permitted by the Act, the Company has not distributed and will not distribute any prospectus or other offering material in connection with the offering and sale of the Shares.</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certificate or other document signed by any officer or authorized representative of the Company or any Selling Shareholder and delivered to the Representatives or to counsel for the Underwriters shall be deemed a representation and warranty by such entity or person, as the case may be, to each Underwriter as to the matter covered thereby.</w:t>
      </w:r>
    </w:p>
    <w:p>
      <w:pPr>
        <w:spacing w:after="0" w:line="209" w:lineRule="exact"/>
        <w:rPr>
          <w:sz w:val="20"/>
          <w:szCs w:val="20"/>
          <w:color w:val="auto"/>
        </w:rPr>
      </w:pPr>
    </w:p>
    <w:p>
      <w:pPr>
        <w:ind w:right="1879" w:firstLine="1799"/>
        <w:spacing w:after="0" w:line="236" w:lineRule="auto"/>
        <w:tabs>
          <w:tab w:leader="none" w:pos="221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Selling Stockholder. Each Selling Stockholder severally represents and warrants to each Underwriter that:</w:t>
      </w:r>
    </w:p>
    <w:p>
      <w:pPr>
        <w:spacing w:after="0" w:line="209" w:lineRule="exact"/>
        <w:rPr>
          <w:sz w:val="20"/>
          <w:szCs w:val="20"/>
          <w:color w:val="auto"/>
        </w:rPr>
      </w:pPr>
    </w:p>
    <w:p>
      <w:pPr>
        <w:ind w:left="960" w:right="2099" w:firstLine="839"/>
        <w:spacing w:after="0" w:line="237" w:lineRule="auto"/>
        <w:tabs>
          <w:tab w:leader="none" w:pos="2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is the lawful owner of the Shares to be sold by such Selling Stockholder pursuant to this Agreement and has, and on the Closing Date will have, good and clear title to such Shares, free of all restrictions on transfer, liens, encumbrances, security interests and claims whatsoever (other than restrictions under federal or state securities laws).</w:t>
      </w:r>
    </w:p>
    <w:p>
      <w:pPr>
        <w:spacing w:after="0" w:line="209" w:lineRule="exact"/>
        <w:rPr>
          <w:rFonts w:ascii="Courier New" w:cs="Courier New" w:eastAsia="Courier New" w:hAnsi="Courier New"/>
          <w:sz w:val="18"/>
          <w:szCs w:val="18"/>
          <w:color w:val="auto"/>
        </w:rPr>
      </w:pPr>
    </w:p>
    <w:p>
      <w:pPr>
        <w:ind w:left="960" w:right="1999" w:firstLine="839"/>
        <w:spacing w:after="0" w:line="237" w:lineRule="auto"/>
        <w:tabs>
          <w:tab w:leader="none" w:pos="2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delivery of and payment for such Shares pursuant to this Agreement, good and clear title to such Shares will pass to the Underwriters, free of all restrictions on transfer, liens, encumbrances, security interests and claims whatsoever.</w:t>
      </w:r>
    </w:p>
    <w:p>
      <w:pPr>
        <w:spacing w:after="0" w:line="207" w:lineRule="exact"/>
        <w:rPr>
          <w:rFonts w:ascii="Courier New" w:cs="Courier New" w:eastAsia="Courier New" w:hAnsi="Courier New"/>
          <w:sz w:val="18"/>
          <w:szCs w:val="18"/>
          <w:color w:val="auto"/>
        </w:rPr>
      </w:pPr>
    </w:p>
    <w:p>
      <w:pPr>
        <w:ind w:left="960" w:right="2319" w:firstLine="839"/>
        <w:spacing w:after="0" w:line="235" w:lineRule="auto"/>
        <w:tabs>
          <w:tab w:leader="none" w:pos="232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and on the Closing Date will have, full legal right, power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authority to enter into this Agreement and the Custody Agreement between the Selling Stockholder and the Company, as Custodian (the "Custody Agreement") and to sell, assign, transfer and deliver such Shares in the manner provided herein and therein, and this Agreement and the Custody Agreement have been duly authorized, executed and delivered by such Selling Stockholder and each of this Agreement and the Custody Agreement is a valid and binding agreement of such Selling Stockholder enforceable in accordance with its terms, except as rights to indemnity and contribution hereunder may be limited by applicable law or public policy.</w:t>
      </w:r>
    </w:p>
    <w:p>
      <w:pPr>
        <w:spacing w:after="0" w:line="215" w:lineRule="exact"/>
        <w:rPr>
          <w:sz w:val="20"/>
          <w:szCs w:val="20"/>
          <w:color w:val="auto"/>
        </w:rPr>
      </w:pPr>
    </w:p>
    <w:p>
      <w:pPr>
        <w:ind w:left="640" w:right="1879" w:firstLine="839"/>
        <w:spacing w:after="0" w:line="270" w:lineRule="auto"/>
        <w:tabs>
          <w:tab w:leader="none" w:pos="200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 of attorney signed by such Selling Stockholder appointing Earl E. DeFrates and Gregory T. Sangalis, or either one of them, as such Selling Stockholder's attorney-in-fact to the extent set forth therein with regard to the transactions contemplated hereby and by the Registration Statement and the Custody Agreement has been duly authorized, executed and delivered by or on behalf of such Selling Stockholder and is a valid and binding instrument of such Selling Stockholder enforceable in accordance with its terms, and, pursuant to such power of attorney, such Selling Stockholder has authorized Earl E. DeFrates and Gregory T. Sangalis or either one of them, to execute and deliver on such Selling Stockholder's behalf this Agreement and any other document necessary or desirable in connection with transactions contemplated hereby and to deliver the Shares to be sold by such Selling Stockholder pursuant to this Agreement.</w:t>
      </w:r>
    </w:p>
    <w:p>
      <w:pPr>
        <w:spacing w:after="0" w:line="387" w:lineRule="exact"/>
        <w:rPr>
          <w:rFonts w:ascii="Courier New" w:cs="Courier New" w:eastAsia="Courier New" w:hAnsi="Courier New"/>
          <w:sz w:val="16"/>
          <w:szCs w:val="16"/>
          <w:color w:val="auto"/>
        </w:rPr>
      </w:pPr>
    </w:p>
    <w:p>
      <w:pPr>
        <w:ind w:left="640" w:right="1879" w:firstLine="839"/>
        <w:spacing w:after="0" w:line="237" w:lineRule="auto"/>
        <w:tabs>
          <w:tab w:leader="none" w:pos="200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not taken, and will not take, directly or indirectly, any action designed to, or which might reasonably be expected to, cause or result in stabilization or manipulation of the price of any security of the Company to facilitate the sale or resale of the Shares pursuant to the distribution contemplated by this Agreement, and other than as permitted by the Act, the Selling Stockholder has not distributed and will not distribute any prospectus or other offering material in connection with the offering and sale of the Shares.</w:t>
      </w:r>
    </w:p>
    <w:p>
      <w:pPr>
        <w:spacing w:after="0" w:line="213" w:lineRule="exact"/>
        <w:rPr>
          <w:rFonts w:ascii="Courier New" w:cs="Courier New" w:eastAsia="Courier New" w:hAnsi="Courier New"/>
          <w:sz w:val="18"/>
          <w:szCs w:val="18"/>
          <w:color w:val="auto"/>
        </w:rPr>
      </w:pPr>
    </w:p>
    <w:p>
      <w:pPr>
        <w:ind w:left="640" w:right="1879" w:firstLine="839"/>
        <w:spacing w:after="0" w:line="237" w:lineRule="auto"/>
        <w:tabs>
          <w:tab w:leader="none" w:pos="200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by such Selling Stockholder, compliance by such Selling Stockholder with all the provisions hereof and the consummation of the transactions contemplated hereby will not require any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approval, authorization or other order of any court, regulatory body, administrative agency or other governmental body (except as such may be required under the Act, state securities laws or Blue Sky laws) and will not conflict with or constitute a breach of any of the terms or provisions of, or a default under, organizational documents of such Selling Stockholder, if not an individual, or any agreement, indenture or other instrument to which such Selling Stockholder is a party or by which such Selling Stockholder or property of such Selling Stockholder is bound, or violate or conflict with any laws, administrative regulation or ruling or court decree applicable to such Selling Stockholder or property of such Selling Stockholder.</w:t>
      </w:r>
    </w:p>
    <w:p>
      <w:pPr>
        <w:spacing w:after="0" w:line="392" w:lineRule="exact"/>
        <w:rPr>
          <w:sz w:val="20"/>
          <w:szCs w:val="20"/>
          <w:color w:val="auto"/>
        </w:rPr>
      </w:pPr>
    </w:p>
    <w:p>
      <w:pPr>
        <w:ind w:left="640" w:right="1879" w:firstLine="839"/>
        <w:spacing w:after="0" w:line="237" w:lineRule="auto"/>
        <w:tabs>
          <w:tab w:leader="none" w:pos="20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parts of the Registration Statement under the caption "Selling Stockholder" which specifically relate to such Selling Stockholder do not, and will not on the Closing Date, contain any untrue statement of a material fact or omit to state any material fact required to be stated therein or necessary to make the statements therein, in light of circumstances under which they were made, not misleading.</w:t>
      </w:r>
    </w:p>
    <w:p>
      <w:pPr>
        <w:spacing w:after="0" w:line="211" w:lineRule="exact"/>
        <w:rPr>
          <w:rFonts w:ascii="Courier New" w:cs="Courier New" w:eastAsia="Courier New" w:hAnsi="Courier New"/>
          <w:sz w:val="18"/>
          <w:szCs w:val="18"/>
          <w:color w:val="auto"/>
        </w:rPr>
      </w:pPr>
    </w:p>
    <w:p>
      <w:pPr>
        <w:ind w:left="640" w:right="1879" w:firstLine="839"/>
        <w:spacing w:after="0" w:line="237" w:lineRule="auto"/>
        <w:tabs>
          <w:tab w:leader="none" w:pos="20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the period described in paragraph 5(e) hereof, if there is any change in the information referred to in paragraph 7(g) above, the Selling Stockholder will immediately notify you of such change.</w:t>
      </w:r>
    </w:p>
    <w:p>
      <w:pPr>
        <w:spacing w:after="0" w:line="207" w:lineRule="exact"/>
        <w:rPr>
          <w:sz w:val="20"/>
          <w:szCs w:val="20"/>
          <w:color w:val="auto"/>
        </w:rPr>
      </w:pPr>
    </w:p>
    <w:p>
      <w:pPr>
        <w:ind w:left="-320" w:right="1879" w:firstLine="1799"/>
        <w:spacing w:after="0" w:line="270" w:lineRule="auto"/>
        <w:tabs>
          <w:tab w:leader="none" w:pos="189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 The Company agrees to indemnify and hold harmless each Underwriter and each person, if any, who controls any Underwriter within the meaning of Section 15 of the Act or Section 20 of the Securities Exchange Act of 1934, as amended (the "Exchange Act"),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left="-320" w:right="1879" w:firstLine="1799"/>
        <w:spacing w:after="0" w:line="269" w:lineRule="auto"/>
        <w:tabs>
          <w:tab w:leader="none" w:pos="199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 agrees to indemnify and hold harmless each Underwriter and each person, if any, who controls any Underwriter within the meaning of Section 15 of the Act or Section 20 of the Securities Exchange Act of 1934, as amended (the "Exchange Act"), from and against any and all losses, claims, damages, liabilities and judgments caused by any untrue statement or alleged untrue statement of a material fact under the caption "Selling Stockholder"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 Notwithstanding the foregoing, the aggregate liability of any Selling Stockholder pursuant to the provisions of this paragraph shall be limited to an amount equal to the aggregate purchase price received by such Selling Stockholder from the sale of such Selling Stockholder's Shares hereunder.</w:t>
      </w:r>
    </w:p>
    <w:p>
      <w:pPr>
        <w:spacing w:after="0" w:line="394" w:lineRule="exact"/>
        <w:rPr>
          <w:rFonts w:ascii="Courier New" w:cs="Courier New" w:eastAsia="Courier New" w:hAnsi="Courier New"/>
          <w:sz w:val="16"/>
          <w:szCs w:val="16"/>
          <w:color w:val="auto"/>
        </w:rPr>
      </w:pPr>
    </w:p>
    <w:p>
      <w:pPr>
        <w:ind w:left="-320" w:right="1879" w:firstLine="1799"/>
        <w:spacing w:after="0" w:line="270" w:lineRule="auto"/>
        <w:tabs>
          <w:tab w:leader="none" w:pos="199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agreement contained in paragraphs 8(a) and 8(b), with respect to any preliminary prospectus, shall not inure to the benefit of any Underwriter to the extent that any loss, claim, damages or liability results from the fact that a copy of the Prospectus was not sent or given by or on behalf of such Underwriter to the person asserting any such loss, claim, damages or liability to the extent that the Prospectus would have cured the defect giving rise to such loss, claim, damages,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89" w:lineRule="exact"/>
        <w:rPr>
          <w:rFonts w:ascii="Courier New" w:cs="Courier New" w:eastAsia="Courier New" w:hAnsi="Courier New"/>
          <w:sz w:val="16"/>
          <w:szCs w:val="16"/>
          <w:color w:val="auto"/>
        </w:rPr>
      </w:pPr>
    </w:p>
    <w:p>
      <w:pPr>
        <w:ind w:left="-320" w:right="2099" w:firstLine="1799"/>
        <w:spacing w:after="0" w:line="237" w:lineRule="auto"/>
        <w:tabs>
          <w:tab w:leader="none" w:pos="199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or the Selling Stockholder, such Underwriter shall promptly notify the Company or the Selling Stockholder, as applicable, in writing and the Company or the Selling Stockholder, as applicable, (the "indemnifying party") shall assume the defense thereof, including the employment of counsel reasonably satisfactory to such indemnified party and payment of all fees and expenses.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indemnifying part shall have failed to assume the defense and employ counsel or</w:t>
      </w:r>
    </w:p>
    <w:p>
      <w:pPr>
        <w:spacing w:after="0" w:line="1" w:lineRule="exact"/>
        <w:rPr>
          <w:sz w:val="20"/>
          <w:szCs w:val="20"/>
          <w:color w:val="auto"/>
        </w:rPr>
      </w:pPr>
    </w:p>
    <w:p>
      <w:pPr>
        <w:ind w:right="1879" w:firstLine="8"/>
        <w:spacing w:after="0" w:line="268" w:lineRule="auto"/>
        <w:tabs>
          <w:tab w:leader="none" w:pos="6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named parties to any such action (including any impleaded parties) include both such Underwriter or such controlling person and the indemnifying party and such Underwriter or such controlling person shall have been advised by such counsel that there may be one or more legal defenses available to it which are different from or additional to those available to the indemnifying part (in which case the indemnifying party shall not have the right to assume the defense of such action on behalf of such Underwriter or such controlling person, it being understood, however,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A Seller shall not be liable for any settlement of any such action effected without the written consent of such Seller but if settled with the written consent of such Seller, such Seller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indemnifying party and an indemnified party shall have requested the indemnifying party to reimburse the indemnified party for such fees and expenses of counsel as incurred, such indemnifying party agrees that it shall be liable for any settlement of any action effected without its written consent if (i) such settlement is entered into more than forty business days after the receipt by such indemnifying party of the aforesaid request and (ii) such indemnifying party shall have failed to reimburse the indemnified party in accordance with such request for reimbursement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party from all liability on claims that are the subject matter of such proceeding.</w:t>
      </w:r>
    </w:p>
    <w:p>
      <w:pPr>
        <w:spacing w:after="0" w:line="208" w:lineRule="exact"/>
        <w:rPr>
          <w:sz w:val="20"/>
          <w:szCs w:val="20"/>
          <w:color w:val="auto"/>
        </w:rPr>
      </w:pPr>
    </w:p>
    <w:p>
      <w:pPr>
        <w:ind w:right="1879" w:firstLine="1799"/>
        <w:spacing w:after="0" w:line="269" w:lineRule="auto"/>
        <w:tabs>
          <w:tab w:leader="none" w:pos="231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any person controlling the Company within the meaning of Section 15 of the Act or Section 20 of the Exchange Act, each Selling Stockholder and each person, if any, controlling such Selling Stockholder within the meaning of Section 15 of the Act or Section 20 of the Exchange Act to the same extent as the foregoing indemnity from the Sellers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or any Selling Stockholder or any person controlling such Selling Stockholder based on the Registration Statement, the Prospectus or any preliminary prospectus and in respect of which indemnity may be sought against any Underwriter, the Underwriter shall have the rights and duties given to the Sellers (except that if any Seller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and the Selling Stockholder and any person controlling such Selling Stockholder shall have the rights and duties given to the Underwriter, by Section 8(d) hereof.</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1799"/>
        <w:spacing w:after="0" w:line="270" w:lineRule="auto"/>
        <w:tabs>
          <w:tab w:leader="none" w:pos="231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Sellers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Sellers and the Underwriters in connection with the statements or omissions which resulted in such losses, claims, damages, liabilities or judgments, as well as any other relevant equitable considerations. The relative benefits received by the Sellers and the Underwriters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in the same proportion as the total net proceeds from the offering (before deducting expenses) received by the Sellers, and the total underwriting discounts and commissions received by the Underwriters, bear to the total price to the public of the Shares, in each case as set forth in the table on the cover page of the Prospectus. The relative fault of the Sellers and the Underwriters shall be determined by reference to, among other things, whether the untrue or alleged untrue statement of a material fact or the omission to state a material fact relates to information supplied by the Company, the Selling Stockholder or the Underwriters and the parties' relative intent, knowledge, access to information and opportunity to correct or prevent such statement or omission.</w:t>
      </w:r>
    </w:p>
    <w:p>
      <w:pPr>
        <w:spacing w:after="0" w:line="216"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The Sellers and the Underwriters agree that it would not be just and equitable if contribution pursuant to this Section 8(f)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8(f) are several in proportion to the respective number of Shares purchased by each of the Underwriters hereunder and not joint. Notwithstanding the provisions of this Section 8, the Selling Stockholder shall not be required to contribute any amount in excess of the amount by which the aggregate purchase price received by the Selling Stockholder from the sale of the Selling Stockholder's Shares hereunder exceeds the amount of any damages that such Selling Stockholder has otherwise been required to pay to persons who also have claims against the Underwriter by reason of the misstatement or omission that would have given rise to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320" w:right="1879" w:firstLine="1799"/>
        <w:spacing w:after="0" w:line="237" w:lineRule="auto"/>
        <w:tabs>
          <w:tab w:leader="none" w:pos="199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hereby designates Corporation Trust Company, [ADDRESS OF COMPANY],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8, and each Seller will accept the jurisdiction of such court in such action, and waives, to the fullest extent permitted by applicable law, any defense based upon lack of personal jurisdiction or venue. A copy of any such process shall be sent or given to such Seller, at the address for notices specified in Section 13 hereof.</w:t>
      </w:r>
    </w:p>
    <w:p>
      <w:pPr>
        <w:spacing w:after="0" w:line="216" w:lineRule="exact"/>
        <w:rPr>
          <w:sz w:val="20"/>
          <w:szCs w:val="20"/>
          <w:color w:val="auto"/>
        </w:rPr>
      </w:pPr>
    </w:p>
    <w:p>
      <w:pPr>
        <w:ind w:left="-320" w:right="2419" w:firstLine="1799"/>
        <w:spacing w:after="0" w:line="236" w:lineRule="auto"/>
        <w:tabs>
          <w:tab w:leader="none" w:pos="189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 obligations of the Underwriters under this Agreement are subject to the satisfaction of each of the following conditions:</w:t>
      </w:r>
    </w:p>
    <w:p>
      <w:pPr>
        <w:spacing w:after="0" w:line="209" w:lineRule="exact"/>
        <w:rPr>
          <w:sz w:val="20"/>
          <w:szCs w:val="20"/>
          <w:color w:val="auto"/>
        </w:rPr>
      </w:pPr>
    </w:p>
    <w:p>
      <w:pPr>
        <w:ind w:left="640" w:right="1879" w:firstLine="839"/>
        <w:spacing w:after="0" w:line="237" w:lineRule="auto"/>
        <w:tabs>
          <w:tab w:leader="none" w:pos="200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representations and warranties of the Company contained in this Agreement shall be true and correct on the Closing Date and the Option Closing Date with the same force and effect as if made on and as of the Closing Date or the Option Closing Date, as the case may be.</w:t>
      </w:r>
    </w:p>
    <w:p>
      <w:pPr>
        <w:spacing w:after="0" w:line="208" w:lineRule="exact"/>
        <w:rPr>
          <w:rFonts w:ascii="Courier New" w:cs="Courier New" w:eastAsia="Courier New" w:hAnsi="Courier New"/>
          <w:sz w:val="18"/>
          <w:szCs w:val="18"/>
          <w:color w:val="auto"/>
        </w:rPr>
      </w:pPr>
    </w:p>
    <w:p>
      <w:pPr>
        <w:ind w:left="640" w:right="1879" w:firstLine="839"/>
        <w:spacing w:after="0" w:line="271" w:lineRule="auto"/>
        <w:tabs>
          <w:tab w:leader="none" w:pos="200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and the Option Closing Date, as the case be, no stop order suspending the effectiveness of the Registration Statement shall have been issued and no proceedings for that purpose shall have been commenced or shall be pending before or contemplated by the Commission.</w:t>
      </w:r>
    </w:p>
    <w:p>
      <w:pPr>
        <w:spacing w:after="0" w:line="388" w:lineRule="exact"/>
        <w:rPr>
          <w:rFonts w:ascii="Courier New" w:cs="Courier New" w:eastAsia="Courier New" w:hAnsi="Courier New"/>
          <w:sz w:val="16"/>
          <w:szCs w:val="16"/>
          <w:color w:val="auto"/>
        </w:rPr>
      </w:pPr>
    </w:p>
    <w:p>
      <w:pPr>
        <w:ind w:left="640" w:right="1879" w:firstLine="839"/>
        <w:spacing w:after="0" w:line="268" w:lineRule="auto"/>
        <w:tabs>
          <w:tab w:leader="none" w:pos="200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w:t>
      </w:r>
    </w:p>
    <w:p>
      <w:pPr>
        <w:spacing w:after="0" w:line="1" w:lineRule="exact"/>
        <w:rPr>
          <w:rFonts w:ascii="Courier New" w:cs="Courier New" w:eastAsia="Courier New" w:hAnsi="Courier New"/>
          <w:sz w:val="16"/>
          <w:szCs w:val="16"/>
          <w:color w:val="auto"/>
        </w:rPr>
      </w:pPr>
    </w:p>
    <w:p>
      <w:pPr>
        <w:ind w:left="640" w:right="2099" w:hanging="4"/>
        <w:spacing w:after="0" w:line="237" w:lineRule="auto"/>
        <w:tabs>
          <w:tab w:leader="none" w:pos="116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the latest balance sheet included in the Registration Statement and the Prospectus there shall not have been any change, or any development involving a prospective material adverse change, in the capital stock or in the long-term debt of the Company from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left="640" w:right="1879"/>
        <w:spacing w:after="0" w:line="268" w:lineRule="auto"/>
        <w:rPr>
          <w:sz w:val="20"/>
          <w:szCs w:val="20"/>
          <w:color w:val="auto"/>
        </w:rPr>
      </w:pPr>
      <w:r>
        <w:rPr>
          <w:rFonts w:ascii="Courier New" w:cs="Courier New" w:eastAsia="Courier New" w:hAnsi="Courier New"/>
          <w:sz w:val="16"/>
          <w:szCs w:val="16"/>
          <w:color w:val="auto"/>
        </w:rPr>
        <w:t>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and the Option Closing Date you shall have received a certificate dated the Closing Date, and the Option Closing Date, as the case may be, signed by John E. Drury and Earl E. DeFrates, in their capacities as the Client Executive Officer and Chief Executive Officer of the Company, confirming the matters set forth in paragraphs (a), (b), and</w:t>
      </w:r>
    </w:p>
    <w:p>
      <w:pPr>
        <w:ind w:left="1060" w:hanging="424"/>
        <w:spacing w:after="0" w:line="235"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9.</w:t>
      </w:r>
    </w:p>
    <w:p>
      <w:pPr>
        <w:spacing w:after="0" w:line="207" w:lineRule="exact"/>
        <w:rPr>
          <w:rFonts w:ascii="Courier New" w:cs="Courier New" w:eastAsia="Courier New" w:hAnsi="Courier New"/>
          <w:sz w:val="18"/>
          <w:szCs w:val="18"/>
          <w:color w:val="auto"/>
        </w:rPr>
      </w:pPr>
    </w:p>
    <w:p>
      <w:pPr>
        <w:ind w:left="640" w:right="1999" w:firstLine="839"/>
        <w:spacing w:after="0" w:line="273" w:lineRule="auto"/>
        <w:tabs>
          <w:tab w:leader="none" w:pos="200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representations and warranties of the Selling Stockholder contained in this Agreement shall be true and correct on the Closing Date with the same force and effect as if made on and as of the Closing Date and you shall have received a certificate to such effect, dated the Closing Date, from each Selling Stockholder.</w:t>
      </w:r>
    </w:p>
    <w:p>
      <w:pPr>
        <w:spacing w:after="0" w:line="184" w:lineRule="exact"/>
        <w:rPr>
          <w:rFonts w:ascii="Courier New" w:cs="Courier New" w:eastAsia="Courier New" w:hAnsi="Courier New"/>
          <w:sz w:val="16"/>
          <w:szCs w:val="16"/>
          <w:color w:val="auto"/>
        </w:rPr>
      </w:pPr>
    </w:p>
    <w:p>
      <w:pPr>
        <w:ind w:left="640" w:right="1879" w:firstLine="839"/>
        <w:spacing w:after="0" w:line="237" w:lineRule="auto"/>
        <w:tabs>
          <w:tab w:leader="none" w:pos="200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and the Option Closing Date an opinion (satisfactory to you and counsel for the Underwriters), dated the Closing Date or the Option Closing, as applicable, of Andrews &amp; Kurth L.L.P., counsel for the Company and the Selling Stockholder, to the effect that:</w:t>
      </w:r>
    </w:p>
    <w:p>
      <w:pPr>
        <w:spacing w:after="0" w:line="208" w:lineRule="exact"/>
        <w:rPr>
          <w:rFonts w:ascii="Courier New" w:cs="Courier New" w:eastAsia="Courier New" w:hAnsi="Courier New"/>
          <w:sz w:val="18"/>
          <w:szCs w:val="18"/>
          <w:color w:val="auto"/>
        </w:rPr>
      </w:pPr>
    </w:p>
    <w:p>
      <w:pPr>
        <w:ind w:left="1480" w:right="1999" w:firstLine="1052"/>
        <w:spacing w:after="0" w:line="237" w:lineRule="auto"/>
        <w:tabs>
          <w:tab w:leader="none" w:pos="3060"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10" w:lineRule="exact"/>
        <w:rPr>
          <w:sz w:val="20"/>
          <w:szCs w:val="20"/>
          <w:color w:val="auto"/>
        </w:rPr>
      </w:pPr>
    </w:p>
    <w:p>
      <w:pPr>
        <w:ind w:left="1480" w:right="1879" w:firstLine="948"/>
        <w:spacing w:after="0" w:line="271" w:lineRule="auto"/>
        <w:rPr>
          <w:sz w:val="20"/>
          <w:szCs w:val="20"/>
          <w:color w:val="auto"/>
        </w:rPr>
      </w:pPr>
      <w:r>
        <w:rPr>
          <w:rFonts w:ascii="Courier New" w:cs="Courier New" w:eastAsia="Courier New" w:hAnsi="Courier New"/>
          <w:sz w:val="16"/>
          <w:szCs w:val="16"/>
          <w:color w:val="auto"/>
        </w:rPr>
        <w:t>[(ii) the Company and each of its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left="1480" w:right="1999" w:firstLine="947"/>
        <w:spacing w:after="0" w:line="237" w:lineRule="auto"/>
        <w:tabs>
          <w:tab w:leader="none" w:pos="316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to be issued and sold by the Company hereunder have been duly authorized, and when issued and delivered to the Underwriters against payment therefor as provided by this Agreement, will have been validly issued and will be fully paid and non-assessable, and the issuance of such Shares is not subject to any statutory preemptive rights or, to the knowledge of such counsel, any other similar rights;</w:t>
      </w:r>
    </w:p>
    <w:p>
      <w:pPr>
        <w:spacing w:after="0" w:line="212" w:lineRule="exact"/>
        <w:rPr>
          <w:rFonts w:ascii="Courier New" w:cs="Courier New" w:eastAsia="Courier New" w:hAnsi="Courier New"/>
          <w:sz w:val="18"/>
          <w:szCs w:val="18"/>
          <w:color w:val="auto"/>
        </w:rPr>
      </w:pPr>
    </w:p>
    <w:p>
      <w:pPr>
        <w:ind w:left="1480" w:right="2099" w:firstLine="947"/>
        <w:spacing w:after="0" w:line="238" w:lineRule="auto"/>
        <w:tabs>
          <w:tab w:leader="none" w:pos="3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 and is a valid and binding agreement of the Company enforceable in accordance with its terms (except as enforcement of rights to indemnity and contribution thereunder may be limited under applicable laws or principles of public policy and subject to the qualifications that the enforceability of the Company's obligations thereunder may be limited by bankruptcy, insolvency, reorganization, or other laws relating to or affecting creditors' rights generally and by general principles of equity (regardless of whether such enforceability is considered in a proceeding is equity or at law));</w:t>
      </w:r>
    </w:p>
    <w:p>
      <w:pPr>
        <w:spacing w:after="0" w:line="207" w:lineRule="exact"/>
        <w:rPr>
          <w:rFonts w:ascii="Courier New" w:cs="Courier New" w:eastAsia="Courier New" w:hAnsi="Courier New"/>
          <w:sz w:val="18"/>
          <w:szCs w:val="18"/>
          <w:color w:val="auto"/>
        </w:rPr>
      </w:pPr>
    </w:p>
    <w:p>
      <w:pPr>
        <w:ind w:left="1480" w:right="2199" w:firstLine="947"/>
        <w:spacing w:after="0" w:line="279" w:lineRule="auto"/>
        <w:tabs>
          <w:tab w:leader="none" w:pos="295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including the Common Stock, conforms as to legal matters to the description thereof contained in the Prospectus;</w:t>
      </w:r>
    </w:p>
    <w:p>
      <w:pPr>
        <w:spacing w:after="0" w:line="178" w:lineRule="exact"/>
        <w:rPr>
          <w:rFonts w:ascii="Courier New" w:cs="Courier New" w:eastAsia="Courier New" w:hAnsi="Courier New"/>
          <w:sz w:val="16"/>
          <w:szCs w:val="16"/>
          <w:color w:val="auto"/>
        </w:rPr>
      </w:pPr>
    </w:p>
    <w:p>
      <w:pPr>
        <w:ind w:left="1480" w:right="1879" w:firstLine="947"/>
        <w:spacing w:after="0" w:line="237" w:lineRule="auto"/>
        <w:tabs>
          <w:tab w:leader="none" w:pos="3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208" w:lineRule="exact"/>
        <w:rPr>
          <w:rFonts w:ascii="Courier New" w:cs="Courier New" w:eastAsia="Courier New" w:hAnsi="Courier New"/>
          <w:sz w:val="18"/>
          <w:szCs w:val="18"/>
          <w:color w:val="auto"/>
        </w:rPr>
      </w:pPr>
    </w:p>
    <w:p>
      <w:pPr>
        <w:ind w:left="1480" w:right="1879" w:firstLine="947"/>
        <w:spacing w:after="0" w:line="271" w:lineRule="auto"/>
        <w:tabs>
          <w:tab w:leader="none" w:pos="31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under the captions "Description of USA Waste Capital Stock" in the Proxy Statement and "Underwriting" in the Prospectus and Item 15 of Part II of the Registration Statement insofar as such statements constitute a summary of legal matters or documents referred to therein, fairly present the information called for with respect to such legal matters or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left="1480" w:right="1879" w:firstLine="947"/>
        <w:spacing w:after="0" w:line="270" w:lineRule="auto"/>
        <w:tabs>
          <w:tab w:leader="none" w:pos="327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the Company and the Selling Stockholder, compliance by the Company and the Selling Stockholder with all the provisions hereof and the consummation of the transactions contemplated 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391" w:lineRule="exact"/>
        <w:rPr>
          <w:rFonts w:ascii="Courier New" w:cs="Courier New" w:eastAsia="Courier New" w:hAnsi="Courier New"/>
          <w:sz w:val="16"/>
          <w:szCs w:val="16"/>
          <w:color w:val="auto"/>
        </w:rPr>
      </w:pPr>
    </w:p>
    <w:p>
      <w:pPr>
        <w:ind w:left="1480" w:right="1879" w:firstLine="947"/>
        <w:spacing w:after="0" w:line="238" w:lineRule="auto"/>
        <w:tabs>
          <w:tab w:leader="none" w:pos="30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there are no legal or governmental proceeding pending or threatened to which the Company is a party or to which any of its property is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207" w:lineRule="exact"/>
        <w:rPr>
          <w:rFonts w:ascii="Courier New" w:cs="Courier New" w:eastAsia="Courier New" w:hAnsi="Courier New"/>
          <w:sz w:val="18"/>
          <w:szCs w:val="18"/>
          <w:color w:val="auto"/>
        </w:rPr>
      </w:pPr>
    </w:p>
    <w:p>
      <w:pPr>
        <w:ind w:left="1480" w:right="1999" w:firstLine="947"/>
        <w:spacing w:after="0" w:line="279" w:lineRule="auto"/>
        <w:tabs>
          <w:tab w:leader="none" w:pos="295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78" w:lineRule="exact"/>
        <w:rPr>
          <w:rFonts w:ascii="Courier New" w:cs="Courier New" w:eastAsia="Courier New" w:hAnsi="Courier New"/>
          <w:sz w:val="16"/>
          <w:szCs w:val="16"/>
          <w:color w:val="auto"/>
        </w:rPr>
      </w:pPr>
    </w:p>
    <w:p>
      <w:pPr>
        <w:ind w:left="1480" w:right="1879" w:firstLine="947"/>
        <w:spacing w:after="0" w:line="268" w:lineRule="auto"/>
        <w:tabs>
          <w:tab w:leader="none" w:pos="306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 and</w:t>
      </w:r>
    </w:p>
    <w:p>
      <w:pPr>
        <w:ind w:left="1900" w:hanging="421"/>
        <w:spacing w:after="0" w:line="238"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believes that (except for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left="1480" w:right="1879"/>
        <w:spacing w:after="0" w:line="270" w:lineRule="auto"/>
        <w:rPr>
          <w:sz w:val="20"/>
          <w:szCs w:val="20"/>
          <w:color w:val="auto"/>
        </w:rPr>
      </w:pPr>
      <w:r>
        <w:rPr>
          <w:rFonts w:ascii="Courier New" w:cs="Courier New" w:eastAsia="Courier New" w:hAnsi="Courier New"/>
          <w:sz w:val="16"/>
          <w:szCs w:val="16"/>
          <w:color w:val="auto"/>
        </w:rPr>
        <w:t>statements, financial and statistical information contained therein, as aforesaid)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389" w:lineRule="exact"/>
        <w:rPr>
          <w:sz w:val="20"/>
          <w:szCs w:val="20"/>
          <w:color w:val="auto"/>
        </w:rPr>
      </w:pPr>
    </w:p>
    <w:p>
      <w:pPr>
        <w:ind w:left="640" w:right="2199" w:firstLine="839"/>
        <w:spacing w:after="0" w:line="237" w:lineRule="auto"/>
        <w:tabs>
          <w:tab w:leader="none" w:pos="200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and the Option Closing Date an opinion (satisfactory to you and counsel for the Underwriters), dated the Closing Date, of Snell &amp; Smith L.L.P., counsel for the Company, to the effect that:</w:t>
      </w:r>
    </w:p>
    <w:p>
      <w:pPr>
        <w:spacing w:after="0" w:line="207" w:lineRule="exact"/>
        <w:rPr>
          <w:rFonts w:ascii="Courier New" w:cs="Courier New" w:eastAsia="Courier New" w:hAnsi="Courier New"/>
          <w:sz w:val="18"/>
          <w:szCs w:val="18"/>
          <w:color w:val="auto"/>
        </w:rPr>
      </w:pPr>
    </w:p>
    <w:p>
      <w:pPr>
        <w:ind w:left="1480" w:right="1879" w:firstLine="947"/>
        <w:spacing w:after="0" w:line="237" w:lineRule="auto"/>
        <w:tabs>
          <w:tab w:leader="none" w:pos="2955"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Company's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210" w:lineRule="exact"/>
        <w:rPr>
          <w:sz w:val="20"/>
          <w:szCs w:val="20"/>
          <w:color w:val="auto"/>
        </w:rPr>
      </w:pPr>
    </w:p>
    <w:p>
      <w:pPr>
        <w:ind w:left="1480" w:right="1879" w:firstLine="948"/>
        <w:spacing w:after="0" w:line="271" w:lineRule="auto"/>
        <w:rPr>
          <w:sz w:val="20"/>
          <w:szCs w:val="20"/>
          <w:color w:val="auto"/>
        </w:rPr>
      </w:pPr>
      <w:r>
        <w:rPr>
          <w:rFonts w:ascii="Courier New" w:cs="Courier New" w:eastAsia="Courier New" w:hAnsi="Courier New"/>
          <w:sz w:val="16"/>
          <w:szCs w:val="16"/>
          <w:color w:val="auto"/>
        </w:rPr>
        <w:t>[(ii) the Company and each of its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88" w:lineRule="exact"/>
        <w:rPr>
          <w:sz w:val="20"/>
          <w:szCs w:val="20"/>
          <w:color w:val="auto"/>
        </w:rPr>
      </w:pPr>
    </w:p>
    <w:p>
      <w:pPr>
        <w:ind w:left="1480" w:right="1879" w:firstLine="947"/>
        <w:spacing w:after="0" w:line="237" w:lineRule="auto"/>
        <w:tabs>
          <w:tab w:leader="none" w:pos="316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interests in, each of the Company's subsidiaries have been duly and validly authorized and issued and are fully paid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left="1480" w:right="1999"/>
        <w:spacing w:after="0" w:line="236" w:lineRule="auto"/>
        <w:rPr>
          <w:sz w:val="20"/>
          <w:szCs w:val="20"/>
          <w:color w:val="auto"/>
        </w:rPr>
      </w:pPr>
      <w:r>
        <w:rPr>
          <w:rFonts w:ascii="Courier New" w:cs="Courier New" w:eastAsia="Courier New" w:hAnsi="Courier New"/>
          <w:sz w:val="18"/>
          <w:szCs w:val="18"/>
          <w:color w:val="auto"/>
        </w:rPr>
        <w:t>non-assessable, and are owned by the Company, free and clear of any security interest, claim, lien, encumbrance or adverse interest of any nature;</w:t>
      </w:r>
    </w:p>
    <w:p>
      <w:pPr>
        <w:spacing w:after="0" w:line="209" w:lineRule="exact"/>
        <w:rPr>
          <w:sz w:val="20"/>
          <w:szCs w:val="20"/>
          <w:color w:val="auto"/>
        </w:rPr>
      </w:pPr>
    </w:p>
    <w:p>
      <w:pPr>
        <w:ind w:left="1480" w:right="2099" w:firstLine="947"/>
        <w:spacing w:after="0" w:line="237" w:lineRule="auto"/>
        <w:tabs>
          <w:tab w:leader="none" w:pos="3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outstanding shares of Common Stock (including the Shares to be sold by the Selling Stockholder) have been duly authorized and validly issued and are fully paid, non-assessable and not subject to any statutory preemptive rights or, to the knowledge of such counsel, any other similar rights;</w:t>
      </w:r>
    </w:p>
    <w:p>
      <w:pPr>
        <w:spacing w:after="0" w:line="209" w:lineRule="exact"/>
        <w:rPr>
          <w:rFonts w:ascii="Courier New" w:cs="Courier New" w:eastAsia="Courier New" w:hAnsi="Courier New"/>
          <w:sz w:val="18"/>
          <w:szCs w:val="18"/>
          <w:color w:val="auto"/>
        </w:rPr>
      </w:pPr>
    </w:p>
    <w:p>
      <w:pPr>
        <w:ind w:left="1480" w:right="1999" w:firstLine="947"/>
        <w:spacing w:after="0" w:line="238" w:lineRule="auto"/>
        <w:tabs>
          <w:tab w:leader="none" w:pos="295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in violation of its respective charter or by-laws and, to the best of such counsel's knowledge after due inquiry, neither the Company nor any of its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property is bound;</w:t>
      </w:r>
    </w:p>
    <w:p>
      <w:pPr>
        <w:spacing w:after="0" w:line="207" w:lineRule="exact"/>
        <w:rPr>
          <w:rFonts w:ascii="Courier New" w:cs="Courier New" w:eastAsia="Courier New" w:hAnsi="Courier New"/>
          <w:sz w:val="18"/>
          <w:szCs w:val="18"/>
          <w:color w:val="auto"/>
        </w:rPr>
      </w:pPr>
    </w:p>
    <w:p>
      <w:pPr>
        <w:ind w:left="1480" w:right="1879" w:firstLine="947"/>
        <w:spacing w:after="0" w:line="270" w:lineRule="auto"/>
        <w:tabs>
          <w:tab w:leader="none" w:pos="3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the Company, compliance by the Company with all the provisions hereof and the consummation of the transactions contemplated hereby will not conflict with or constitute a breach of any of the terms or provisions of, or a default under, the charter or by-laws of any of the Company's subsidiaries or any agreement, indenture or other instrument to which the Company or any of its subsidiaries is a party or by which the Company or any of its subsidiaries or their respective properties are bound, or violate or conflict with any laws, administrative regulations or rulings or court decrees applicable to the Company or any of its subsidiaries or their respective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left="1480" w:right="1879" w:firstLine="947"/>
        <w:spacing w:after="0" w:line="238" w:lineRule="auto"/>
        <w:tabs>
          <w:tab w:leader="none" w:pos="316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there are no legal or governmental proceedings pending or threatened to which the Company or any of its subsidiaries is a party or to which any of their respective property is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207" w:lineRule="exact"/>
        <w:rPr>
          <w:rFonts w:ascii="Courier New" w:cs="Courier New" w:eastAsia="Courier New" w:hAnsi="Courier New"/>
          <w:sz w:val="18"/>
          <w:szCs w:val="18"/>
          <w:color w:val="auto"/>
        </w:rPr>
      </w:pPr>
    </w:p>
    <w:p>
      <w:pPr>
        <w:ind w:left="1480" w:right="1879" w:firstLine="947"/>
        <w:spacing w:after="0" w:line="237" w:lineRule="auto"/>
        <w:tabs>
          <w:tab w:leader="none" w:pos="327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215" w:lineRule="exact"/>
        <w:rPr>
          <w:rFonts w:ascii="Courier New" w:cs="Courier New" w:eastAsia="Courier New" w:hAnsi="Courier New"/>
          <w:sz w:val="18"/>
          <w:szCs w:val="18"/>
          <w:color w:val="auto"/>
        </w:rPr>
      </w:pPr>
    </w:p>
    <w:p>
      <w:pPr>
        <w:ind w:left="1480" w:right="1879" w:firstLine="947"/>
        <w:spacing w:after="0" w:line="270" w:lineRule="auto"/>
        <w:tabs>
          <w:tab w:leader="none" w:pos="30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899"/>
          </w:cols>
          <w:pgMar w:left="56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all of its material obligations with respect to such permits and no event has occurred which allows, or after notice or lapse of time would allow, 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214" w:lineRule="exact"/>
        <w:rPr>
          <w:sz w:val="20"/>
          <w:szCs w:val="20"/>
          <w:color w:val="auto"/>
        </w:rPr>
      </w:pPr>
    </w:p>
    <w:p>
      <w:pPr>
        <w:ind w:left="1480" w:right="1879" w:firstLine="947"/>
        <w:spacing w:after="0" w:line="237" w:lineRule="auto"/>
        <w:tabs>
          <w:tab w:leader="none" w:pos="30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208" w:lineRule="exact"/>
        <w:rPr>
          <w:rFonts w:ascii="Courier New" w:cs="Courier New" w:eastAsia="Courier New" w:hAnsi="Courier New"/>
          <w:sz w:val="18"/>
          <w:szCs w:val="18"/>
          <w:color w:val="auto"/>
        </w:rPr>
      </w:pPr>
    </w:p>
    <w:p>
      <w:pPr>
        <w:ind w:left="1480" w:right="1999" w:firstLine="947"/>
        <w:spacing w:after="0" w:line="238" w:lineRule="auto"/>
        <w:tabs>
          <w:tab w:leader="none" w:pos="30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believes that (except for financial statements, financial and statistical information contained therein, as aforesaid)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208" w:lineRule="exact"/>
        <w:rPr>
          <w:rFonts w:ascii="Courier New" w:cs="Courier New" w:eastAsia="Courier New" w:hAnsi="Courier New"/>
          <w:sz w:val="18"/>
          <w:szCs w:val="18"/>
          <w:color w:val="auto"/>
        </w:rPr>
      </w:pPr>
    </w:p>
    <w:p>
      <w:pPr>
        <w:ind w:left="1480" w:right="1999" w:firstLine="947"/>
        <w:spacing w:after="0" w:line="237" w:lineRule="auto"/>
        <w:tabs>
          <w:tab w:leader="none" w:pos="316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descriptions in the Prospectus of statutes, regulations or legal or governmental proceedings in all material respects are accurate and fairly present the information required to be shown;</w:t>
      </w:r>
    </w:p>
    <w:p>
      <w:pPr>
        <w:spacing w:after="0" w:line="207" w:lineRule="exact"/>
        <w:rPr>
          <w:rFonts w:ascii="Courier New" w:cs="Courier New" w:eastAsia="Courier New" w:hAnsi="Courier New"/>
          <w:sz w:val="18"/>
          <w:szCs w:val="18"/>
          <w:color w:val="auto"/>
        </w:rPr>
      </w:pPr>
    </w:p>
    <w:p>
      <w:pPr>
        <w:ind w:left="640" w:right="2519" w:firstLine="839"/>
        <w:spacing w:after="0" w:line="235" w:lineRule="auto"/>
        <w:tabs>
          <w:tab w:leader="none" w:pos="200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and the Option Closing Date an opinion (satisfactory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32</w:t>
      </w:r>
    </w:p>
    <w:tbl>
      <w:tblPr>
        <w:tblLayout w:type="fixed"/>
        <w:tblInd w:w="640" w:type="dxa"/>
        <w:tblCellMar>
          <w:top w:w="0" w:type="dxa"/>
          <w:left w:w="0" w:type="dxa"/>
          <w:bottom w:w="0" w:type="dxa"/>
          <w:right w:w="0" w:type="dxa"/>
        </w:tblCellMar>
      </w:tblP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you and counsel for 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underwriters),</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dated the Closing Date or the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Option Closing Date, as</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applicable, of</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__________, counsel for the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Stockholder, to</w:t>
            </w:r>
          </w:p>
        </w:tc>
        <w:tc>
          <w:tcPr>
            <w:tcW w:w="4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effect that:</w:t>
            </w:r>
          </w:p>
        </w:tc>
      </w:tr>
    </w:tbl>
    <w:p>
      <w:pPr>
        <w:spacing w:after="0" w:line="207" w:lineRule="exact"/>
        <w:rPr>
          <w:sz w:val="20"/>
          <w:szCs w:val="20"/>
          <w:color w:val="auto"/>
        </w:rPr>
      </w:pPr>
    </w:p>
    <w:p>
      <w:pPr>
        <w:ind w:left="1480" w:right="1999" w:firstLine="947"/>
        <w:spacing w:after="0" w:line="238" w:lineRule="auto"/>
        <w:tabs>
          <w:tab w:leader="none" w:pos="327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Selling Stockholder and is a valid and binding agreement of the Selling Stockholder enforceable in accordance with its terms (except as rights to indemnity and contribution hereunder may be limited by applicable law or public policy, and subject to bankruptcy, insolvency, fraudulent conveyance, reorganization, moratorium or other laws and rules of law affecting the enforcement generally of creditors' rights and remedies and to an implied duty of good faith and to general principles of equity (regardless of whether such enforceability is considered in a proceeding at law or in equity));</w:t>
      </w:r>
    </w:p>
    <w:p>
      <w:pPr>
        <w:spacing w:after="0" w:line="207" w:lineRule="exact"/>
        <w:rPr>
          <w:rFonts w:ascii="Courier New" w:cs="Courier New" w:eastAsia="Courier New" w:hAnsi="Courier New"/>
          <w:sz w:val="18"/>
          <w:szCs w:val="18"/>
          <w:color w:val="auto"/>
        </w:rPr>
      </w:pPr>
    </w:p>
    <w:p>
      <w:pPr>
        <w:ind w:left="1480" w:right="1879" w:firstLine="947"/>
        <w:spacing w:after="0" w:line="238" w:lineRule="auto"/>
        <w:tabs>
          <w:tab w:leader="none" w:pos="3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by the Selling Stockholder, compliance by the Selling Stockholder with all the provisions hereof and the consummation of the transactions contemplated 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Selling Stockholder or any material agreement, indenture or other instrument to which the Selling Stockholder is a party or by which the Selling Stockholder or its properties are bound, or violate or conflict with any laws, administrative regulations or rulings or court decrees applicable to the Selling Stockholder or its properties (other than federal or state securities or blue sky laws, as to which such counsel need not opine);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left="1480" w:right="1879" w:firstLine="947"/>
        <w:spacing w:after="0" w:line="238" w:lineRule="auto"/>
        <w:tabs>
          <w:tab w:leader="none" w:pos="316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Custody Agreement has been duly authorized, executed and delivered by the Selling Stockholder and is a valid and binding agreement of the Selling Stockholder enforceable in accordance with its terms (except as enforcement of rights to indemnity and contribution thereunder may be limited under applicable laws or public policy, and subject to bankruptcy, insolvency, fraudulent conveyance, reorganization, moratorium or other laws and rules of law affecting the enforcement generally of creditors' rights and remedies and to an implied duty of good faith and to general principles of equity (regardless of whether such enforceability is considered in a proceeding at law or in equity));</w:t>
      </w:r>
    </w:p>
    <w:p>
      <w:pPr>
        <w:spacing w:after="0" w:line="207" w:lineRule="exact"/>
        <w:rPr>
          <w:rFonts w:ascii="Courier New" w:cs="Courier New" w:eastAsia="Courier New" w:hAnsi="Courier New"/>
          <w:sz w:val="18"/>
          <w:szCs w:val="18"/>
          <w:color w:val="auto"/>
        </w:rPr>
      </w:pPr>
    </w:p>
    <w:p>
      <w:pPr>
        <w:ind w:left="1480" w:right="2099" w:firstLine="947"/>
        <w:spacing w:after="0" w:line="237" w:lineRule="auto"/>
        <w:tabs>
          <w:tab w:leader="none" w:pos="3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Stockholder has full legal right, power and authority, and any approval required by law (other than any approval imposed by federal or state securities and Blue Sky laws) to sell, assign, transfer and deliver the Shares to be sold by it in the manner provided in this Agreement and the Custody Agreement;</w:t>
      </w:r>
    </w:p>
    <w:p>
      <w:pPr>
        <w:spacing w:after="0" w:line="209" w:lineRule="exact"/>
        <w:rPr>
          <w:rFonts w:ascii="Courier New" w:cs="Courier New" w:eastAsia="Courier New" w:hAnsi="Courier New"/>
          <w:sz w:val="18"/>
          <w:szCs w:val="18"/>
          <w:color w:val="auto"/>
        </w:rPr>
      </w:pPr>
    </w:p>
    <w:p>
      <w:pPr>
        <w:ind w:left="1480" w:right="1879" w:firstLine="947"/>
        <w:spacing w:after="0" w:line="237" w:lineRule="auto"/>
        <w:tabs>
          <w:tab w:leader="none" w:pos="295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delivery of certificates for the shares to be sold by the Selling Stockholder under this Agreement and the payment therefor as contemplated by this Agreement, each Underwrite that is a "bona fide purchaser" (as defined in Section ____ of the New York Uniform Commercial Code) will acquire all the rights of the Selling Stockholder in such Shares, free of any adverse claim (assuming solely for purposes of this opinion that such sale is governed by Article 8 of the New York Uniform Commercial Code); and</w:t>
      </w:r>
    </w:p>
    <w:p>
      <w:pPr>
        <w:spacing w:after="0" w:line="213" w:lineRule="exact"/>
        <w:rPr>
          <w:rFonts w:ascii="Courier New" w:cs="Courier New" w:eastAsia="Courier New" w:hAnsi="Courier New"/>
          <w:sz w:val="18"/>
          <w:szCs w:val="18"/>
          <w:color w:val="auto"/>
        </w:rPr>
      </w:pPr>
    </w:p>
    <w:p>
      <w:pPr>
        <w:ind w:left="1480" w:right="1879" w:firstLine="947"/>
        <w:spacing w:after="0" w:line="237" w:lineRule="auto"/>
        <w:tabs>
          <w:tab w:leader="none" w:pos="3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 of attorney signed by the Selling Stockholder appointing Earl E. DeFrates and Gregory T. Sangalis, or either of them, as his attorney-in-fact to the extent set forth therein with regard to the transactions contemplated hereby and by the Registration Statement has been duly authorized, executed and delivered by or on behalf of the Selling Stockholder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899"/>
          </w:cols>
          <w:pgMar w:left="560" w:top="31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left="1480" w:right="1879"/>
        <w:spacing w:after="0" w:line="270" w:lineRule="auto"/>
        <w:rPr>
          <w:sz w:val="20"/>
          <w:szCs w:val="20"/>
          <w:color w:val="auto"/>
        </w:rPr>
      </w:pPr>
      <w:r>
        <w:rPr>
          <w:rFonts w:ascii="Courier New" w:cs="Courier New" w:eastAsia="Courier New" w:hAnsi="Courier New"/>
          <w:sz w:val="16"/>
          <w:szCs w:val="16"/>
          <w:color w:val="auto"/>
        </w:rPr>
        <w:t>valid and binding instruments of the Selling Stockholder enforceable in accordance with its terms subject to bankruptcy, insolvency, fraudulent conveyance, reorganization, moratorium or other laws and rules of law affecting the enforcement generally of creditors' rights and remedies and to an implied duty of good faith and to general principles of equity (regardless of whether such enforceability is considered in a proceeding at law or in equity), and pursuant to such power of attorney, the Selling Stockholder has authorized Gregory T. Sangalis and Earl E. DeFrates, or either of them, to execute and deliver on its behalf this Agreement and any other document necessary or desirable in connection with transactions contemplated hereby and to deliver the Shares to be sold by them pursuant to this Agreement</w:t>
      </w:r>
    </w:p>
    <w:p>
      <w:pPr>
        <w:spacing w:after="0" w:line="388" w:lineRule="exact"/>
        <w:rPr>
          <w:sz w:val="20"/>
          <w:szCs w:val="20"/>
          <w:color w:val="auto"/>
        </w:rPr>
      </w:pPr>
    </w:p>
    <w:p>
      <w:pPr>
        <w:ind w:left="640" w:right="1999" w:firstLine="843"/>
        <w:spacing w:after="0" w:line="271" w:lineRule="auto"/>
        <w:rPr>
          <w:sz w:val="20"/>
          <w:szCs w:val="20"/>
          <w:color w:val="auto"/>
        </w:rPr>
      </w:pPr>
      <w:r>
        <w:rPr>
          <w:rFonts w:ascii="Courier New" w:cs="Courier New" w:eastAsia="Courier New" w:hAnsi="Courier New"/>
          <w:sz w:val="16"/>
          <w:szCs w:val="16"/>
          <w:color w:val="auto"/>
        </w:rPr>
        <w:t>Andrews &amp; Kurth L.L.P. and Snell &amp; Smith L.L.P., in giving their opinions with respect to the matters covered by clauses (e)(ix) and (f)(xi) may state that their opinions and beliefs are based upon their participation in the preparation of the Registration Statement and Prospectus and any amendments or supplements thereto and review and discussion of the contents thereof, but are without independent check or verification except as specified.</w:t>
      </w:r>
    </w:p>
    <w:p>
      <w:pPr>
        <w:spacing w:after="0" w:line="188" w:lineRule="exact"/>
        <w:rPr>
          <w:sz w:val="20"/>
          <w:szCs w:val="20"/>
          <w:color w:val="auto"/>
        </w:rPr>
      </w:pPr>
    </w:p>
    <w:p>
      <w:pPr>
        <w:ind w:left="640" w:right="1999" w:firstLine="843"/>
        <w:spacing w:after="0" w:line="236" w:lineRule="auto"/>
        <w:rPr>
          <w:sz w:val="20"/>
          <w:szCs w:val="20"/>
          <w:color w:val="auto"/>
        </w:rPr>
      </w:pPr>
      <w:r>
        <w:rPr>
          <w:rFonts w:ascii="Courier New" w:cs="Courier New" w:eastAsia="Courier New" w:hAnsi="Courier New"/>
          <w:sz w:val="18"/>
          <w:szCs w:val="18"/>
          <w:color w:val="auto"/>
        </w:rPr>
        <w:t>In giving the opinions described in clause (e), (f) and (g) above, such counsel may rely as to factual matters on information set forth in certificates of the Sellers or public officials.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The</w:t>
            </w:r>
          </w:p>
        </w:tc>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w w:val="99"/>
              </w:rPr>
              <w:t>opinion of</w:t>
            </w:r>
          </w:p>
        </w:tc>
        <w:tc>
          <w:tcPr>
            <w:tcW w:w="432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8"/>
              </w:rPr>
              <w:t>Andrews &amp; Kurth L.L.P. and Snell &amp; Smith</w:t>
            </w:r>
          </w:p>
        </w:tc>
        <w:tc>
          <w:tcPr>
            <w:tcW w:w="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L.L.P.</w:t>
            </w: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described in</w:t>
            </w:r>
          </w:p>
        </w:tc>
        <w:tc>
          <w:tcPr>
            <w:tcW w:w="2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paragraphs (e) and (f)</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shall be rendered to you</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at</w:t>
            </w: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request</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Company and shall so</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26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therein and the opinion</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_________</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described</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paragraph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rendered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you</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at</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request</w:t>
            </w:r>
          </w:p>
        </w:tc>
        <w:tc>
          <w:tcPr>
            <w:tcW w:w="2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of the Selling Stockholder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w:t>
            </w:r>
          </w:p>
        </w:tc>
        <w:tc>
          <w:tcPr>
            <w:tcW w:w="1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so state therein.</w:t>
            </w:r>
          </w:p>
        </w:tc>
      </w:tr>
    </w:tbl>
    <w:p>
      <w:pPr>
        <w:spacing w:after="0" w:line="207" w:lineRule="exact"/>
        <w:rPr>
          <w:sz w:val="20"/>
          <w:szCs w:val="20"/>
          <w:color w:val="auto"/>
        </w:rPr>
      </w:pPr>
    </w:p>
    <w:p>
      <w:pPr>
        <w:ind w:left="640" w:right="1999" w:firstLine="839"/>
        <w:spacing w:after="0" w:line="237" w:lineRule="auto"/>
        <w:tabs>
          <w:tab w:leader="none" w:pos="200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and the Option Closing Date an opinion, dated the Closing Date or the Option Closing Date, as the case may be, of McDermott, Will &amp; Emery, counsel for the Underwriters, in form and substance satisfactory to you. In giving such opinion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899"/>
          </w:cols>
          <w:pgMar w:left="56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left="960" w:right="2199"/>
        <w:spacing w:after="0" w:line="237" w:lineRule="auto"/>
        <w:rPr>
          <w:sz w:val="20"/>
          <w:szCs w:val="20"/>
          <w:color w:val="auto"/>
        </w:rPr>
      </w:pPr>
      <w:r>
        <w:rPr>
          <w:rFonts w:ascii="Courier New" w:cs="Courier New" w:eastAsia="Courier New" w:hAnsi="Courier New"/>
          <w:sz w:val="18"/>
          <w:szCs w:val="18"/>
          <w:color w:val="auto"/>
        </w:rPr>
        <w:t>matters covered by clause (xvii) such counsel may state that their opinion and belief are based upon their participation in the preparation of the Registration Statement and Prospectus and any amendments or supplements thereto and review and discussion of the contents thereof, but are without independent check or verification except as specified.</w:t>
      </w:r>
    </w:p>
    <w:p>
      <w:pPr>
        <w:spacing w:after="0" w:line="210" w:lineRule="exact"/>
        <w:rPr>
          <w:sz w:val="20"/>
          <w:szCs w:val="20"/>
          <w:color w:val="auto"/>
        </w:rPr>
      </w:pPr>
    </w:p>
    <w:p>
      <w:pPr>
        <w:ind w:left="960" w:right="1879" w:firstLine="839"/>
        <w:spacing w:after="0" w:line="238" w:lineRule="auto"/>
        <w:tabs>
          <w:tab w:leader="none" w:pos="232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a letter on and as of the Closing Date and the Option Closing Date, in form and substance satisfactory to you, (i) from Coopers &amp; Lybrand LLP, independent public accountants, with respect to the financial statements and certain financial information contained in the Registration Statement and the Prospectus and substantially in the form and substance of the letter delivered to you by Coopers &amp; Lybrand LLP on the date of this Agreement, and (ii) from Deloitte &amp; Touche L.L.P., independent public accountants, with respect to the financial statements and certain financial information contained in the Registration Statement and the Prospectus and in each case substantially in the form and substance of the letter delivered to you by such firm on the date of this Agreement.</w:t>
      </w:r>
    </w:p>
    <w:p>
      <w:pPr>
        <w:spacing w:after="0" w:line="207" w:lineRule="exact"/>
        <w:rPr>
          <w:rFonts w:ascii="Courier New" w:cs="Courier New" w:eastAsia="Courier New" w:hAnsi="Courier New"/>
          <w:sz w:val="18"/>
          <w:szCs w:val="18"/>
          <w:color w:val="auto"/>
        </w:rPr>
      </w:pPr>
    </w:p>
    <w:p>
      <w:pPr>
        <w:ind w:left="960" w:right="2099" w:firstLine="839"/>
        <w:spacing w:after="0" w:line="237" w:lineRule="auto"/>
        <w:tabs>
          <w:tab w:leader="none" w:pos="232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Selling Stockholder shall not have failed at or prior to the Closing Date to perform or comply with any of the agreements herein contained and required to be performed or complied with by the Company at or prior to the Closing Date or the Option Closing Date as the case may be.</w:t>
      </w:r>
    </w:p>
    <w:p>
      <w:pPr>
        <w:spacing w:after="0" w:line="208" w:lineRule="exact"/>
        <w:rPr>
          <w:rFonts w:ascii="Courier New" w:cs="Courier New" w:eastAsia="Courier New" w:hAnsi="Courier New"/>
          <w:sz w:val="18"/>
          <w:szCs w:val="18"/>
          <w:color w:val="auto"/>
        </w:rPr>
      </w:pPr>
    </w:p>
    <w:p>
      <w:pPr>
        <w:ind w:left="960" w:right="2099" w:firstLine="839"/>
        <w:spacing w:after="0" w:line="237" w:lineRule="auto"/>
        <w:tabs>
          <w:tab w:leader="none" w:pos="232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 certificate of each Selling Stockholder who is not a U.S. Person to the effect that such Selling Stockholder is not a U.S. Person (as defined under applicable U.S. federal tax legislation), which certificate may be in the form of a properly completed and executed United States Treasury Department Form W-9 (or other applicable form or statement specified by Treasury Department regulations in lieu thereof).</w:t>
      </w:r>
    </w:p>
    <w:p>
      <w:pPr>
        <w:spacing w:after="0" w:line="212" w:lineRule="exact"/>
        <w:rPr>
          <w:sz w:val="20"/>
          <w:szCs w:val="20"/>
          <w:color w:val="auto"/>
        </w:rPr>
      </w:pPr>
    </w:p>
    <w:p>
      <w:pPr>
        <w:jc w:val="both"/>
        <w:ind w:right="2099" w:firstLine="1799"/>
        <w:spacing w:after="0" w:line="237"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Agreement and Termination. This Agreement shall become effective upon the later of (i) execution of this Agreement and (ii) when notification of the effectiveness of the Registration Statement has been released by the Commission.</w:t>
      </w:r>
    </w:p>
    <w:p>
      <w:pPr>
        <w:spacing w:after="0" w:line="207" w:lineRule="exact"/>
        <w:rPr>
          <w:sz w:val="20"/>
          <w:szCs w:val="20"/>
          <w:color w:val="auto"/>
        </w:rPr>
      </w:pPr>
    </w:p>
    <w:p>
      <w:pPr>
        <w:ind w:right="2419" w:firstLine="1791"/>
        <w:spacing w:after="0" w:line="235" w:lineRule="auto"/>
        <w:rPr>
          <w:sz w:val="20"/>
          <w:szCs w:val="20"/>
          <w:color w:val="auto"/>
        </w:rPr>
      </w:pPr>
      <w:r>
        <w:rPr>
          <w:rFonts w:ascii="Courier New" w:cs="Courier New" w:eastAsia="Courier New" w:hAnsi="Courier New"/>
          <w:sz w:val="18"/>
          <w:szCs w:val="18"/>
          <w:color w:val="auto"/>
        </w:rPr>
        <w:t>This Agreement may be terminated at any time prior to the Closing Date by you by written notice to the Sellers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of the following has occurred: (i) 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Shares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Shares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w:t>
      </w:r>
    </w:p>
    <w:p>
      <w:pPr>
        <w:spacing w:after="0" w:line="192" w:lineRule="exact"/>
        <w:rPr>
          <w:sz w:val="20"/>
          <w:szCs w:val="20"/>
          <w:color w:val="auto"/>
        </w:rPr>
      </w:pPr>
    </w:p>
    <w:p>
      <w:pPr>
        <w:ind w:right="1879" w:firstLine="8"/>
        <w:spacing w:after="0" w:line="237"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209"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If on the Closing Date or on an Option Closing Date, as the case may be, any one or more of the Underwriters shall fail or refuse to purchase the Firm Shares or Additional Shares, as the case may be, which it or they have agreed to purchase hereunder on such date and the aggregate number of Firm Shares or Additional Shares, as the case may be, which such defaulting Underwriter or Underwriters, as the case may be, agreed but failed or refused to purchase is not more than one-tenth of the total number of Shares to be purchased on such date by all Underwriters, each non-defaulting Underwriter shall be obligated severally, in the proportion which the number of Firm Shares set forth opposite its name in Schedule I bears to the total number of Firm Shares which all the non-defaulting Underwriters, as the case may be, have agreed to purchase, or in such other proportion as you may specify, to purchase the Firm Shares or Additional Shares, as the case may be, which such defaulting Underwriter or Underwriters, as the case may be, agreed but failed or refused to purchase on such date; provided that in no event shall the number of Firm Shares or Additional Shares, as the case may be,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any Underwriter has agreed to purchase pursuant to Section 2 hereof be increased pursuant to this Section 10 by an amount in excess of one-ninth of such number of Firm Shares or Additional Shares, as the case may be, without the written consent of such Underwriter. If on the Closing Date or on an Option Closing Date, as the case may be, any Underwriter or Underwriters shall fail or refuse to purchase Firm Shares, or Additional Shares, as the case may be, and the aggregate number of Firm Shares or Additional Shares, as the case may be, with respect to which such default occurs is more than one-tenth of the aggregate number of Shares to be purchased on such date by all Underwriters and arrangements satisfactory to you and the applicable Sellers for purchase of such Shares are not made within 48 hours after such default, this Agreement will terminate without liability on the part of any non-defaulting Underwriter and the applicable Sellers. In any such case which does not result in termination of this Agreement, either you or the Sellers shall have the right to postpone the Closing Date or the applicable Option Closing Date, as the case may be,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389" w:lineRule="exact"/>
        <w:rPr>
          <w:sz w:val="20"/>
          <w:szCs w:val="20"/>
          <w:color w:val="auto"/>
        </w:rPr>
      </w:pPr>
    </w:p>
    <w:p>
      <w:pPr>
        <w:ind w:left="2320" w:hanging="521"/>
        <w:spacing w:after="0"/>
        <w:tabs>
          <w:tab w:leader="none" w:pos="23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Selling Stockholder.  Each Selling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severally agrees with you and the Company:</w:t>
      </w:r>
    </w:p>
    <w:p>
      <w:pPr>
        <w:spacing w:after="0" w:line="207" w:lineRule="exact"/>
        <w:rPr>
          <w:sz w:val="20"/>
          <w:szCs w:val="20"/>
          <w:color w:val="auto"/>
        </w:rPr>
      </w:pPr>
    </w:p>
    <w:p>
      <w:pPr>
        <w:ind w:left="960" w:right="2319" w:firstLine="839"/>
        <w:spacing w:after="0" w:line="290" w:lineRule="auto"/>
        <w:tabs>
          <w:tab w:leader="none" w:pos="23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or to cause to be paid all transfer taxes with respect to the Shares to be sold by such Selling Stockholder; and</w:t>
      </w:r>
    </w:p>
    <w:p>
      <w:pPr>
        <w:spacing w:after="0" w:line="169" w:lineRule="exact"/>
        <w:rPr>
          <w:rFonts w:ascii="Courier New" w:cs="Courier New" w:eastAsia="Courier New" w:hAnsi="Courier New"/>
          <w:sz w:val="16"/>
          <w:szCs w:val="16"/>
          <w:color w:val="auto"/>
        </w:rPr>
      </w:pPr>
    </w:p>
    <w:p>
      <w:pPr>
        <w:ind w:left="960" w:right="1999" w:firstLine="839"/>
        <w:spacing w:after="0" w:line="271" w:lineRule="auto"/>
        <w:tabs>
          <w:tab w:leader="none" w:pos="23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all reasonable actions in cooperation with the Company and the Underwriters to cause the Registration Statement to become effective at the earliest possible time, to do and perform all things to be done and performed by the Selling Stockholder under this Agreement prior to the Closing Date and to satisfy all conditions precedent required to be satisfied by the Selling Stockholder to the delivery of the Shares pursuant to this Agreement.</w:t>
      </w:r>
    </w:p>
    <w:p>
      <w:pPr>
        <w:spacing w:after="0" w:line="188" w:lineRule="exact"/>
        <w:rPr>
          <w:sz w:val="20"/>
          <w:szCs w:val="20"/>
          <w:color w:val="auto"/>
        </w:rPr>
      </w:pPr>
    </w:p>
    <w:p>
      <w:pPr>
        <w:ind w:right="1879" w:firstLine="1799"/>
        <w:spacing w:after="0" w:line="268" w:lineRule="auto"/>
        <w:tabs>
          <w:tab w:leader="none" w:pos="231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Notices given pursuant to any provision of this Agreement shall be addressed as follows: (a) if to the Company, to USA Waste Services, Inc., 5000 Quorum Drive, Suite 300, Dallas, Texas 75240, (b) if to the Selling Stockholder, to the Company at the address set forth above and</w:t>
      </w:r>
    </w:p>
    <w:p>
      <w:pPr>
        <w:ind w:right="2199" w:firstLine="8"/>
        <w:spacing w:after="0" w:line="235"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Underwriter or to you, to you c/o Donaldson, Lufkin &amp; Jenrette Securities Corporation, 140 Broadway, New York,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York 10005, Attention: Syndicate Department, or in any case to such other address as the person to be notified may have requested in writing.</w:t>
      </w:r>
    </w:p>
    <w:p>
      <w:pPr>
        <w:spacing w:after="0" w:line="170" w:lineRule="exact"/>
        <w:rPr>
          <w:sz w:val="20"/>
          <w:szCs w:val="20"/>
          <w:color w:val="auto"/>
        </w:rPr>
      </w:pPr>
    </w:p>
    <w:p>
      <w:pPr>
        <w:ind w:right="1999" w:firstLine="1791"/>
        <w:spacing w:after="0" w:line="268" w:lineRule="auto"/>
        <w:rPr>
          <w:sz w:val="20"/>
          <w:szCs w:val="20"/>
          <w:color w:val="auto"/>
        </w:rPr>
      </w:pPr>
      <w:r>
        <w:rPr>
          <w:rFonts w:ascii="Courier New" w:cs="Courier New" w:eastAsia="Courier New" w:hAnsi="Courier New"/>
          <w:sz w:val="16"/>
          <w:szCs w:val="16"/>
          <w:color w:val="auto"/>
        </w:rPr>
        <w:t>The respective indemnities, contribution agreements, representations, warranties and other statements of the Selling Stockholder, the Company, its officers and directors and of the several Underwriters set forth in or made pursuant to this Agreement shall remain operative and in full force and effect, and will survive delivery of and payment for the Shares, regardless of (i) any investigation, or statement as to the results thereof, made by or on behalf of any Underwriter or by or on behalf of the Sellers, the officers or directors of the Company or any controlling person of the Sellers,</w:t>
      </w:r>
    </w:p>
    <w:p>
      <w:pPr>
        <w:spacing w:after="0" w:line="1" w:lineRule="exact"/>
        <w:rPr>
          <w:sz w:val="20"/>
          <w:szCs w:val="20"/>
          <w:color w:val="auto"/>
        </w:rPr>
      </w:pPr>
    </w:p>
    <w:p>
      <w:pPr>
        <w:ind w:right="2839" w:firstLine="8"/>
        <w:spacing w:after="0" w:line="235"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the Shares and payment for them hereunder and (iii) termination of this Agreement.</w:t>
      </w:r>
    </w:p>
    <w:p>
      <w:pPr>
        <w:spacing w:after="0" w:line="208" w:lineRule="exact"/>
        <w:rPr>
          <w:sz w:val="20"/>
          <w:szCs w:val="20"/>
          <w:color w:val="auto"/>
        </w:rPr>
      </w:pPr>
    </w:p>
    <w:p>
      <w:pPr>
        <w:ind w:right="1879" w:firstLine="1791"/>
        <w:spacing w:after="0" w:line="273" w:lineRule="auto"/>
        <w:rPr>
          <w:sz w:val="20"/>
          <w:szCs w:val="20"/>
          <w:color w:val="auto"/>
        </w:rPr>
      </w:pPr>
      <w:r>
        <w:rPr>
          <w:rFonts w:ascii="Courier New" w:cs="Courier New" w:eastAsia="Courier New" w:hAnsi="Courier New"/>
          <w:sz w:val="16"/>
          <w:szCs w:val="16"/>
          <w:color w:val="auto"/>
        </w:rPr>
        <w:t>If this Agreement shall be terminated by the Underwriters because of any failure or refusal on the part of the Sellers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185"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Except as otherwise provided, this Agreement has been and is made solely for the benefit of and shall be binding upon the Sellers,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Shares from any of the several Underwriters merely because of such purchase.</w:t>
      </w:r>
    </w:p>
    <w:p>
      <w:pPr>
        <w:spacing w:after="0" w:line="212" w:lineRule="exact"/>
        <w:rPr>
          <w:sz w:val="20"/>
          <w:szCs w:val="20"/>
          <w:color w:val="auto"/>
        </w:rPr>
      </w:pPr>
    </w:p>
    <w:p>
      <w:pPr>
        <w:ind w:right="2099" w:firstLine="1791"/>
        <w:spacing w:after="0" w:line="235" w:lineRule="auto"/>
        <w:rPr>
          <w:sz w:val="20"/>
          <w:szCs w:val="20"/>
          <w:color w:val="auto"/>
        </w:rPr>
      </w:pPr>
      <w:r>
        <w:rPr>
          <w:rFonts w:ascii="Courier New" w:cs="Courier New" w:eastAsia="Courier New" w:hAnsi="Courier New"/>
          <w:sz w:val="18"/>
          <w:szCs w:val="18"/>
          <w:color w:val="auto"/>
        </w:rPr>
        <w:t>This Agreement shall be governed and construed in accordance with the laws of the State of New York.</w:t>
      </w:r>
    </w:p>
    <w:p>
      <w:pPr>
        <w:spacing w:after="0" w:line="208" w:lineRule="exact"/>
        <w:rPr>
          <w:sz w:val="20"/>
          <w:szCs w:val="20"/>
          <w:color w:val="auto"/>
        </w:rPr>
      </w:pPr>
    </w:p>
    <w:p>
      <w:pPr>
        <w:ind w:right="2319" w:firstLine="1791"/>
        <w:spacing w:after="0" w:line="235" w:lineRule="auto"/>
        <w:rPr>
          <w:sz w:val="20"/>
          <w:szCs w:val="20"/>
          <w:color w:val="auto"/>
        </w:rPr>
      </w:pPr>
      <w:r>
        <w:rPr>
          <w:rFonts w:ascii="Courier New" w:cs="Courier New" w:eastAsia="Courier New" w:hAnsi="Courier New"/>
          <w:sz w:val="18"/>
          <w:szCs w:val="18"/>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right="2319" w:firstLine="1791"/>
        <w:spacing w:after="0" w:line="236" w:lineRule="auto"/>
        <w:rPr>
          <w:sz w:val="20"/>
          <w:szCs w:val="20"/>
          <w:color w:val="auto"/>
        </w:rPr>
      </w:pPr>
      <w:r>
        <w:rPr>
          <w:rFonts w:ascii="Courier New" w:cs="Courier New" w:eastAsia="Courier New" w:hAnsi="Courier New"/>
          <w:sz w:val="18"/>
          <w:szCs w:val="18"/>
          <w:color w:val="auto"/>
        </w:rPr>
        <w:t>Please confirm that the foregoing correctly sets forth the agreement between the Company, the Selling Stockholder and the several Underwriters.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SELLING STOCKHOLDER NAMED</w:t>
      </w:r>
    </w:p>
    <w:p>
      <w:pPr>
        <w:ind w:left="4120"/>
        <w:spacing w:after="0" w:line="238" w:lineRule="auto"/>
        <w:rPr>
          <w:sz w:val="20"/>
          <w:szCs w:val="20"/>
          <w:color w:val="auto"/>
        </w:rPr>
      </w:pPr>
      <w:r>
        <w:rPr>
          <w:rFonts w:ascii="Courier New" w:cs="Courier New" w:eastAsia="Courier New" w:hAnsi="Courier New"/>
          <w:sz w:val="18"/>
          <w:szCs w:val="18"/>
          <w:color w:val="auto"/>
        </w:rPr>
        <w:t>IN SCHEDULE II HERETO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By____________________________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DONALDSON, LUFKIN &amp; JENRETTE</w:t>
      </w:r>
    </w:p>
    <w:p>
      <w:pPr>
        <w:ind w:left="22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rPr>
          <w:sz w:val="20"/>
          <w:szCs w:val="20"/>
          <w:color w:val="auto"/>
        </w:rPr>
      </w:pPr>
      <w:r>
        <w:rPr>
          <w:rFonts w:ascii="Courier New" w:cs="Courier New" w:eastAsia="Courier New" w:hAnsi="Courier New"/>
          <w:sz w:val="18"/>
          <w:szCs w:val="18"/>
          <w:color w:val="auto"/>
        </w:rPr>
        <w:t>DEUTSCHE MORGAN GRENFELL/</w:t>
      </w:r>
    </w:p>
    <w:p>
      <w:pPr>
        <w:ind w:left="220"/>
        <w:spacing w:after="0" w:line="237" w:lineRule="auto"/>
        <w:rPr>
          <w:sz w:val="20"/>
          <w:szCs w:val="20"/>
          <w:color w:val="auto"/>
        </w:rPr>
      </w:pPr>
      <w:r>
        <w:rPr>
          <w:rFonts w:ascii="Courier New" w:cs="Courier New" w:eastAsia="Courier New" w:hAnsi="Courier New"/>
          <w:sz w:val="18"/>
          <w:szCs w:val="18"/>
          <w:color w:val="auto"/>
        </w:rPr>
        <w:t>C.J. LAWRENCE INC.</w:t>
      </w:r>
    </w:p>
    <w:p>
      <w:pPr>
        <w:spacing w:after="0" w:line="238" w:lineRule="auto"/>
        <w:rPr>
          <w:sz w:val="20"/>
          <w:szCs w:val="20"/>
          <w:color w:val="auto"/>
        </w:rPr>
      </w:pPr>
      <w:r>
        <w:rPr>
          <w:rFonts w:ascii="Courier New" w:cs="Courier New" w:eastAsia="Courier New" w:hAnsi="Courier New"/>
          <w:sz w:val="18"/>
          <w:szCs w:val="18"/>
          <w:color w:val="auto"/>
        </w:rPr>
        <w:t>SMITH BARNEY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severally on behalf of</w:t>
      </w:r>
    </w:p>
    <w:p>
      <w:pPr>
        <w:ind w:left="220"/>
        <w:spacing w:after="0" w:line="238" w:lineRule="auto"/>
        <w:rPr>
          <w:sz w:val="20"/>
          <w:szCs w:val="20"/>
          <w:color w:val="auto"/>
        </w:rPr>
      </w:pPr>
      <w:r>
        <w:rPr>
          <w:rFonts w:ascii="Courier New" w:cs="Courier New" w:eastAsia="Courier New" w:hAnsi="Courier New"/>
          <w:sz w:val="18"/>
          <w:szCs w:val="18"/>
          <w:color w:val="auto"/>
        </w:rPr>
        <w:t>themselves and the several</w:t>
      </w:r>
    </w:p>
    <w:p>
      <w:pPr>
        <w:ind w:left="220"/>
        <w:spacing w:after="0"/>
        <w:rPr>
          <w:sz w:val="20"/>
          <w:szCs w:val="20"/>
          <w:color w:val="auto"/>
        </w:rPr>
      </w:pPr>
      <w:r>
        <w:rPr>
          <w:rFonts w:ascii="Courier New" w:cs="Courier New" w:eastAsia="Courier New" w:hAnsi="Courier New"/>
          <w:sz w:val="18"/>
          <w:szCs w:val="18"/>
          <w:color w:val="auto"/>
        </w:rPr>
        <w:t>Underwriters named in</w:t>
      </w:r>
    </w:p>
    <w:p>
      <w:pPr>
        <w:ind w:left="220"/>
        <w:spacing w:after="0" w:line="237" w:lineRule="auto"/>
        <w:rPr>
          <w:sz w:val="20"/>
          <w:szCs w:val="20"/>
          <w:color w:val="auto"/>
        </w:rPr>
      </w:pPr>
      <w:r>
        <w:rPr>
          <w:rFonts w:ascii="Courier New" w:cs="Courier New" w:eastAsia="Courier New" w:hAnsi="Courier New"/>
          <w:sz w:val="18"/>
          <w:szCs w:val="18"/>
          <w:color w:val="auto"/>
        </w:rPr>
        <w:t>Schedule I hereto</w:t>
      </w:r>
    </w:p>
    <w:p>
      <w:pPr>
        <w:spacing w:after="0" w:line="207" w:lineRule="exact"/>
        <w:rPr>
          <w:sz w:val="20"/>
          <w:szCs w:val="20"/>
          <w:color w:val="auto"/>
        </w:rPr>
      </w:pPr>
    </w:p>
    <w:p>
      <w:pPr>
        <w:jc w:val="right"/>
        <w:ind w:right="6939"/>
        <w:spacing w:after="0"/>
        <w:rPr>
          <w:sz w:val="20"/>
          <w:szCs w:val="20"/>
          <w:color w:val="auto"/>
        </w:rPr>
      </w:pPr>
      <w:r>
        <w:rPr>
          <w:rFonts w:ascii="Courier New" w:cs="Courier New" w:eastAsia="Courier New" w:hAnsi="Courier New"/>
          <w:sz w:val="16"/>
          <w:szCs w:val="16"/>
          <w:color w:val="auto"/>
        </w:rPr>
        <w:t>By DONALDSON, LUFKIN &amp; JENRETTE</w:t>
      </w:r>
    </w:p>
    <w:p>
      <w:pPr>
        <w:spacing w:after="0" w:line="16" w:lineRule="exact"/>
        <w:rPr>
          <w:sz w:val="20"/>
          <w:szCs w:val="20"/>
          <w:color w:val="auto"/>
        </w:rPr>
      </w:pPr>
    </w:p>
    <w:p>
      <w:pPr>
        <w:jc w:val="right"/>
        <w:ind w:right="6939"/>
        <w:spacing w:after="0"/>
        <w:rPr>
          <w:sz w:val="20"/>
          <w:szCs w:val="20"/>
          <w:color w:val="auto"/>
        </w:rPr>
      </w:pPr>
      <w:r>
        <w:rPr>
          <w:rFonts w:ascii="Courier New" w:cs="Courier New" w:eastAsia="Courier New" w:hAnsi="Courier New"/>
          <w:sz w:val="18"/>
          <w:szCs w:val="18"/>
          <w:color w:val="auto"/>
        </w:rPr>
        <w:t>SECURITIES CORPORATION</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Underwriters</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Number of Firm Shares</w:t>
      </w:r>
    </w:p>
    <w:p>
      <w:pPr>
        <w:spacing w:after="0" w:line="1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to be Purchased</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Donaldson, Lufkin &amp; Jenrette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Securities Corporation</w:t>
      </w:r>
    </w:p>
    <w:p>
      <w:pPr>
        <w:spacing w:after="0" w:line="238" w:lineRule="auto"/>
        <w:rPr>
          <w:sz w:val="20"/>
          <w:szCs w:val="20"/>
          <w:color w:val="auto"/>
        </w:rPr>
      </w:pPr>
      <w:r>
        <w:rPr>
          <w:rFonts w:ascii="Courier New" w:cs="Courier New" w:eastAsia="Courier New" w:hAnsi="Courier New"/>
          <w:sz w:val="18"/>
          <w:szCs w:val="18"/>
          <w:color w:val="auto"/>
        </w:rPr>
        <w:t>Deutsche Morgan Grenfell/</w:t>
      </w:r>
    </w:p>
    <w:p>
      <w:pPr>
        <w:ind w:left="220"/>
        <w:spacing w:after="0"/>
        <w:rPr>
          <w:sz w:val="20"/>
          <w:szCs w:val="20"/>
          <w:color w:val="auto"/>
        </w:rPr>
      </w:pPr>
      <w:r>
        <w:rPr>
          <w:rFonts w:ascii="Courier New" w:cs="Courier New" w:eastAsia="Courier New" w:hAnsi="Courier New"/>
          <w:sz w:val="18"/>
          <w:szCs w:val="18"/>
          <w:color w:val="auto"/>
        </w:rPr>
        <w:t>C.J. Lawrence Inc.</w:t>
      </w:r>
    </w:p>
    <w:p>
      <w:pPr>
        <w:spacing w:after="0" w:line="237" w:lineRule="auto"/>
        <w:rPr>
          <w:sz w:val="20"/>
          <w:szCs w:val="20"/>
          <w:color w:val="auto"/>
        </w:rPr>
      </w:pPr>
      <w:r>
        <w:rPr>
          <w:rFonts w:ascii="Courier New" w:cs="Courier New" w:eastAsia="Courier New" w:hAnsi="Courier New"/>
          <w:sz w:val="18"/>
          <w:szCs w:val="18"/>
          <w:color w:val="auto"/>
        </w:rPr>
        <w:t>Smith Barney Inc.</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Total</w:t>
      </w:r>
    </w:p>
    <w:p>
      <w:pPr>
        <w:sectPr>
          <w:pgSz w:w="11900" w:h="16838" w:orient="portrait"/>
          <w:cols w:equalWidth="0" w:num="1">
            <w:col w:w="10219"/>
          </w:cols>
          <w:pgMar w:left="240" w:top="312" w:right="1440" w:bottom="1440"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41</w:t>
      </w:r>
    </w:p>
    <w:p>
      <w:pPr>
        <w:jc w:val="center"/>
        <w:ind w:right="1899"/>
        <w:spacing w:after="0" w:line="238" w:lineRule="auto"/>
        <w:rPr>
          <w:sz w:val="20"/>
          <w:szCs w:val="20"/>
          <w:color w:val="auto"/>
        </w:rPr>
      </w:pPr>
      <w:r>
        <w:rPr>
          <w:rFonts w:ascii="Courier New" w:cs="Courier New" w:eastAsia="Courier New" w:hAnsi="Courier New"/>
          <w:sz w:val="18"/>
          <w:szCs w:val="18"/>
          <w:color w:val="auto"/>
        </w:rPr>
        <w:t>SCHEDULE II</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Selling Stockholder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Firm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Being Sold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60" w:space="720"/>
            <w:col w:w="48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Boston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137,500</w:t>
      </w:r>
    </w:p>
    <w:p>
      <w:pPr>
        <w:spacing w:after="0" w:line="216" w:lineRule="exact"/>
        <w:rPr>
          <w:sz w:val="20"/>
          <w:szCs w:val="20"/>
          <w:color w:val="auto"/>
        </w:rPr>
      </w:pPr>
    </w:p>
    <w:p>
      <w:pPr>
        <w:sectPr>
          <w:pgSz w:w="11900" w:h="16838" w:orient="portrait"/>
          <w:cols w:equalWidth="0" w:num="2">
            <w:col w:w="5600" w:space="720"/>
            <w:col w:w="3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________________</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137,500</w:t>
      </w:r>
    </w:p>
    <w:p>
      <w:pPr>
        <w:ind w:left="2960"/>
        <w:spacing w:after="0" w:line="238" w:lineRule="auto"/>
        <w:rPr>
          <w:sz w:val="20"/>
          <w:szCs w:val="20"/>
          <w:color w:val="auto"/>
        </w:rPr>
      </w:pPr>
      <w:r>
        <w:rPr>
          <w:rFonts w:ascii="Courier New" w:cs="Courier New" w:eastAsia="Courier New" w:hAnsi="Courier New"/>
          <w:sz w:val="18"/>
          <w:szCs w:val="18"/>
          <w:color w:val="auto"/>
        </w:rPr>
        <w:t>Total</w:t>
      </w:r>
    </w:p>
    <w:p>
      <w:pPr>
        <w:sectPr>
          <w:pgSz w:w="11900" w:h="16838" w:orient="portrait"/>
          <w:cols w:equalWidth="0" w:num="1">
            <w:col w:w="10219"/>
          </w:cols>
          <w:pgMar w:left="240" w:top="312" w:right="1440" w:bottom="1440"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42</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ANNEX I</w:t>
      </w:r>
    </w:p>
    <w:p>
      <w:pPr>
        <w:spacing w:after="0" w:line="202"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Required Stockholder Lock-ups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F. Smith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Rangos Development Corporation, Inc.</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5"/>
    </w:lvl>
    <w:lvl w:ilvl="1">
      <w:lvlJc w:val="left"/>
      <w:lvlText w:val="(%2)"/>
      <w:numFmt w:val="lowerLetter"/>
      <w:start w:val="1"/>
    </w:lvl>
  </w:abstractNum>
  <w:abstractNum w:abstractNumId="9">
    <w:nsid w:val="419AC241"/>
    <w:multiLevelType w:val="hybridMultilevel"/>
    <w:lvl w:ilvl="0">
      <w:lvlJc w:val="left"/>
      <w:lvlText w:val="(%1)"/>
      <w:numFmt w:val="lowerLetter"/>
      <w:start w:val="3"/>
    </w:lvl>
  </w:abstractNum>
  <w:abstractNum w:abstractNumId="10">
    <w:nsid w:val="5577F8E1"/>
    <w:multiLevelType w:val="hybridMultilevel"/>
    <w:lvl w:ilvl="0">
      <w:lvlJc w:val="left"/>
      <w:lvlText w:val="(%1)"/>
      <w:numFmt w:val="lowerLetter"/>
      <w:start w:val="6"/>
    </w:lvl>
  </w:abstractNum>
  <w:abstractNum w:abstractNumId="11">
    <w:nsid w:val="440BADFC"/>
    <w:multiLevelType w:val="hybridMultilevel"/>
    <w:lvl w:ilvl="0">
      <w:lvlJc w:val="left"/>
      <w:lvlText w:val="%1"/>
      <w:numFmt w:val="lowerLetter"/>
      <w:start w:val="1"/>
    </w:lvl>
    <w:lvl w:ilvl="1">
      <w:lvlJc w:val="left"/>
      <w:lvlText w:val="(%2)"/>
      <w:numFmt w:val="lowerLetter"/>
      <w:start w:val="10"/>
    </w:lvl>
  </w:abstractNum>
  <w:abstractNum w:abstractNumId="12">
    <w:nsid w:val="5072367"/>
    <w:multiLevelType w:val="hybridMultilevel"/>
    <w:lvl w:ilvl="0">
      <w:lvlJc w:val="left"/>
      <w:lvlText w:val="(%1)"/>
      <w:numFmt w:val="lowerLetter"/>
      <w:start w:val="9"/>
    </w:lvl>
    <w:lvl w:ilvl="1">
      <w:lvlJc w:val="left"/>
      <w:lvlText w:val="%2"/>
      <w:numFmt w:val="lowerLetter"/>
      <w:start w:val="1"/>
    </w:lvl>
  </w:abstractNum>
  <w:abstractNum w:abstractNumId="13">
    <w:nsid w:val="3804823E"/>
    <w:multiLevelType w:val="hybridMultilevel"/>
    <w:lvl w:ilvl="0">
      <w:lvlJc w:val="left"/>
      <w:lvlText w:val="(%1)"/>
      <w:numFmt w:val="lowerLetter"/>
      <w:start w:val="22"/>
    </w:lvl>
    <w:lvl w:ilvl="1">
      <w:lvlJc w:val="left"/>
      <w:lvlText w:val="%2"/>
      <w:numFmt w:val="lowerLetter"/>
      <w:start w:val="1"/>
    </w:lvl>
  </w:abstractNum>
  <w:abstractNum w:abstractNumId="14">
    <w:nsid w:val="77465F01"/>
    <w:multiLevelType w:val="hybridMultilevel"/>
    <w:lvl w:ilvl="0">
      <w:lvlJc w:val="left"/>
      <w:lvlText w:val="(%1)"/>
      <w:numFmt w:val="lowerLetter"/>
      <w:start w:val="12"/>
    </w:lvl>
  </w:abstractNum>
  <w:abstractNum w:abstractNumId="15">
    <w:nsid w:val="7724C67E"/>
    <w:multiLevelType w:val="hybridMultilevel"/>
    <w:lvl w:ilvl="0">
      <w:lvlJc w:val="left"/>
      <w:lvlText w:val="%1."/>
      <w:numFmt w:val="decimal"/>
      <w:start w:val="6"/>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3"/>
    </w:lvl>
  </w:abstractNum>
  <w:abstractNum w:abstractNumId="18">
    <w:nsid w:val="5E884ADC"/>
    <w:multiLevelType w:val="hybridMultilevel"/>
    <w:lvl w:ilvl="0">
      <w:lvlJc w:val="left"/>
      <w:lvlText w:val="(%1)"/>
      <w:numFmt w:val="lowerLetter"/>
      <w:start w:val="5"/>
    </w:lvl>
  </w:abstractNum>
  <w:abstractNum w:abstractNumId="19">
    <w:nsid w:val="51EAD36B"/>
    <w:multiLevelType w:val="hybridMultilevel"/>
    <w:lvl w:ilvl="0">
      <w:lvlJc w:val="left"/>
      <w:lvlText w:val="(%1)"/>
      <w:numFmt w:val="lowerLetter"/>
      <w:start w:val="9"/>
    </w:lvl>
  </w:abstractNum>
  <w:abstractNum w:abstractNumId="20">
    <w:nsid w:val="2D517796"/>
    <w:multiLevelType w:val="hybridMultilevel"/>
    <w:lvl w:ilvl="0">
      <w:lvlJc w:val="left"/>
      <w:lvlText w:val="(%1)"/>
      <w:numFmt w:val="lowerLetter"/>
      <w:start w:val="12"/>
    </w:lvl>
  </w:abstractNum>
  <w:abstractNum w:abstractNumId="21">
    <w:nsid w:val="580BD78F"/>
    <w:multiLevelType w:val="hybridMultilevel"/>
    <w:lvl w:ilvl="0">
      <w:lvlJc w:val="left"/>
      <w:lvlText w:val="(%1)"/>
      <w:numFmt w:val="lowerLetter"/>
      <w:start w:val="15"/>
    </w:lvl>
  </w:abstractNum>
  <w:abstractNum w:abstractNumId="22">
    <w:nsid w:val="153EA438"/>
    <w:multiLevelType w:val="hybridMultilevel"/>
    <w:lvl w:ilvl="0">
      <w:lvlJc w:val="left"/>
      <w:lvlText w:val="(%1)"/>
      <w:numFmt w:val="lowerLetter"/>
      <w:start w:val="19"/>
    </w:lvl>
  </w:abstractNum>
  <w:abstractNum w:abstractNumId="23">
    <w:nsid w:val="3855585C"/>
    <w:multiLevelType w:val="hybridMultilevel"/>
    <w:lvl w:ilvl="0">
      <w:lvlJc w:val="left"/>
      <w:lvlText w:val="(%1)"/>
      <w:numFmt w:val="lowerLetter"/>
      <w:start w:val="35"/>
    </w:lvl>
    <w:lvl w:ilvl="1">
      <w:lvlJc w:val="left"/>
      <w:lvlText w:val="(%2)"/>
      <w:numFmt w:val="lowerLetter"/>
      <w:start w:val="26"/>
    </w:lvl>
  </w:abstractNum>
  <w:abstractNum w:abstractNumId="24">
    <w:nsid w:val="70A64E2A"/>
    <w:multiLevelType w:val="hybridMultilevel"/>
    <w:lvl w:ilvl="0">
      <w:lvlJc w:val="left"/>
      <w:lvlText w:val="(%1)"/>
      <w:numFmt w:val="lowerLetter"/>
      <w:start w:val="27"/>
    </w:lvl>
  </w:abstractNum>
  <w:abstractNum w:abstractNumId="25">
    <w:nsid w:val="6A2342EC"/>
    <w:multiLevelType w:val="hybridMultilevel"/>
    <w:lvl w:ilvl="0">
      <w:lvlJc w:val="left"/>
      <w:lvlText w:val="(%1)"/>
      <w:numFmt w:val="lowerRoman"/>
      <w:start w:val="1"/>
    </w:lvl>
  </w:abstractNum>
  <w:abstractNum w:abstractNumId="26">
    <w:nsid w:val="2A487CB0"/>
    <w:multiLevelType w:val="hybridMultilevel"/>
    <w:lvl w:ilvl="0">
      <w:lvlJc w:val="left"/>
      <w:lvlText w:val="%1."/>
      <w:numFmt w:val="decimal"/>
      <w:start w:val="7"/>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upperLetter"/>
      <w:start w:val="1"/>
    </w:lvl>
    <w:lvl w:ilvl="1">
      <w:lvlJc w:val="left"/>
      <w:lvlText w:val="(%2)"/>
      <w:numFmt w:val="lowerLetter"/>
      <w:start w:val="4"/>
    </w:lvl>
  </w:abstractNum>
  <w:abstractNum w:abstractNumId="29">
    <w:nsid w:val="2CD89A32"/>
    <w:multiLevelType w:val="hybridMultilevel"/>
    <w:lvl w:ilvl="0">
      <w:lvlJc w:val="left"/>
      <w:lvlText w:val="(%1)"/>
      <w:numFmt w:val="lowerLetter"/>
      <w:start w:val="7"/>
    </w:lvl>
  </w:abstractNum>
  <w:abstractNum w:abstractNumId="30">
    <w:nsid w:val="57E4CCAF"/>
    <w:multiLevelType w:val="hybridMultilevel"/>
    <w:lvl w:ilvl="0">
      <w:lvlJc w:val="left"/>
      <w:lvlText w:val="%1."/>
      <w:numFmt w:val="decimal"/>
      <w:start w:val="8"/>
    </w:lvl>
  </w:abstractNum>
  <w:abstractNum w:abstractNumId="31">
    <w:nsid w:val="7A6D8D3C"/>
    <w:multiLevelType w:val="hybridMultilevel"/>
    <w:lvl w:ilvl="0">
      <w:lvlJc w:val="left"/>
      <w:lvlText w:val="(%1)"/>
      <w:numFmt w:val="lowerLetter"/>
      <w:start w:val="2"/>
    </w:lvl>
  </w:abstractNum>
  <w:abstractNum w:abstractNumId="32">
    <w:nsid w:val="4B588F54"/>
    <w:multiLevelType w:val="hybridMultilevel"/>
    <w:lvl w:ilvl="0">
      <w:lvlJc w:val="left"/>
      <w:lvlText w:val="(%1)"/>
      <w:numFmt w:val="lowerRoman"/>
      <w:start w:val="3"/>
    </w:lvl>
  </w:abstractNum>
  <w:abstractNum w:abstractNumId="33">
    <w:nsid w:val="542289EC"/>
    <w:multiLevelType w:val="hybridMultilevel"/>
    <w:lvl w:ilvl="0">
      <w:lvlJc w:val="left"/>
      <w:lvlText w:val="(%1)"/>
      <w:numFmt w:val="lowerLetter"/>
      <w:start w:val="5"/>
    </w:lvl>
  </w:abstractNum>
  <w:abstractNum w:abstractNumId="34">
    <w:nsid w:val="6DE91B18"/>
    <w:multiLevelType w:val="hybridMultilevel"/>
    <w:lvl w:ilvl="0">
      <w:lvlJc w:val="left"/>
      <w:lvlText w:val="(%1)"/>
      <w:numFmt w:val="lowerLetter"/>
      <w:start w:val="7"/>
    </w:lvl>
  </w:abstractNum>
  <w:abstractNum w:abstractNumId="35">
    <w:nsid w:val="38437FDB"/>
    <w:multiLevelType w:val="hybridMultilevel"/>
    <w:lvl w:ilvl="0">
      <w:lvlJc w:val="left"/>
      <w:lvlText w:val="%1."/>
      <w:numFmt w:val="decimal"/>
      <w:start w:val="9"/>
    </w:lvl>
  </w:abstractNum>
  <w:abstractNum w:abstractNumId="36">
    <w:nsid w:val="7644A45C"/>
    <w:multiLevelType w:val="hybridMultilevel"/>
    <w:lvl w:ilvl="0">
      <w:lvlJc w:val="left"/>
      <w:lvlText w:val="%1"/>
      <w:numFmt w:val="lowerLetter"/>
      <w:start w:val="1"/>
    </w:lvl>
    <w:lvl w:ilvl="1">
      <w:lvlJc w:val="left"/>
      <w:lvlText w:val="(%2)"/>
      <w:numFmt w:val="lowerLetter"/>
      <w:start w:val="1"/>
    </w:lvl>
  </w:abstractNum>
  <w:abstractNum w:abstractNumId="37">
    <w:nsid w:val="32FFF902"/>
    <w:multiLevelType w:val="hybridMultilevel"/>
    <w:lvl w:ilvl="0">
      <w:lvlJc w:val="left"/>
      <w:lvlText w:val="(%1)"/>
      <w:numFmt w:val="lowerLetter"/>
      <w:start w:val="35"/>
    </w:lvl>
    <w:lvl w:ilvl="1">
      <w:lvlJc w:val="left"/>
      <w:lvlText w:val="%2"/>
      <w:numFmt w:val="lowerLetter"/>
      <w:start w:val="1"/>
    </w:lvl>
  </w:abstractNum>
  <w:abstractNum w:abstractNumId="38">
    <w:nsid w:val="684A481A"/>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9"/>
    </w:lvl>
  </w:abstractNum>
  <w:abstractNum w:abstractNumId="39">
    <w:nsid w:val="579478FE"/>
    <w:multiLevelType w:val="hybridMultilevel"/>
    <w:lvl w:ilvl="0">
      <w:lvlJc w:val="left"/>
      <w:lvlText w:val="(%1)"/>
      <w:numFmt w:val="lowerRoman"/>
      <w:start w:val="3"/>
    </w:lvl>
  </w:abstractNum>
  <w:abstractNum w:abstractNumId="40">
    <w:nsid w:val="749ABB43"/>
    <w:multiLevelType w:val="hybridMultilevel"/>
    <w:lvl w:ilvl="0">
      <w:lvlJc w:val="left"/>
      <w:lvlText w:val="%1"/>
      <w:numFmt w:val="decimal"/>
      <w:start w:val="1"/>
    </w:lvl>
    <w:lvl w:ilvl="1">
      <w:lvlJc w:val="left"/>
      <w:lvlText w:val="(%2)"/>
      <w:numFmt w:val="lowerRoman"/>
      <w:start w:val="8"/>
    </w:lvl>
  </w:abstractNum>
  <w:abstractNum w:abstractNumId="41">
    <w:nsid w:val="3DC240FB"/>
    <w:multiLevelType w:val="hybridMultilevel"/>
    <w:lvl w:ilvl="0">
      <w:lvlJc w:val="left"/>
      <w:lvlText w:val="(%1)"/>
      <w:numFmt w:val="decimal"/>
      <w:start w:val="2"/>
    </w:lvl>
    <w:lvl w:ilvl="1">
      <w:lvlJc w:val="left"/>
      <w:lvlText w:val="%2"/>
      <w:numFmt w:val="lowerRoman"/>
      <w:start w:val="1"/>
    </w:lvl>
  </w:abstractNum>
  <w:abstractNum w:abstractNumId="42">
    <w:nsid w:val="1BA026FA"/>
    <w:multiLevelType w:val="hybridMultilevel"/>
    <w:lvl w:ilvl="0">
      <w:lvlJc w:val="left"/>
      <w:lvlText w:val="(%1)"/>
      <w:numFmt w:val="lowerLetter"/>
      <w:start w:val="6"/>
    </w:lvl>
    <w:lvl w:ilvl="1">
      <w:lvlJc w:val="left"/>
      <w:lvlText w:val="(%2)"/>
      <w:numFmt w:val="lowerLetter"/>
      <w:start w:val="9"/>
    </w:lvl>
  </w:abstractNum>
  <w:abstractNum w:abstractNumId="43">
    <w:nsid w:val="79A1DEAA"/>
    <w:multiLevelType w:val="hybridMultilevel"/>
    <w:lvl w:ilvl="0">
      <w:lvlJc w:val="left"/>
      <w:lvlText w:val="(%1)"/>
      <w:numFmt w:val="lowerRoman"/>
      <w:start w:val="3"/>
    </w:lvl>
  </w:abstractNum>
  <w:abstractNum w:abstractNumId="44">
    <w:nsid w:val="75C6C33A"/>
    <w:multiLevelType w:val="hybridMultilevel"/>
    <w:lvl w:ilvl="0">
      <w:lvlJc w:val="left"/>
      <w:lvlText w:val="(%1)"/>
      <w:numFmt w:val="lowerRoman"/>
      <w:start w:val="4"/>
    </w:lvl>
  </w:abstractNum>
  <w:abstractNum w:abstractNumId="45">
    <w:nsid w:val="12E685FB"/>
    <w:multiLevelType w:val="hybridMultilevel"/>
    <w:lvl w:ilvl="0">
      <w:lvlJc w:val="left"/>
      <w:lvlText w:val="(%1)"/>
      <w:numFmt w:val="lowerRoman"/>
      <w:start w:val="7"/>
    </w:lvl>
  </w:abstractNum>
  <w:abstractNum w:abstractNumId="46">
    <w:nsid w:val="70C6A529"/>
    <w:multiLevelType w:val="hybridMultilevel"/>
    <w:lvl w:ilvl="0">
      <w:lvlJc w:val="left"/>
      <w:lvlText w:val="%1"/>
      <w:numFmt w:val="lowerLetter"/>
      <w:start w:val="1"/>
    </w:lvl>
    <w:lvl w:ilvl="1">
      <w:lvlJc w:val="left"/>
      <w:lvlText w:val="(%2)"/>
      <w:numFmt w:val="lowerRoman"/>
      <w:start w:val="10"/>
    </w:lvl>
  </w:abstractNum>
  <w:abstractNum w:abstractNumId="47">
    <w:nsid w:val="520EEDD1"/>
    <w:multiLevelType w:val="hybridMultilevel"/>
    <w:lvl w:ilvl="0">
      <w:lvlJc w:val="left"/>
      <w:lvlText w:val="(%1)"/>
      <w:numFmt w:val="lowerLetter"/>
      <w:start w:val="7"/>
    </w:lvl>
    <w:lvl w:ilvl="1">
      <w:lvlJc w:val="left"/>
      <w:lvlText w:val="%2"/>
      <w:numFmt w:val="lowerRoman"/>
      <w:start w:val="1"/>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Roman"/>
      <w:start w:val="3"/>
    </w:lvl>
  </w:abstractNum>
  <w:abstractNum w:abstractNumId="50">
    <w:nsid w:val="23F9C13C"/>
    <w:multiLevelType w:val="hybridMultilevel"/>
    <w:lvl w:ilvl="0">
      <w:lvlJc w:val="left"/>
      <w:lvlText w:val="(%1)"/>
      <w:numFmt w:val="lowerLetter"/>
      <w:start w:val="8"/>
    </w:lvl>
  </w:abstractNum>
  <w:abstractNum w:abstractNumId="51">
    <w:nsid w:val="649BB77C"/>
    <w:multiLevelType w:val="hybridMultilevel"/>
    <w:lvl w:ilvl="0">
      <w:lvlJc w:val="left"/>
      <w:lvlText w:val="(%1)"/>
      <w:numFmt w:val="lowerLetter"/>
      <w:start w:val="9"/>
    </w:lvl>
  </w:abstractNum>
  <w:abstractNum w:abstractNumId="52">
    <w:nsid w:val="275AC794"/>
    <w:multiLevelType w:val="hybridMultilevel"/>
    <w:lvl w:ilvl="0">
      <w:lvlJc w:val="left"/>
      <w:lvlText w:val="%1."/>
      <w:numFmt w:val="decimal"/>
      <w:start w:val="10"/>
    </w:lvl>
  </w:abstractNum>
  <w:abstractNum w:abstractNumId="53">
    <w:nsid w:val="39386575"/>
    <w:multiLevelType w:val="hybridMultilevel"/>
    <w:lvl w:ilvl="0">
      <w:lvlJc w:val="left"/>
      <w:lvlText w:val="(%1)"/>
      <w:numFmt w:val="lowerRoman"/>
      <w:start w:val="5"/>
    </w:lvl>
  </w:abstractNum>
  <w:abstractNum w:abstractNumId="54">
    <w:nsid w:val="1CF10FD8"/>
    <w:multiLevelType w:val="hybridMultilevel"/>
    <w:lvl w:ilvl="0">
      <w:lvlJc w:val="left"/>
      <w:lvlText w:val="%1."/>
      <w:numFmt w:val="decimal"/>
      <w:start w:val="1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Letter"/>
      <w:start w:val="1"/>
    </w:lvl>
    <w:lvl w:ilvl="1">
      <w:lvlJc w:val="left"/>
      <w:lvlText w:val="%2."/>
      <w:numFmt w:val="decimal"/>
      <w:start w:val="12"/>
    </w:lvl>
  </w:abstractNum>
  <w:abstractNum w:abstractNumId="57">
    <w:nsid w:val="47398C89"/>
    <w:multiLevelType w:val="hybridMultilevel"/>
    <w:lvl w:ilvl="0">
      <w:lvlJc w:val="left"/>
      <w:lvlText w:val="(%1)"/>
      <w:numFmt w:val="lowerLetter"/>
      <w:start w:val="3"/>
    </w:lvl>
    <w:lvl w:ilvl="1">
      <w:lvlJc w:val="left"/>
      <w:lvlText w:val="%2"/>
      <w:numFmt w:val="decimal"/>
      <w:start w:val="1"/>
    </w:lvl>
  </w:abstractNum>
  <w:abstractNum w:abstractNumId="58">
    <w:nsid w:val="354FE9F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2019-12-20T04:56:21Z</dcterms:created>
  <dcterms:modified xsi:type="dcterms:W3CDTF">2019-12-20T04:56:21Z</dcterms:modified>
</cp:coreProperties>
</file>