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1" w:lineRule="exact"/>
        <w:rPr>
          <w:sz w:val="24"/>
          <w:szCs w:val="24"/>
          <w:color w:val="auto"/>
        </w:rPr>
      </w:pPr>
    </w:p>
    <w:p>
      <w:pPr>
        <w:ind w:left="500" w:right="260" w:hanging="343"/>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00" w:right="240" w:hanging="343"/>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0400"/>
          </w:cols>
          <w:pgMar w:left="760" w:top="454" w:right="739" w:bottom="1440" w:gutter="0" w:footer="0" w:header="0"/>
        </w:sectPr>
      </w:pPr>
    </w:p>
    <w:p>
      <w:pPr>
        <w:spacing w:after="0" w:line="99"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Delaware</w:t>
      </w:r>
    </w:p>
    <w:p>
      <w:pPr>
        <w:ind w:left="1580"/>
        <w:spacing w:after="0" w:line="198" w:lineRule="auto"/>
        <w:rPr>
          <w:sz w:val="20"/>
          <w:szCs w:val="20"/>
          <w:color w:val="auto"/>
        </w:rPr>
      </w:pPr>
      <w:r>
        <w:rPr>
          <w:rFonts w:ascii="Arial" w:cs="Arial" w:eastAsia="Arial" w:hAnsi="Arial"/>
          <w:sz w:val="17"/>
          <w:szCs w:val="17"/>
          <w:i w:val="1"/>
          <w:iCs w:val="1"/>
          <w:color w:val="auto"/>
        </w:rPr>
        <w:t>(State or other jurisdiction of</w:t>
      </w:r>
    </w:p>
    <w:p>
      <w:pPr>
        <w:spacing w:after="0" w:line="1" w:lineRule="exact"/>
        <w:rPr>
          <w:sz w:val="24"/>
          <w:szCs w:val="24"/>
          <w:color w:val="auto"/>
        </w:rPr>
      </w:pPr>
    </w:p>
    <w:p>
      <w:pPr>
        <w:ind w:left="152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73-1309529</w:t>
      </w:r>
    </w:p>
    <w:p>
      <w:pPr>
        <w:jc w:val="center"/>
        <w:ind w:right="1900"/>
        <w:spacing w:after="0" w:line="187" w:lineRule="auto"/>
        <w:rPr>
          <w:sz w:val="20"/>
          <w:szCs w:val="20"/>
          <w:color w:val="auto"/>
        </w:rPr>
      </w:pPr>
      <w:r>
        <w:rPr>
          <w:rFonts w:ascii="Arial" w:cs="Arial" w:eastAsia="Arial" w:hAnsi="Arial"/>
          <w:sz w:val="18"/>
          <w:szCs w:val="18"/>
          <w:i w:val="1"/>
          <w:iCs w:val="1"/>
          <w:color w:val="auto"/>
        </w:rPr>
        <w:t>(I.R.S. Employer</w:t>
      </w:r>
    </w:p>
    <w:p>
      <w:pPr>
        <w:spacing w:after="0" w:line="1" w:lineRule="exact"/>
        <w:rPr>
          <w:sz w:val="24"/>
          <w:szCs w:val="24"/>
          <w:color w:val="auto"/>
        </w:rPr>
      </w:pPr>
    </w:p>
    <w:p>
      <w:pPr>
        <w:jc w:val="center"/>
        <w:ind w:right="1900"/>
        <w:spacing w:after="0"/>
        <w:rPr>
          <w:sz w:val="20"/>
          <w:szCs w:val="20"/>
          <w:color w:val="auto"/>
        </w:rPr>
      </w:pPr>
      <w:r>
        <w:rPr>
          <w:rFonts w:ascii="Arial" w:cs="Arial" w:eastAsia="Arial" w:hAnsi="Arial"/>
          <w:sz w:val="17"/>
          <w:szCs w:val="17"/>
          <w:i w:val="1"/>
          <w:iCs w:val="1"/>
          <w:color w:val="auto"/>
        </w:rPr>
        <w:t>Identification No.)</w:t>
      </w:r>
    </w:p>
    <w:p>
      <w:pPr>
        <w:spacing w:after="0" w:line="122" w:lineRule="exact"/>
        <w:rPr>
          <w:sz w:val="24"/>
          <w:szCs w:val="24"/>
          <w:color w:val="auto"/>
        </w:rPr>
      </w:pPr>
    </w:p>
    <w:p>
      <w:pPr>
        <w:sectPr>
          <w:pgSz w:w="11900" w:h="16838" w:orient="portrait"/>
          <w:cols w:equalWidth="0" w:num="2">
            <w:col w:w="6440" w:space="720"/>
            <w:col w:w="3240"/>
          </w:cols>
          <w:pgMar w:left="760" w:top="454" w:right="7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(Address of principal executive offices)</w:t>
      </w:r>
    </w:p>
    <w:p>
      <w:pPr>
        <w:sectPr>
          <w:pgSz w:w="11900" w:h="16838" w:orient="portrait"/>
          <w:cols w:equalWidth="0" w:num="1">
            <w:col w:w="10400"/>
          </w:cols>
          <w:pgMar w:left="760" w:top="454" w:right="739" w:bottom="1440" w:gutter="0" w:footer="0" w:header="0"/>
          <w:type w:val="continuous"/>
        </w:sectPr>
      </w:pP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454" w:right="739" w:bottom="1440" w:gutter="0" w:footer="0" w:header="0"/>
          <w:type w:val="continuous"/>
        </w:sectPr>
      </w:pPr>
    </w:p>
    <w:p>
      <w:pPr>
        <w:spacing w:after="0" w:line="127"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2300" w:space="720"/>
            <w:col w:w="4480" w:space="720"/>
            <w:col w:w="2180"/>
          </w:cols>
          <w:pgMar w:left="760" w:top="454" w:right="739" w:bottom="1440" w:gutter="0" w:footer="0" w:header="0"/>
          <w:type w:val="continuous"/>
        </w:sectPr>
      </w:pPr>
    </w:p>
    <w:p>
      <w:pPr>
        <w:spacing w:after="0" w:line="3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October 22, 2018 was 426,347,027 (excluding treasury shares of 203,935,434).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100330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408940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454" w:right="7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r>
      <w:tr>
        <w:trPr>
          <w:trHeight w:val="142"/>
        </w:trPr>
        <w:tc>
          <w:tcPr>
            <w:tcW w:w="6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678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w w:val="94"/>
              </w:rPr>
              <w:t>Accounts receivable, net of allowance for doubtful accounts of $25 and $21, respectively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Parts and supplies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0"/>
        </w:trPr>
        <w:tc>
          <w:tcPr>
            <w:tcW w:w="67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and amortization of $18,174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$17,704,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Restricted trust and escrow accounts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6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22,591</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r>
      <w:tr>
        <w:trPr>
          <w:trHeight w:val="203"/>
        </w:trPr>
        <w:tc>
          <w:tcPr>
            <w:tcW w:w="6780" w:type="dxa"/>
            <w:vAlign w:val="bottom"/>
          </w:tcPr>
          <w:p>
            <w:pPr>
              <w:ind w:left="226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0"/>
        </w:trPr>
        <w:tc>
          <w:tcPr>
            <w:tcW w:w="67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16"/>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1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Waste Management, Inc. 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2"/>
        </w:trPr>
        <w:tc>
          <w:tcPr>
            <w:tcW w:w="6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Common stock, $0.01 par value; 1,500,000,000 shares authorized; 630,282,461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4,933</w:t>
            </w: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203,157,357 and 196,963,558 shares,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(8,142)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r>
      <w:tr>
        <w:trPr>
          <w:trHeight w:val="210"/>
        </w:trPr>
        <w:tc>
          <w:tcPr>
            <w:tcW w:w="6780" w:type="dxa"/>
            <w:vAlign w:val="bottom"/>
          </w:tcPr>
          <w:p>
            <w:pPr>
              <w:ind w:left="320"/>
              <w:spacing w:after="0"/>
              <w:rPr>
                <w:sz w:val="20"/>
                <w:szCs w:val="20"/>
                <w:color w:val="auto"/>
              </w:rPr>
            </w:pPr>
            <w:r>
              <w:rPr>
                <w:rFonts w:ascii="Arial" w:cs="Arial" w:eastAsia="Arial" w:hAnsi="Arial"/>
                <w:sz w:val="18"/>
                <w:szCs w:val="18"/>
                <w:color w:val="auto"/>
              </w:rPr>
              <w:t>Total Waste Management, Inc. stockholders’ equity</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6,239</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6,019</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r>
      <w:tr>
        <w:trPr>
          <w:trHeight w:val="217"/>
        </w:trPr>
        <w:tc>
          <w:tcPr>
            <w:tcW w:w="6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r>
    </w:tbl>
    <w:p>
      <w:pPr>
        <w:spacing w:after="0" w:line="6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71"/>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11,072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10,833</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(Gain) loss from divestitures, asset impairments and unusual items,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16"/>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10"/>
        </w:trPr>
        <w:tc>
          <w:tcPr>
            <w:tcW w:w="55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w:t>
            </w:r>
          </w:p>
        </w:tc>
      </w:tr>
      <w:tr>
        <w:trPr>
          <w:trHeight w:val="236"/>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0"/>
        </w:trPr>
        <w:tc>
          <w:tcPr>
            <w:tcW w:w="5500" w:type="dxa"/>
            <w:vAlign w:val="bottom"/>
          </w:tcPr>
          <w:p>
            <w:pPr>
              <w:spacing w:after="0" w:line="203" w:lineRule="exact"/>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0.465</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1.275</w:t>
            </w:r>
          </w:p>
        </w:tc>
      </w:tr>
      <w:tr>
        <w:trPr>
          <w:trHeight w:val="643"/>
        </w:trPr>
        <w:tc>
          <w:tcPr>
            <w:tcW w:w="8360" w:type="dxa"/>
            <w:vAlign w:val="bottom"/>
            <w:gridSpan w:val="17"/>
          </w:tcPr>
          <w:p>
            <w:pPr>
              <w:jc w:val="center"/>
              <w:ind w:left="6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500" w:type="dxa"/>
            <w:vAlign w:val="bottom"/>
          </w:tcPr>
          <w:p>
            <w:pPr>
              <w:jc w:val="center"/>
              <w:ind w:left="3490"/>
              <w:spacing w:after="0"/>
              <w:rPr>
                <w:sz w:val="20"/>
                <w:szCs w:val="20"/>
                <w:color w:val="auto"/>
              </w:rPr>
            </w:pPr>
            <w:r>
              <w:rPr>
                <w:rFonts w:ascii="Arial" w:cs="Arial" w:eastAsia="Arial" w:hAnsi="Arial"/>
                <w:sz w:val="18"/>
                <w:szCs w:val="18"/>
                <w:b w:val="1"/>
                <w:bCs w:val="1"/>
                <w:color w:val="auto"/>
                <w:w w:val="95"/>
              </w:rPr>
              <w:t>(In Millions)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500" w:type="dxa"/>
            <w:vAlign w:val="bottom"/>
          </w:tcPr>
          <w:p>
            <w:pPr>
              <w:jc w:val="center"/>
              <w:ind w:left="347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55"/>
        </w:trPr>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Post-retirement benefit obligation,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02"/>
        </w:trPr>
        <w:tc>
          <w:tcPr>
            <w:tcW w:w="5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Nine Months Ended</w:t>
      </w:r>
    </w:p>
    <w:p>
      <w:pPr>
        <w:ind w:left="75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1,392</w:t>
            </w:r>
          </w:p>
        </w:tc>
        <w:tc>
          <w:tcPr>
            <w:tcW w:w="100" w:type="dxa"/>
            <w:vAlign w:val="bottom"/>
          </w:tcPr>
          <w:p>
            <w:pPr>
              <w:spacing w:after="0"/>
              <w:rPr>
                <w:sz w:val="17"/>
                <w:szCs w:val="17"/>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1,046</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w w:val="99"/>
              </w:rPr>
              <w:t>Adjustments to reconcile consolidated net income to net cash provided by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1,034</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benefit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Interest accretion on landfill liabilities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bad debts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Equity-based 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gain on disposal of assets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(Gain) loss from divestitures, asset impairments and other, net</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 in net losses of unconsolidated entities, net of dividends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Receivables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03"/>
        </w:trPr>
        <w:tc>
          <w:tcPr>
            <w:tcW w:w="7000" w:type="dxa"/>
            <w:vAlign w:val="bottom"/>
          </w:tcPr>
          <w:p>
            <w:pPr>
              <w:ind w:left="440"/>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3"/>
        </w:trPr>
        <w:tc>
          <w:tcPr>
            <w:tcW w:w="7000" w:type="dxa"/>
            <w:vAlign w:val="bottom"/>
          </w:tcPr>
          <w:p>
            <w:pPr>
              <w:ind w:left="440"/>
              <w:spacing w:after="0"/>
              <w:rPr>
                <w:sz w:val="20"/>
                <w:szCs w:val="20"/>
                <w:color w:val="auto"/>
              </w:rPr>
            </w:pPr>
            <w:r>
              <w:rPr>
                <w:rFonts w:ascii="Arial" w:cs="Arial" w:eastAsia="Arial" w:hAnsi="Arial"/>
                <w:sz w:val="17"/>
                <w:szCs w:val="17"/>
                <w:color w:val="auto"/>
              </w:rPr>
              <w:t>Accounts payable and accrued liabilities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revenues and other liabilities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2,388</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Acquisitions of businesses, net of cash acquired</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expenditures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(1,050)</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New borrowings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Debt repayments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Net commercial paper borrowings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501</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repurchase program</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Cash dividends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(566)</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common stock options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(1,331)</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w w:val="92"/>
              </w:rPr>
              <w:t>Effect of exchange rate changes on cash, cash equivalents and restricted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196"/>
        </w:trPr>
        <w:tc>
          <w:tcPr>
            <w:tcW w:w="700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 and cash equivalents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03"/>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r>
      <w:tr>
        <w:trPr>
          <w:trHeight w:val="203"/>
        </w:trPr>
        <w:tc>
          <w:tcPr>
            <w:tcW w:w="7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w w:val="94"/>
              </w:rPr>
              <w:t>Reconciliation of cash, cash equivalents and restricted cash and cash equivalents at end of period: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03"/>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Restricted cash and cash equivalents included in restricted trust and escrow accounts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03"/>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bl>
    <w:p>
      <w:pPr>
        <w:spacing w:after="0" w:line="18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4" w:name="page5"/>
    <w:bookmarkEnd w:id="4"/>
    <w:p>
      <w:pPr>
        <w:ind w:left="330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4"/>
          </w:tcPr>
          <w:p>
            <w:pPr>
              <w:jc w:val="right"/>
              <w:ind w:right="520"/>
              <w:spacing w:after="0"/>
              <w:rPr>
                <w:sz w:val="20"/>
                <w:szCs w:val="20"/>
                <w:color w:val="auto"/>
              </w:rPr>
            </w:pPr>
            <w:r>
              <w:rPr>
                <w:rFonts w:ascii="Arial" w:cs="Arial" w:eastAsia="Arial" w:hAnsi="Arial"/>
                <w:sz w:val="14"/>
                <w:szCs w:val="14"/>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restart"/>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138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13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Amounts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Earnings</w:t>
            </w:r>
          </w:p>
        </w:tc>
        <w:tc>
          <w:tcPr>
            <w:tcW w:w="40" w:type="dxa"/>
            <w:vAlign w:val="bottom"/>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$ 6,042</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8,588</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(196,964)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(7,516)</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w w:val="97"/>
              </w:rPr>
              <w:t>Adoption of new accounting standards</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w w:val="93"/>
              </w:rPr>
              <w:t>Other comprehensive income (loss), net</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tcPr>
          <w:p>
            <w:pPr>
              <w:ind w:left="140"/>
              <w:spacing w:after="0"/>
              <w:rPr>
                <w:sz w:val="20"/>
                <w:szCs w:val="20"/>
                <w:color w:val="auto"/>
              </w:rPr>
            </w:pPr>
            <w:r>
              <w:rPr>
                <w:rFonts w:ascii="Arial" w:cs="Arial" w:eastAsia="Arial" w:hAnsi="Arial"/>
                <w:sz w:val="14"/>
                <w:szCs w:val="14"/>
                <w:color w:val="auto"/>
              </w:rPr>
              <w:t>of tax</w:t>
            </w: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(19)</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(605)</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tcPr>
          <w:p>
            <w:pPr>
              <w:ind w:left="140"/>
              <w:spacing w:after="0"/>
              <w:rPr>
                <w:sz w:val="20"/>
                <w:szCs w:val="20"/>
                <w:color w:val="auto"/>
              </w:rPr>
            </w:pPr>
            <w:r>
              <w:rPr>
                <w:rFonts w:ascii="Arial" w:cs="Arial" w:eastAsia="Arial" w:hAnsi="Arial"/>
                <w:sz w:val="14"/>
                <w:szCs w:val="14"/>
                <w:color w:val="auto"/>
              </w:rPr>
              <w:t>transactions, net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(8,375)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Divestiture of noncontrolling interest</w:t>
            </w: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spacing w:after="0" w:line="142" w:lineRule="exact"/>
              <w:rPr>
                <w:sz w:val="20"/>
                <w:szCs w:val="20"/>
                <w:color w:val="auto"/>
              </w:rPr>
            </w:pPr>
            <w:r>
              <w:rPr>
                <w:rFonts w:ascii="Arial" w:cs="Arial" w:eastAsia="Arial" w:hAnsi="Arial"/>
                <w:sz w:val="14"/>
                <w:szCs w:val="14"/>
                <w:color w:val="auto"/>
              </w:rPr>
              <w:t>Balance, September 30, 2018</w:t>
            </w: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$ 6,241</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4,927</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(203,157)</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(8,142)</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14.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8.</w:t>
      </w:r>
    </w:p>
    <w:p>
      <w:pPr>
        <w:spacing w:after="0" w:line="16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Condensed Consolidated Financial Statements as of September 30, 2018 and for the three and nine months ended September 30, 2018 and 2017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In May 2014, the Financial Accounting Standards Board (“FASB”) issued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Update (“ASU”) 2014-09 associated with revenue recognition. On January 1, 2018, we adopted ASU 2014-09 using the modified retrospective approach for all ongoing customer contracts. Our results of operations for the reported periods after January 1, 2018 are presented under this amended guidance, while prior period amounts are not adjusted and continue to be reported in accordance with historical accounting guidance.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8"/>
          <w:szCs w:val="18"/>
          <w:color w:val="auto"/>
        </w:rPr>
        <w:t>The impact of adopting the amended guidance primarily relates to (i) the deferral of certain sales incentives, which previously were expensed as incurred, but under the new guidance are capitalized as other assets and amortized to selling, general and administrative expenses over the expected life of the customer relationship and (ii) the recognition of certain consideration payable to our customers as a reduction in operating revenues, which under historical guidance was recorded as operating expenses. We recognized a net $80 million increase to our retained earnings as of January 1, 2018 for the cumulative impact of adopting the amended guidance associated with the capitalization of sales incentives as contract acquisition costs consisting of a $108 million asset and a related $28 million deferred tax liability. There were no material impacts on our consolidated financial statements, which include these changes, as a result of our adoption of this amended guidance.</w:t>
      </w:r>
    </w:p>
    <w:p>
      <w:pPr>
        <w:spacing w:after="0" w:line="197"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For contracts with an effective term greater than one year, we applied the standard’s practical expedient that permits the exclusion of unsatisfied performance obligations as our right to consideration corresponds directly to the value provided to the customer for services completed to date and all future variable consideration is allocated to wholly unsatisfied performance obligations. We also applied the standard’s optional exemption for performance obligations related to contracts that have an original expected duration of one year or less. See Note 4 for additional information and disclosures related to this amended guidance.</w:t>
      </w:r>
    </w:p>
    <w:p>
      <w:pPr>
        <w:spacing w:after="0" w:line="19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01 associated with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financial assets and liabilities with further clarifications made in February 2018 with the issuance of ASU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The Company adopted this amended guidance on January 1, 2018 using a prospective transition approach, which did not have an impact on our consolidated financial statements.</w:t>
      </w:r>
    </w:p>
    <w:p>
      <w:pPr>
        <w:spacing w:after="0" w:line="2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concluded that all equity investments within the scope of ASU 2016-01, which primarily relate to equity securities previously accounted for under the cost method, do not have readily determinable fair values. Accordingly, the value of these investments beginning January 1, 2018 has been measured using a quantitative approach, or the measurement alternative, as noted above. As of September 30, 2018, the carrying amount of our investments without readily determinable fair values was $85 million. During the three and nine months ended September 30, 2018, we did not recognize any impairments or other adjustments related to these investments.</w:t>
      </w:r>
    </w:p>
    <w:p>
      <w:pPr>
        <w:spacing w:after="0" w:line="19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15 associated with the classification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receipts and cash payments in the statement of cash flows. In November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18 associated with the presentation of restricted cash and cash equivalents in the statement of cash flows. The objective of the amended guidance was to reduce existing diversity in practice. This amended guidance was retrospectively adopted on January 1, 2018 and required the following disclosures and changes to the presentation of our financial statements:</w:t>
      </w:r>
    </w:p>
    <w:p>
      <w:pPr>
        <w:spacing w:after="0" w:line="96" w:lineRule="exact"/>
        <w:rPr>
          <w:sz w:val="20"/>
          <w:szCs w:val="20"/>
          <w:color w:val="auto"/>
        </w:rPr>
      </w:pPr>
    </w:p>
    <w:p>
      <w:pPr>
        <w:jc w:val="both"/>
        <w:ind w:left="660" w:hanging="333"/>
        <w:spacing w:after="0" w:line="327"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Cash, cash equivalents and restricted cash and cash equivalents reported on the Condensed Consolidated Statements of Cash Flows now includes restricted cash and cash equivalents of $62 million, $67 million and $271 million as of December 31, 2016, September 30, 2017 and December 31, 2017, respectively, in restricted trust and escrow accounts in our Condensed Consolidated Balance Sheets as well as previously reported cash and cash equivalents.</w:t>
      </w:r>
    </w:p>
    <w:p>
      <w:pPr>
        <w:spacing w:after="0" w:line="32" w:lineRule="exact"/>
        <w:rPr>
          <w:rFonts w:ascii="Arial" w:cs="Arial" w:eastAsia="Arial" w:hAnsi="Arial"/>
          <w:sz w:val="15"/>
          <w:szCs w:val="15"/>
          <w:color w:val="auto"/>
        </w:rPr>
      </w:pPr>
    </w:p>
    <w:p>
      <w:pPr>
        <w:jc w:val="both"/>
        <w:ind w:left="660" w:hanging="333"/>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payments made within 120 days of the acquisition date of a business combination to settle a contingent consideration liability are classified as cash outflows from investing activities. Thereafter, cash payments up to the amount of the contingent consideration liability recognized at the acquisition date (including measurement-period adjustments) are classified as cash outflows from financing activities and any excess is classified as cash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outflows from operating activities. The adoption of this amended guidance did not have a material impact on our Condensed Consolidated Statements of Cash Flows.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restricted cash and cash equivalents generally consist of funds deposited into specific accounts for purposes of funding insurance claims and demonstrating our ability to meet our landfill final capping, closure, post-closure and environmental remediation obligations.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Reclassification of Certain Tax Effects from Accumulated Other Comprehensive Income — </w:t>
      </w:r>
      <w:r>
        <w:rPr>
          <w:rFonts w:ascii="Arial" w:cs="Arial" w:eastAsia="Arial" w:hAnsi="Arial"/>
          <w:sz w:val="16"/>
          <w:szCs w:val="16"/>
          <w:color w:val="auto"/>
        </w:rPr>
        <w:t>In February 2018,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ASU 2018-02 associated with the reclassification of certain tax effects from accumulated other comprehensive income (loss). This amended guidance allows a reclassification from accumulated other comprehensive income (loss) to retained earnings for stranded tax effects resulting from the Tax Cuts and Jobs Act (the “Act”) which was signed into law on December 22, 2017. We early adopted this amended guidance on January 1, 2018, and as a result, elected to reclassify $5 million of stranded tax effects from accumulated other comprehensive income (loss) to retained earnings using a specific identification approach. See Note 11 for additional disclosures related to this amended guidance.</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In March 2018, the FASB issued ASU 2018-05 associated with the accounting and disclosures around</w:t>
      </w:r>
      <w:r>
        <w:rPr>
          <w:rFonts w:ascii="Arial" w:cs="Arial" w:eastAsia="Arial" w:hAnsi="Arial"/>
          <w:sz w:val="18"/>
          <w:szCs w:val="18"/>
          <w:i w:val="1"/>
          <w:iCs w:val="1"/>
          <w:color w:val="auto"/>
        </w:rPr>
        <w:t xml:space="preserve"> </w:t>
      </w:r>
      <w:r>
        <w:rPr>
          <w:rFonts w:ascii="Arial" w:cs="Arial" w:eastAsia="Arial" w:hAnsi="Arial"/>
          <w:sz w:val="18"/>
          <w:szCs w:val="18"/>
          <w:color w:val="auto"/>
        </w:rPr>
        <w:t>the enactment of the Act and the Securities and Exchange Commission’s Staff Accounting Bulletin No. 118, Income Tax Accounting Implications of the Tax Cuts and Jobs Act (“SAB 118”), which the Company has adopted. See Note 5 for the disclosures related to this amended guidance.</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New Accounting Standards Pending Adoption</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13 associated with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206"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02 associated with lease accounting. There have been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including practical expedients, with the issuance of ASU 2018-01 and ASU 2018-11 in January 2018 and July 2018, respectively. The amended guidance requires the recognition of lease assets and lease liabilities on the balance sheet for those leases with terms in excess of 12 months and currently classified as operating leases. Disclosure of key information about leasing arrangements will also be required. The amended guidance is effective for the Company on January 1, 2019. To date, we have performed the following activities related to the adoption of the standard: (i) formed an implementation work team; (ii) performed training for the various organizations that will be most affected by the new standard; (iii) elected our practical expedients, including our transition method; (iv) acquired a software solution to manage and account for leases under the new standard and (v) identified our initial lease population that will be impacted by the new standard. We continue to evaluate the impact of this amended guidance on our consolidated financial statements.</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20" w:hanging="317"/>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6"/>
              </w:rPr>
              <w:t>Landfill</w:t>
            </w:r>
          </w:p>
        </w:tc>
        <w:tc>
          <w:tcPr>
            <w:tcW w:w="160" w:type="dxa"/>
            <w:vAlign w:val="bottom"/>
          </w:tcPr>
          <w:p>
            <w:pPr>
              <w:spacing w:after="0"/>
              <w:rPr>
                <w:sz w:val="10"/>
                <w:szCs w:val="10"/>
                <w:color w:val="auto"/>
              </w:rPr>
            </w:pPr>
          </w:p>
        </w:tc>
        <w:tc>
          <w:tcPr>
            <w:tcW w:w="11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Environmental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Remediation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nine months ended September 30, 2018 are reflected in the table below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342"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amount reported for our landfill liabilities includes an increase of $11 million due to the acceleration of the expected timing of capping activities for a landfill. See Note 10 for discussion of the impairment charge related to this landfill.</w:t>
      </w:r>
    </w:p>
    <w:p>
      <w:pPr>
        <w:spacing w:after="0" w:line="15" w:lineRule="exact"/>
        <w:rPr>
          <w:rFonts w:ascii="Arial" w:cs="Arial" w:eastAsia="Arial" w:hAnsi="Arial"/>
          <w:sz w:val="16"/>
          <w:szCs w:val="16"/>
          <w:color w:val="auto"/>
        </w:rPr>
      </w:pPr>
    </w:p>
    <w:p>
      <w:pPr>
        <w:jc w:val="both"/>
        <w:ind w:left="320" w:hanging="317"/>
        <w:spacing w:after="0" w:line="264"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reported for our environmental remediation liabilities includes the impact of an increase in the risk-free discount rate used to measure our liabilities from 2.5% at December 31, 2017 to 3.0% at September 30, 2018, resulting in a decrease of $5 million to our environmental remediation liabilities.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demonstrating our ability to meet our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September 30,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5"/>
              </w:rPr>
              <w:t>Revolving credit facility (weighted average interest rate of 2.7% as of September 30, 2018)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1"/>
              </w:rPr>
              <w:t>Commercial paper program (weighted average interest rate of 2.4% as of September 30, 2018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880" w:type="dxa"/>
            <w:vAlign w:val="bottom"/>
          </w:tcPr>
          <w:p>
            <w:pPr>
              <w:ind w:left="140"/>
              <w:spacing w:after="0"/>
              <w:rPr>
                <w:sz w:val="20"/>
                <w:szCs w:val="20"/>
                <w:color w:val="auto"/>
              </w:rPr>
            </w:pPr>
            <w:r>
              <w:rPr>
                <w:rFonts w:ascii="Arial" w:cs="Arial" w:eastAsia="Arial" w:hAnsi="Arial"/>
                <w:sz w:val="18"/>
                <w:szCs w:val="18"/>
                <w:color w:val="auto"/>
              </w:rPr>
              <w:t>and 1.9% as of December 31, 2017)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Canadian term loan and revolving credit facility (weighted average effective interest rate of</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 as of December 31, 2017)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Senior notes, maturing through 2045, interest rates ranging from 2.4% to 7.75% (weighted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880" w:type="dxa"/>
            <w:vAlign w:val="bottom"/>
          </w:tcPr>
          <w:p>
            <w:pPr>
              <w:ind w:left="140"/>
              <w:spacing w:after="0"/>
              <w:rPr>
                <w:sz w:val="20"/>
                <w:szCs w:val="20"/>
                <w:color w:val="auto"/>
              </w:rPr>
            </w:pPr>
            <w:r>
              <w:rPr>
                <w:rFonts w:ascii="Arial" w:cs="Arial" w:eastAsia="Arial" w:hAnsi="Arial"/>
                <w:sz w:val="18"/>
                <w:szCs w:val="18"/>
                <w:color w:val="auto"/>
              </w:rPr>
              <w:t>average interest rate of 4.3% as of September 30, 2018 and December 31, 2017)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6,222</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Tax-exempt bonds, maturing through 2045, fixed and variable interest rates ranging from</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1.35% to 4.3% (weighted average interest rate of 2.2% as of September 30, 2018 and 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of December 31, 2017)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Capital leases and other, maturing through 2040, interest rates up to 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discounts and other</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7"/>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September 30, 2018, we had $2.2 billion of debt maturing within the next 12 months, including (i) $1.1 billion of short-term borrowings under our commercial paper program; (ii) $806 million of tax-exempt bonds with term interest rate periods that expire within the next 12 months, which is prior to their scheduled maturities; (iii) $260 million of other debt with scheduled maturities within the next 12 months, including $209 million of tax-exempt bonds and (iv) C$57 million, or $44 million, of Canadian borrowings under our long-term U.S. and Canadian revolving credit facility (“$2.75 billion revolving credit facility”). Of the $1.1 billion of short-term borrowings outstanding under our commercial paper program as of September 30, 2018 that are supported by our $2.75 billion revolving credit facility, we have the intent and ability to refinance or maintain $955 million of these borrowings on a long-term basis, and we have classified these amounts as long-term debt. As of September 30, 2018, we have classified an additional $761 million of debt as long-term because we have the intent and ability to refinance these borrowings on a long-term basis as supported by the forecasted available capacity under our $2.75 billion revolving credit facility, as discussed below. The remaining $447 million is classified as current obligations.</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September 30, 2018, we also have $268 million of variable-rate tax-exempt bonds that are supported by letters of credit under our $2.75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$2.75 billion revolving credit facility to fund these bonds until they are remarketed successfully. Accordingly, we have also classified these borrowings as long-term in our Condensed Consolidated Balance Sheet as of September 30, 2018.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$2.75 Billion Revolving Credit Facility — </w:t>
      </w:r>
      <w:r>
        <w:rPr>
          <w:rFonts w:ascii="Arial" w:cs="Arial" w:eastAsia="Arial" w:hAnsi="Arial"/>
          <w:sz w:val="16"/>
          <w:szCs w:val="16"/>
          <w:color w:val="auto"/>
        </w:rPr>
        <w:t>In June 2018, we entered into the $2.75 billion revolving credit facility,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our prior long-term U.S. revolving credit facility. Amendments to the credit agreement included</w:t>
      </w:r>
    </w:p>
    <w:p>
      <w:pPr>
        <w:jc w:val="both"/>
        <w:ind w:firstLine="3"/>
        <w:spacing w:after="0" w:line="281" w:lineRule="auto"/>
        <w:tabs>
          <w:tab w:leader="none" w:pos="25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increasing total capacity under the facility from $2.25 billion to $2.75 billion; (ii) establishment of a $750 million accordion feature that may be used to increase total capacity in future periods; (iii) extending the term through June 2023 and</w:t>
      </w:r>
    </w:p>
    <w:p>
      <w:pPr>
        <w:spacing w:after="0" w:line="1" w:lineRule="exact"/>
        <w:rPr>
          <w:rFonts w:ascii="Arial" w:cs="Arial" w:eastAsia="Arial" w:hAnsi="Arial"/>
          <w:sz w:val="16"/>
          <w:szCs w:val="16"/>
          <w:color w:val="auto"/>
        </w:rPr>
      </w:pPr>
    </w:p>
    <w:p>
      <w:pPr>
        <w:jc w:val="both"/>
        <w:ind w:firstLine="3"/>
        <w:spacing w:after="0" w:line="253"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inclusion of two one-year extension options. Waste Management of Canada Corporation and WM Quebec Inc., each an indirect wholly-owned subsidiary of WM, were added as additional borrowers under the $2.75 billion revolving credit facility, and the agreement permits borrowing in Canadian dollars up to the U.S. dollar equivalent of $375 million, with such borrowings to be repaid in Canadian dollars. Waste Management Holdings, Inc., a wholly-owned subsidiary of WM, guarantees all of the obligations under the $2.75 billion revolving credit facility.</w:t>
      </w:r>
    </w:p>
    <w:p>
      <w:pPr>
        <w:spacing w:after="0" w:line="1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$2.75 billion revolving credit facility provides us with credit capacity to be used for either cash borrowings or to support letters of credit or commercial paper. The rates we pay for outstanding U.S. or Canadian loans are generally based on LIBOR or CDOR, respectively, plus a spread depending on the Company’s debt rating assigned by Moody’s Investors Service and Standard and Poor’s. As of September 30, 2018, we had C$57 million, or $44 million, of outstanding borrowings under this facility. We had $606 million of letters of credit issued and $1.1 billion of outstanding borrowings under our commercial paper program, both supported by this facility, leaving unused and available credit capacity of $1.0 billion as of September 30, 2018.</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We have a commercial paper program that enables us to borrow funds for up to 397 days</w:t>
      </w:r>
      <w:r>
        <w:rPr>
          <w:rFonts w:ascii="Arial" w:cs="Arial" w:eastAsia="Arial" w:hAnsi="Arial"/>
          <w:sz w:val="18"/>
          <w:szCs w:val="18"/>
          <w:i w:val="1"/>
          <w:iCs w:val="1"/>
          <w:color w:val="auto"/>
        </w:rPr>
        <w:t xml:space="preserve"> </w:t>
      </w:r>
      <w:r>
        <w:rPr>
          <w:rFonts w:ascii="Arial" w:cs="Arial" w:eastAsia="Arial" w:hAnsi="Arial"/>
          <w:sz w:val="18"/>
          <w:szCs w:val="18"/>
          <w:color w:val="auto"/>
        </w:rPr>
        <w:t>at competitive interest rates. The commercial paper program is fully supported by our $2.75 billion revolving credit facility. In June 2018, we amended our commercial paper program, increasing our ability to borrow funds from $1.5 billion to $2.75 billion, provided that the aggregate outstanding amount of commercial paper borrowings, together with borrowings and issued letters of credit under the $2.75 billion revolving credit facility, shall not at any time exceed the aggregate authorized borrowing capacity of such facility. As of September 30, 2018, we had $1.1 billion of outstanding borrowings under our commercial paper program.</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Canadian Term Loan and Revolving Credit Facility — </w:t>
      </w:r>
      <w:r>
        <w:rPr>
          <w:rFonts w:ascii="Arial" w:cs="Arial" w:eastAsia="Arial" w:hAnsi="Arial"/>
          <w:sz w:val="16"/>
          <w:szCs w:val="16"/>
          <w:color w:val="auto"/>
        </w:rPr>
        <w:t>In August 2018, we terminated our Canadian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as discussed further below. Prior to its termination, the Canadian credit agreement provided the Company with</w:t>
      </w:r>
    </w:p>
    <w:p>
      <w:pPr>
        <w:ind w:firstLine="3"/>
        <w:spacing w:after="0" w:line="261" w:lineRule="auto"/>
        <w:tabs>
          <w:tab w:leader="none" w:pos="2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C$50 million of revolving credit capacity to be used for borrowings or letters of credit and (ii) C$460 million of non-revolving term credit that was prepayable without penalty.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September 30, 2018, we utilized $541 million of other letter of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both committed and uncommitted, with terms maturing through September 2019.</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 During the first half of 2018, we borrowed and repaid $28 million under our revolving</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which we amended and restated in June 2018, as discussed above. During the third quarter of 2018, we had net cash Canadian borrowings of C$57 million, or $44 million, under our $2.75 billion revolving credit facility, all of which was used to repay the remaining balance under our Canadian term loan, as discussed below.</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nine months ended September 30, 2018, we had net cash borrowings of</w:t>
      </w:r>
      <w:r>
        <w:rPr>
          <w:rFonts w:ascii="Arial" w:cs="Arial" w:eastAsia="Arial" w:hAnsi="Arial"/>
          <w:sz w:val="18"/>
          <w:szCs w:val="18"/>
          <w:i w:val="1"/>
          <w:iCs w:val="1"/>
          <w:color w:val="auto"/>
        </w:rPr>
        <w:t xml:space="preserve"> </w:t>
      </w:r>
      <w:r>
        <w:rPr>
          <w:rFonts w:ascii="Arial" w:cs="Arial" w:eastAsia="Arial" w:hAnsi="Arial"/>
          <w:sz w:val="18"/>
          <w:szCs w:val="18"/>
          <w:color w:val="auto"/>
        </w:rPr>
        <w:t>$523 million to support new business opportunities and for general corporate purposes.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Canadian Term Loan and Revolving Credit Facility </w:t>
      </w:r>
      <w:r>
        <w:rPr>
          <w:rFonts w:ascii="Arial" w:cs="Arial" w:eastAsia="Arial" w:hAnsi="Arial"/>
          <w:sz w:val="17"/>
          <w:szCs w:val="17"/>
          <w:color w:val="auto"/>
        </w:rPr>
        <w:t>— Through August 2018, we repaid the remaining balance of C$142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$109 million, owed under our Canadian term loan and revolving credit facility and subsequently terminated our Canadian credit agreement. The remaining change in the carrying value of outstanding borrowings under our Canadian term loan and revolving credit facility is due to foreign currency translation.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During the nine months ended September 30, 2018, we repaid $52 million of our tax-exempt</w:t>
      </w:r>
      <w:r>
        <w:rPr>
          <w:rFonts w:ascii="Arial" w:cs="Arial" w:eastAsia="Arial" w:hAnsi="Arial"/>
          <w:sz w:val="18"/>
          <w:szCs w:val="18"/>
          <w:i w:val="1"/>
          <w:iCs w:val="1"/>
          <w:color w:val="auto"/>
        </w:rPr>
        <w:t xml:space="preserve"> </w:t>
      </w:r>
      <w:r>
        <w:rPr>
          <w:rFonts w:ascii="Arial" w:cs="Arial" w:eastAsia="Arial" w:hAnsi="Arial"/>
          <w:sz w:val="18"/>
          <w:szCs w:val="18"/>
          <w:color w:val="auto"/>
        </w:rPr>
        <w:t>bonds with available cash.</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Capital Leases and Other </w:t>
      </w:r>
      <w:r>
        <w:rPr>
          <w:rFonts w:ascii="Arial" w:cs="Arial" w:eastAsia="Arial" w:hAnsi="Arial"/>
          <w:sz w:val="18"/>
          <w:szCs w:val="18"/>
          <w:color w:val="auto"/>
        </w:rPr>
        <w:t>— The increase in our capital leases and other debt obligations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is primarily related to our new federal low-income housing investment discussed in Note 5, which increased our debt obligations by $139 million. This increase was offset by a net decrease of $35 million, primarily due to divestitures and net cash repayments of debt at maturity.</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Operating Revenues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 from sources other than customer contracts primarily relates to lease revenue associated with compactors and balers. Revenue from these leasing arrangements was not material and represented approximately 1% of total revenue for each of the reported periods.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8 for additional information related to revenue by reportable segment and major lines of business.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Accounts receivable,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2018, we had $141 million of deferred contract costs, of which $109 million was related to deferred sales incentives. During the three and nine months ended September 30, 2018, we amortized $6 million and $17 million of sales incentives to selling, general and administrative expense, and $8 million and $27 million of other contract acquisition costs as a reduction in revenue, respectively.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Contracts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Approximately 30% of our total revenue is derived from contracts with an effective term greater than one year. The consideration for these contracts is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effective income tax rate for the three and nine months ended September 30, 2018 was 16.6% and 18.9%, respectively, compared with 35.7% and 34.9%, respectively, for the comparable prior year periods. We evaluate our effective income tax rate at each interim period and adjust it as facts and circumstances warrant. The decrease in the effective income tax rate for the three and nine months ended September 30, 2018, compared with the prior year periods, was primarily due to the enactment of tax reform, as discussed below.</w:t>
      </w:r>
    </w:p>
    <w:p>
      <w:pPr>
        <w:spacing w:after="0" w:line="18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The difference between federal income taxes computed at the federal statutory rate and reported income taxes for the three and nine months ended September 30, 2018 was primarily due to a reduction in income tax expense related to</w:t>
      </w:r>
    </w:p>
    <w:p>
      <w:pPr>
        <w:jc w:val="both"/>
        <w:ind w:firstLine="3"/>
        <w:spacing w:after="0" w:line="277" w:lineRule="auto"/>
        <w:tabs>
          <w:tab w:leader="none" w:pos="216"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adjustments to our accruals and related deferred taxes due to the filing of our 2017 income tax returns and changes in state laws; (ii) federal tax credits and (iii) impacts of enactment of tax reform offset, in part, by the unfavorable impact of state and local income taxes. The nine-month period was also favorably impacted by tax audit settlements.</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difference between federal income taxes computed at the federal statutory rate and reported income taxes for the three months ended September 30, 2017 was primarily due to the unfavorable impact of state and local income taxes offset, in part, by the favorable impact of federal tax credits and adjustments to our accruals and related deferred taxes due to the filing of our 2016 income tax returns. The difference between federal income taxes computed at the federal statutory rate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reported income taxes for the nine months ended September 30, 2017 was primarily due to the favorable impact of federal tax credits, excess tax benefits related to equity-based compensation and adjustments to our accruals and related deferred taxes due to the filing of our 2016 income tax returns offset, in part, by the unfavorable impact of state and local income taxes and nondeductible impairments.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Enactment of Tax Reform </w:t>
      </w:r>
      <w:r>
        <w:rPr>
          <w:rFonts w:ascii="Arial" w:cs="Arial" w:eastAsia="Arial" w:hAnsi="Arial"/>
          <w:sz w:val="16"/>
          <w:szCs w:val="16"/>
          <w:color w:val="auto"/>
        </w:rPr>
        <w:t>— The Act was signed into law on December 22, 2017. The most significant impacts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Act to the Company include a reduction in the federal corporate income tax rate from 35% to 21%, effective January 1, 2018, and a one-time, mandatory transition tax on deemed repatriation of previously tax-deferred and unremitted foreign earnings.</w:t>
      </w:r>
    </w:p>
    <w:p>
      <w:pPr>
        <w:spacing w:after="0" w:line="14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accordance with ASU 2018-05 and SAB 118, the Company recognized the provisional tax impacts related to the remeasurement of our deferred income tax assets and liabilities and the one-time, mandatory transition tax on deemed repatriation during the year ended December 31, 2017. In September 2018, measurement period adjustments to the provisional tax impacts due to the filing of our 2017 income tax returns resulted in a reduction in our income tax expense of $12 million. The reduction consisted of a net income tax benefit of $7 million for the remeasurement of our deferred income tax assets and liabilities due to the decrease in the federal corporate income tax rate and an income tax benefit of $5 million for the one-time, mandatory transition tax. Additional adjustments may be necessary in future periods due to, among other things, the significant complexity of the Act and anticipated additional regulatory guidance that may be issued by the Internal Revenue Service (“IRS”), changes in analysis, interpretations and assumptions the Company has made and actions the Company may take as a result of the Act. We are continuing to gather information to assess the application of the Act and expect to complete our analysis during 2018.</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Adjustments to Accruals and Related Deferred Taxes </w:t>
      </w:r>
      <w:r>
        <w:rPr>
          <w:rFonts w:ascii="Arial" w:cs="Arial" w:eastAsia="Arial" w:hAnsi="Arial"/>
          <w:sz w:val="18"/>
          <w:szCs w:val="18"/>
          <w:color w:val="auto"/>
        </w:rPr>
        <w:t>— During the three and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our accruals and related deferred taxes due to the filing of our 2017 income tax returns and changes in state laws resulted in a reduction in our income tax expense of $27 million and $35 million, respectively, compared with $15 million for both of the prior year periods.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On September 28, 2018 we acquired an additional noncontrolling interest in a limited liability company established to invest in and manage low-income housing properties. Our consideration for this investment totaled $157 million, which was comprised of a $139 million note payable and an initial cash payment of $18 million. We support the operations of these entities in exchange for a pro-rata share of the tax credits they generate. The low-income housing investments and the coal facility’s refinement processes qualify for federal tax credits that we expect to realize through 2030 under Sections 42 and 45D, and through 2019 under Section 45, respectively, of the Internal Revenue Code.</w:t>
      </w:r>
    </w:p>
    <w:p>
      <w:pPr>
        <w:spacing w:after="0" w:line="1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in our Condensed Consolidated Statements of Operations. During the three and nine months ended September 30, 2018, we recognized $5 million and $17 million of net losses and a reduction in our income tax expense of $18 million and $40 million, respectively, primarily because of tax credits realized from these investments. During the three and nine months ended September 30, 2017, we recognized $6 million and $21 million of net losses and a reduction in our income tax expense of $14 million and $39 million, respectively, primarily because of tax credits realized from these investments. Interest expense associated with our investments in low-income housing properties was not material for the periods presented. See Note 14 for additional information related to these unconsolidated variable interest entities.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We are currently under audit by the IRS, the Canada Revenue Agency and various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taxing authorities and our audits are in various stages of completion. During the three and nine months ended September 30, 2018, we settled various tax audits, which resulted in a reduction in our income tax expense of $2 million and $35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20" w:hanging="317"/>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40" w:type="dxa"/>
            <w:vAlign w:val="bottom"/>
          </w:tcPr>
          <w:p>
            <w:pPr>
              <w:spacing w:after="0"/>
              <w:rPr>
                <w:sz w:val="14"/>
                <w:szCs w:val="14"/>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9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r>
      <w:tr>
        <w:trPr>
          <w:trHeight w:val="216"/>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r>
      <w:tr>
        <w:trPr>
          <w:trHeight w:val="202"/>
        </w:trPr>
        <w:tc>
          <w:tcPr>
            <w:tcW w:w="5940" w:type="dxa"/>
            <w:vAlign w:val="bottom"/>
          </w:tcPr>
          <w:p>
            <w:pPr>
              <w:ind w:left="220"/>
              <w:spacing w:after="0" w:line="201" w:lineRule="exact"/>
              <w:rPr>
                <w:sz w:val="20"/>
                <w:szCs w:val="20"/>
                <w:color w:val="auto"/>
              </w:rPr>
            </w:pPr>
            <w:r>
              <w:rPr>
                <w:rFonts w:ascii="Arial" w:cs="Arial" w:eastAsia="Arial" w:hAnsi="Arial"/>
                <w:sz w:val="18"/>
                <w:szCs w:val="18"/>
                <w:color w:val="auto"/>
                <w:w w:val="95"/>
              </w:rPr>
              <w:t>Dilutive effect of equity-based compensation awards and other contingently</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issuable shares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r>
      <w:tr>
        <w:trPr>
          <w:trHeight w:val="203"/>
        </w:trPr>
        <w:tc>
          <w:tcPr>
            <w:tcW w:w="5940" w:type="dxa"/>
            <w:vAlign w:val="bottom"/>
          </w:tcPr>
          <w:p>
            <w:pPr>
              <w:spacing w:after="0" w:line="203" w:lineRule="exact"/>
              <w:rPr>
                <w:sz w:val="20"/>
                <w:szCs w:val="20"/>
                <w:color w:val="auto"/>
              </w:rPr>
            </w:pPr>
            <w:r>
              <w:rPr>
                <w:rFonts w:ascii="Arial" w:cs="Arial" w:eastAsia="Arial" w:hAnsi="Arial"/>
                <w:sz w:val="18"/>
                <w:szCs w:val="18"/>
                <w:color w:val="auto"/>
              </w:rPr>
              <w:t>Potentially issuable shares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1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8.2</w:t>
            </w:r>
          </w:p>
        </w:tc>
        <w:tc>
          <w:tcPr>
            <w:tcW w:w="1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1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8.2</w:t>
            </w:r>
          </w:p>
        </w:tc>
      </w:tr>
      <w:tr>
        <w:trPr>
          <w:trHeight w:val="202"/>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$2.75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automobile liability, workers’ compensation, real and personal property,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In December 2017, we elected to use a wholly-owned insurance captive to insure the deductibles for our general liability, automobile liability and workers’ compensation claims programs.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Guarantees — </w:t>
      </w:r>
      <w:r>
        <w:rPr>
          <w:rFonts w:ascii="Arial" w:cs="Arial" w:eastAsia="Arial" w:hAnsi="Arial"/>
          <w:sz w:val="16"/>
          <w:szCs w:val="16"/>
          <w:color w:val="auto"/>
        </w:rPr>
        <w:t>In the ordinary course of our business, WM and WM Holdings enter into guarantee agreements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15 for further discussion.</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September 30, 2018, we have guaranteed the obligations and certain performance requirements of third parties in connection with both consolidated and unconsolidated entities, including (i) guarantees to cover certain market value losses for approximately 775 homeowners’ properties adjacent to or near 18 of our landfills and (ii) guarantees totaling $85 million for performance obligations of our Wheelabrator business, divested in 2014.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 as</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$237 million recorded in the Condensed Consolidated Balance Sheet as of September 30, 2018.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September 30, 2018,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selected remedy for the site. Allocation of responsibility among the PRPs for the selected remedy has not been established. As of September 30, 2018 and December 31, 2017, the recorded liability for MIMC’s estimated potential share of the EPA’s selected remedy and related costs was $55 million. MIMC’s ultimate liability could be materially different from current estimates.</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left="320" w:firstLine="324"/>
        <w:spacing w:after="0" w:line="257" w:lineRule="auto"/>
        <w:rPr>
          <w:sz w:val="20"/>
          <w:szCs w:val="20"/>
          <w:color w:val="auto"/>
        </w:rPr>
      </w:pPr>
      <w:r>
        <w:rPr>
          <w:rFonts w:ascii="Arial" w:cs="Arial" w:eastAsia="Arial" w:hAnsi="Arial"/>
          <w:sz w:val="18"/>
          <w:szCs w:val="18"/>
          <w:color w:val="auto"/>
        </w:rPr>
        <w:t>The Hawaii Department of Health and the EPA have asserted civil penalty claims against Waste Management of Hawaii, Inc. (“WMHI”), an indirect wholly-owned subsidiary of WM, based on stormwater discharges at the Waimanalo Gulch Sanitary Landfill following two major rainstorms in December 2010 and January 2011 and alleged violations of stormwater permit requirements prior to and after the storms. WMHI operates the landfill for the City and County of Honolulu.</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us to meet certain regulatory or contractual conditions upon site closure or upon termination of the agreements. Compliance with these agreements inherently involves subjective determinations and may result in disputes, including litigation.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U.S. and Canada, we are subject to various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participate in the IRS’s Compliance Assurance Process, which means we work with the IRS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and 2018 tax years and expect these audits to be completed within the next 18 months. We are also currently undergoing audits by various state and local jurisdictions for tax years that date back to 2011. Additionally, we are under audit by the Canada Revenue Agency for the 2014 tax year.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and Related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our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Annually, we analyze the Areas’ income from operations margins for purposes of segment reporting and in the fourth quarter of 2017, we realigned our Solid Waste tiers to reflect changes in their relative economic characteristics and prospects. These changes are the results of various factors including acquisitions, divestments, business mix and the economic climate of various geographies. Reclassifications have been made to our prior period consolidated financial information to conform to the most current presentation.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Southern California and the Florida peninsula, and also includes the New England states, the tri-state area of Michigan, Indiana and Ohio, and Western Canada. Tier 2 now includes Southern California, Eastern Canada, Wisconsin and Minnesota. Tier 3 now encompasses all the remaining operations including the Pacific Northwest and Northern California, the Mid-Atlantic region of the U.S., the Florida peninsula, Illinois and Missouri.</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51"/>
              <w:spacing w:after="0"/>
              <w:rPr>
                <w:sz w:val="20"/>
                <w:szCs w:val="20"/>
                <w:color w:val="auto"/>
              </w:rPr>
            </w:pPr>
            <w:r>
              <w:rPr>
                <w:rFonts w:ascii="Arial" w:cs="Arial" w:eastAsia="Arial" w:hAnsi="Arial"/>
                <w:sz w:val="14"/>
                <w:szCs w:val="14"/>
                <w:b w:val="1"/>
                <w:bCs w:val="1"/>
                <w:color w:val="auto"/>
                <w:w w:val="88"/>
              </w:rPr>
              <w:t>Gross</w:t>
            </w:r>
          </w:p>
        </w:tc>
        <w:tc>
          <w:tcPr>
            <w:tcW w:w="1120" w:type="dxa"/>
            <w:vAlign w:val="bottom"/>
            <w:gridSpan w:val="4"/>
          </w:tcPr>
          <w:p>
            <w:pPr>
              <w:ind w:left="160"/>
              <w:spacing w:after="0"/>
              <w:rPr>
                <w:sz w:val="20"/>
                <w:szCs w:val="20"/>
                <w:color w:val="auto"/>
              </w:rPr>
            </w:pPr>
            <w:r>
              <w:rPr>
                <w:rFonts w:ascii="Arial" w:cs="Arial" w:eastAsia="Arial" w:hAnsi="Arial"/>
                <w:sz w:val="14"/>
                <w:szCs w:val="14"/>
                <w:b w:val="1"/>
                <w:bCs w:val="1"/>
                <w:color w:val="auto"/>
              </w:rPr>
              <w:t>Intercompany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Revenues</w:t>
            </w:r>
          </w:p>
        </w:tc>
        <w:tc>
          <w:tcPr>
            <w:tcW w:w="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September 30:</w:t>
            </w:r>
          </w:p>
        </w:tc>
        <w:tc>
          <w:tcPr>
            <w:tcW w:w="19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8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1,229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Tier 3</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Solid Waste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ind w:left="300"/>
              <w:spacing w:after="0"/>
              <w:rPr>
                <w:sz w:val="20"/>
                <w:szCs w:val="20"/>
                <w:color w:val="auto"/>
              </w:rPr>
            </w:pPr>
            <w:r>
              <w:rPr>
                <w:rFonts w:ascii="Arial" w:cs="Arial" w:eastAsia="Arial" w:hAnsi="Arial"/>
                <w:sz w:val="18"/>
                <w:szCs w:val="18"/>
                <w:color w:val="auto"/>
              </w:rPr>
              <w:t>Solid Waste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97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jc w:val="right"/>
              <w:ind w:right="8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r>
      <w:tr>
        <w:trPr>
          <w:trHeight w:val="149"/>
        </w:trPr>
        <w:tc>
          <w:tcPr>
            <w:tcW w:w="2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Operating</w:t>
            </w:r>
          </w:p>
        </w:tc>
        <w:tc>
          <w:tcPr>
            <w:tcW w:w="6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1"/>
              </w:rPr>
              <w:t>Operations</w:t>
            </w:r>
          </w:p>
        </w:tc>
      </w:tr>
      <w:tr>
        <w:trPr>
          <w:trHeight w:val="176"/>
        </w:trPr>
        <w:tc>
          <w:tcPr>
            <w:tcW w:w="56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r>
      <w:tr>
        <w:trPr>
          <w:trHeight w:val="216"/>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2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3,577</w:t>
            </w:r>
          </w:p>
        </w:tc>
        <w:tc>
          <w:tcPr>
            <w:tcW w:w="1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10"/>
        </w:trPr>
        <w:tc>
          <w:tcPr>
            <w:tcW w:w="56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11,538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70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11,072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17"/>
        </w:trPr>
        <w:tc>
          <w:tcPr>
            <w:tcW w:w="56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11,072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16"/>
        </w:trPr>
        <w:tc>
          <w:tcPr>
            <w:tcW w:w="2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10"/>
        </w:trPr>
        <w:tc>
          <w:tcPr>
            <w:tcW w:w="560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11,071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2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12,993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10,833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2,370</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17"/>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12,993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10,833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mix of operating revenues from our major lines of business are as follows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25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280" w:type="dxa"/>
            <w:vAlign w:val="bottom"/>
            <w:tcBorders>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1,888</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10"/>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Landfill</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Intercompany (b)</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(2,160)</w:t>
            </w:r>
          </w:p>
        </w:tc>
      </w:tr>
      <w:tr>
        <w:trPr>
          <w:trHeight w:val="217"/>
        </w:trPr>
        <w:tc>
          <w:tcPr>
            <w:tcW w:w="2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11,072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10,833</w:t>
            </w:r>
          </w:p>
        </w:tc>
      </w:tr>
      <w:tr>
        <w:trPr>
          <w:trHeight w:val="108"/>
        </w:trPr>
        <w:tc>
          <w:tcPr>
            <w:tcW w:w="228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U.S.,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Acquisitions and Divestitures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nine months ended September 30, 2018, we acquired 21 solid waste businesses. Total consideration, net of cash acquired, for these acquisitions was $350 million, which included $329 million in cash paid and $21 million of other consideration, primarily purchase price holdbacks. During the nine months ended September 30, 2018, we also paid $13 million of purchase price holdbacks, of which $7 million related to current year acquisitions. The businesses acquired provide collection, transfer and disposal services. As of September 30, 2018, the allocation of the purchase price for these acquisitions is preliminary; fair value estimates of identifiable assets acquired and liabilities assumed are based on management’s estimates, judgments and assumptions and are subject to change until finalized.</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nine months ended September 30, 2018, we sold certain ancillary operations and received cash proceeds from these divestitures of $86 million and recognized net gains of $43 million, which are included in (gain) loss from divestitures, asset impairments and unusual items, net in the Condensed Consolidated Statement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Asset Impairments and Unusual Items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nine months ended September 30, 2018, we recognized a net gain of $14 million, primarily related to net gains from divestitures of $43 million due to the sale of certain ancillary operations, which were partially offset by a $29 million charge to impair a landfill in our Tier 3 segment based on an internally developed discounted projected cash flow analysis, taking into account continued volume decreases and revised capping cost estimates.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September 30, 2017, we recognized $28 million of impairment charges to write down equity method investments in waste diversion technology companies to their estimated fair values.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Retirement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Obligations</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9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60"/>
              <w:spacing w:after="0"/>
              <w:rPr>
                <w:sz w:val="20"/>
                <w:szCs w:val="20"/>
                <w:color w:val="auto"/>
              </w:rPr>
            </w:pPr>
            <w:r>
              <w:rPr>
                <w:rFonts w:ascii="Arial" w:cs="Arial" w:eastAsia="Arial" w:hAnsi="Arial"/>
                <w:sz w:val="18"/>
                <w:szCs w:val="18"/>
                <w:color w:val="auto"/>
                <w:w w:val="99"/>
              </w:rPr>
              <w:t>of tax expense (benefit) of $0, $3, $0 and $0,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2"/>
        </w:trPr>
        <w:tc>
          <w:tcPr>
            <w:tcW w:w="49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(income) loss, net of tax (expense) benefit of $2, $0, $0 and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respectively</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new accounting standard (a)</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4920" w:type="dxa"/>
            <w:vAlign w:val="bottom"/>
            <w:gridSpan w:val="2"/>
          </w:tcPr>
          <w:p>
            <w:pPr>
              <w:spacing w:after="0"/>
              <w:rPr>
                <w:sz w:val="20"/>
                <w:szCs w:val="20"/>
                <w:color w:val="auto"/>
              </w:rPr>
            </w:pPr>
            <w:r>
              <w:rPr>
                <w:rFonts w:ascii="Arial" w:cs="Arial" w:eastAsia="Arial" w:hAnsi="Arial"/>
                <w:sz w:val="18"/>
                <w:szCs w:val="18"/>
                <w:color w:val="auto"/>
              </w:rPr>
              <w:t>Balance, September 30, 2018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January 1, 2018, we adopted ASU 2018-02 and reclassified stranded tax effects to retained earnings. See Note 1 for further discussion of ASU 2018-02.</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active derivatives outstanding during the reported periods. Amounts reclassified out of accumulated other comprehensive income (loss) associated with our previously terminated cash flow hedges were not material for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 Repurchase Program</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During the six months ended June 30, 2018, we entered into and completed two accelerated share repurchase (“ASR”) agreements to repurchase $450 million of our common stock, and we received 5.4 million shares in connection with these two ASR agreements. In July 2018, we entered into a third ASR agreement to repurchase $200 million of our common stock. Pursuant to the July 2018 ASR agreement, we delivered $200 million cash and received 1.8 million shares. The weighted average per share price of the 7.2 million shares of common stock received under the three ASR agreements through September 30, 2018 was $85.04. The July 2018 ASR agreement completed in October 2018, at which time we received 0.4 million additional shares based on a final weighted average per share price of $90.07.</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March 2018 through May 2018, we repurchased an additional 1.2 million shares in open market transactions in compliance with Rule 10b5-1 and Rule 10b-18 of the Exchange Act for $100 million, inclusive of per-share commissions, at a weighted average per share price of $83.20.</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2018, the Company has authorization for $500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r>
      <w:tr>
        <w:trPr>
          <w:trHeight w:val="156"/>
        </w:trPr>
        <w:tc>
          <w:tcPr>
            <w:tcW w:w="69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Fair Value Measurements Using:</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1"/>
        </w:trPr>
        <w:tc>
          <w:tcPr>
            <w:tcW w:w="2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Quoted prices in active markets (Level 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0"/>
        </w:trPr>
        <w:tc>
          <w:tcPr>
            <w:tcW w:w="2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115"/>
        </w:trPr>
        <w:tc>
          <w:tcPr>
            <w:tcW w:w="2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Significant other observable inputs (Level 2):</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9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Fixed-income securities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115"/>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Significant unobservable inputs (Level 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Redeemable preferred stock (a)</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115"/>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223"/>
        </w:trPr>
        <w:tc>
          <w:tcPr>
            <w:tcW w:w="6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108"/>
        </w:trPr>
        <w:tc>
          <w:tcPr>
            <w:tcW w:w="2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73"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 In September 2018, the fair value of our redeemable preferred stock increased $11 million based on a recent third-party investors’ transaction in these securities.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2018 and December 31, 2017, the carrying value of our debt was $10.0 billion and $9.5 billion, respectively. The estimated fair value of our debt was approximately $10.1 billion and $9.9 billion as of September 30, 2018 and December 31, 2017.</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2018 and December 31, 2017. These amounts have not been revalued since those dates, and current estimates of fair value could differ significantly from the amounts presented.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$199 million and $59 million as of September 30, 2018 and December 31, 2017, respectively. The debt balance related to our investments in low-income housing properties was $156 million and $34 million as of September 30, 2018 and December 31, 2017, respectively. Additional information related to these investments is discussed in Note 5.</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$99 million as of September 30, 2018 and December 31, 2017.</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Consolidated Variable Interest Entities — </w:t>
      </w:r>
      <w:r>
        <w:rPr>
          <w:rFonts w:ascii="Arial" w:cs="Arial" w:eastAsia="Arial" w:hAnsi="Arial"/>
          <w:sz w:val="17"/>
          <w:szCs w:val="17"/>
          <w:color w:val="auto"/>
        </w:rPr>
        <w:t>Trust funds for which we are the sole beneficiary are consolidated because we</w:t>
      </w:r>
      <w:r>
        <w:rPr>
          <w:rFonts w:ascii="Arial" w:cs="Arial" w:eastAsia="Arial" w:hAnsi="Arial"/>
          <w:sz w:val="17"/>
          <w:szCs w:val="17"/>
          <w:i w:val="1"/>
          <w:iCs w:val="1"/>
          <w:color w:val="auto"/>
        </w:rPr>
        <w:t xml:space="preserve"> </w:t>
      </w:r>
      <w:r>
        <w:rPr>
          <w:rFonts w:ascii="Arial" w:cs="Arial" w:eastAsia="Arial" w:hAnsi="Arial"/>
          <w:sz w:val="17"/>
          <w:szCs w:val="17"/>
          <w:color w:val="auto"/>
        </w:rPr>
        <w:t>are the primary beneficiary. These trust funds are recorded in restricted trust and escrow accounts in our Condensed Consolidated Balance Sheets. Unrealized gains and losses on available-for-sale securities held by these trusts are recorded as a component of our accumulated other comprehensive income (loss). These trusts had a fair value of $103 million and $101 million as of September 30, 2018 and December 31, 2017,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180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24,055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(48,599)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Advances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(16,289)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7"/>
        </w:trPr>
        <w:tc>
          <w:tcPr>
            <w:tcW w:w="3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24,108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24,580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(64,888)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98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Due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16,353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(22,645)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23,942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(22,645)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16,350</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24,053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(48,599)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24,053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(42,243)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17"/>
        </w:trPr>
        <w:tc>
          <w:tcPr>
            <w:tcW w:w="396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24,108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24,580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(64,888)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22,591</w:t>
            </w:r>
          </w:p>
        </w:tc>
        <w:tc>
          <w:tcPr>
            <w:tcW w:w="0" w:type="dxa"/>
            <w:vAlign w:val="bottom"/>
          </w:tcPr>
          <w:p>
            <w:pPr>
              <w:spacing w:after="0"/>
              <w:rPr>
                <w:sz w:val="1"/>
                <w:szCs w:val="1"/>
                <w:color w:val="auto"/>
              </w:rPr>
            </w:pPr>
          </w:p>
        </w:tc>
      </w:tr>
      <w:tr>
        <w:trPr>
          <w:trHeight w:val="864"/>
        </w:trPr>
        <w:tc>
          <w:tcPr>
            <w:tcW w:w="3960" w:type="dxa"/>
            <w:vAlign w:val="bottom"/>
          </w:tcPr>
          <w:p>
            <w:pPr>
              <w:spacing w:after="0"/>
              <w:rPr>
                <w:sz w:val="24"/>
                <w:szCs w:val="24"/>
                <w:color w:val="auto"/>
              </w:rPr>
            </w:pPr>
          </w:p>
        </w:tc>
        <w:tc>
          <w:tcPr>
            <w:tcW w:w="1160" w:type="dxa"/>
            <w:vAlign w:val="bottom"/>
            <w:gridSpan w:val="3"/>
          </w:tcPr>
          <w:p>
            <w:pPr>
              <w:jc w:val="right"/>
              <w:ind w:right="411"/>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Holdings</w:t>
            </w: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180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(45,286)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(15,349)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7"/>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Due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(21,701)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22,461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(21,701)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(45,286)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(6,073)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(38,934)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17"/>
        </w:trPr>
        <w:tc>
          <w:tcPr>
            <w:tcW w:w="39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864"/>
        </w:trPr>
        <w:tc>
          <w:tcPr>
            <w:tcW w:w="3940" w:type="dxa"/>
            <w:vAlign w:val="bottom"/>
          </w:tcPr>
          <w:p>
            <w:pPr>
              <w:spacing w:after="0"/>
              <w:rPr>
                <w:sz w:val="24"/>
                <w:szCs w:val="24"/>
                <w:color w:val="auto"/>
              </w:rPr>
            </w:pPr>
          </w:p>
        </w:tc>
        <w:tc>
          <w:tcPr>
            <w:tcW w:w="1160" w:type="dxa"/>
            <w:vAlign w:val="bottom"/>
            <w:gridSpan w:val="3"/>
          </w:tcPr>
          <w:p>
            <w:pPr>
              <w:jc w:val="right"/>
              <w:ind w:right="391"/>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5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w w:val="92"/>
              </w:rPr>
              <w:t>Less: Net income (loss) attributable to noncontrolling interests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522"/>
        </w:trPr>
        <w:tc>
          <w:tcPr>
            <w:tcW w:w="6220" w:type="dxa"/>
            <w:vAlign w:val="bottom"/>
            <w:gridSpan w:val="12"/>
          </w:tcPr>
          <w:p>
            <w:pPr>
              <w:jc w:val="center"/>
              <w:ind w:left="2750"/>
              <w:spacing w:after="0"/>
              <w:rPr>
                <w:sz w:val="20"/>
                <w:szCs w:val="20"/>
                <w:color w:val="auto"/>
              </w:rPr>
            </w:pPr>
            <w:r>
              <w:rPr>
                <w:rFonts w:ascii="Arial" w:cs="Arial" w:eastAsia="Arial" w:hAnsi="Arial"/>
                <w:sz w:val="18"/>
                <w:szCs w:val="18"/>
                <w:b w:val="1"/>
                <w:bCs w:val="1"/>
                <w:color w:val="auto"/>
                <w:w w:val="90"/>
              </w:rPr>
              <w:t>Three Months Ended September 30, 2017</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60" w:type="dxa"/>
            <w:vAlign w:val="bottom"/>
            <w:gridSpan w:val="6"/>
          </w:tcPr>
          <w:p>
            <w:pPr>
              <w:jc w:val="center"/>
              <w:ind w:left="37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center"/>
              <w:ind w:right="5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21"/>
                <w:szCs w:val="2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Pr>
          <w:p>
            <w:pPr>
              <w:spacing w:after="0"/>
              <w:rPr>
                <w:sz w:val="21"/>
                <w:szCs w:val="2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432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3"/>
              </w:rPr>
              <w:t>Less: Net income (loss) attributable to noncontrolling interests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386</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851"/>
        </w:trPr>
        <w:tc>
          <w:tcPr>
            <w:tcW w:w="4700" w:type="dxa"/>
            <w:vAlign w:val="bottom"/>
          </w:tcPr>
          <w:p>
            <w:pPr>
              <w:jc w:val="center"/>
              <w:ind w:left="4270"/>
              <w:spacing w:after="0"/>
              <w:rPr>
                <w:sz w:val="20"/>
                <w:szCs w:val="20"/>
                <w:color w:val="auto"/>
              </w:rPr>
            </w:pPr>
            <w:r>
              <w:rPr>
                <w:rFonts w:ascii="Arial" w:cs="Arial" w:eastAsia="Arial" w:hAnsi="Arial"/>
                <w:sz w:val="18"/>
                <w:szCs w:val="18"/>
                <w:color w:val="auto"/>
                <w:w w:val="89"/>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60" w:type="dxa"/>
            <w:vAlign w:val="bottom"/>
            <w:gridSpan w:val="2"/>
          </w:tcPr>
          <w:p>
            <w:pPr>
              <w:jc w:val="center"/>
              <w:spacing w:after="0" w:line="161" w:lineRule="exact"/>
              <w:rPr>
                <w:sz w:val="20"/>
                <w:szCs w:val="20"/>
                <w:color w:val="auto"/>
              </w:rPr>
            </w:pPr>
            <w:r>
              <w:rPr>
                <w:rFonts w:ascii="Arial" w:cs="Arial" w:eastAsia="Arial" w:hAnsi="Arial"/>
                <w:sz w:val="14"/>
                <w:szCs w:val="14"/>
                <w:b w:val="1"/>
                <w:bCs w:val="1"/>
                <w:color w:val="auto"/>
                <w:w w:val="98"/>
              </w:rPr>
              <w:t>Non</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1,430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2"/>
        </w:trPr>
        <w:tc>
          <w:tcPr>
            <w:tcW w:w="4020" w:type="dxa"/>
            <w:vAlign w:val="bottom"/>
          </w:tcPr>
          <w:p>
            <w:pPr>
              <w:ind w:left="100"/>
              <w:spacing w:after="0" w:line="201" w:lineRule="exact"/>
              <w:rPr>
                <w:sz w:val="20"/>
                <w:szCs w:val="20"/>
                <w:color w:val="auto"/>
              </w:rPr>
            </w:pPr>
            <w:r>
              <w:rPr>
                <w:rFonts w:ascii="Arial" w:cs="Arial" w:eastAsia="Arial" w:hAnsi="Arial"/>
                <w:sz w:val="18"/>
                <w:szCs w:val="18"/>
                <w:color w:val="auto"/>
                <w:w w:val="93"/>
              </w:rPr>
              <w:t>Less: Net income (loss) attributable to noncontrolling</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$ 1,394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522"/>
        </w:trPr>
        <w:tc>
          <w:tcPr>
            <w:tcW w:w="6160" w:type="dxa"/>
            <w:vAlign w:val="bottom"/>
            <w:gridSpan w:val="10"/>
          </w:tcPr>
          <w:p>
            <w:pPr>
              <w:jc w:val="center"/>
              <w:ind w:left="2810"/>
              <w:spacing w:after="0"/>
              <w:rPr>
                <w:sz w:val="20"/>
                <w:szCs w:val="20"/>
                <w:color w:val="auto"/>
              </w:rPr>
            </w:pPr>
            <w:r>
              <w:rPr>
                <w:rFonts w:ascii="Arial" w:cs="Arial" w:eastAsia="Arial" w:hAnsi="Arial"/>
                <w:sz w:val="18"/>
                <w:szCs w:val="18"/>
                <w:b w:val="1"/>
                <w:bCs w:val="1"/>
                <w:color w:val="auto"/>
                <w:w w:val="90"/>
              </w:rPr>
              <w:t>Nine Months Ended September 30, 2017</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WM</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center"/>
              <w:ind w:right="5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1"/>
                <w:szCs w:val="21"/>
                <w:color w:val="auto"/>
              </w:rPr>
            </w:pPr>
          </w:p>
        </w:tc>
        <w:tc>
          <w:tcPr>
            <w:tcW w:w="1060" w:type="dxa"/>
            <w:vAlign w:val="bottom"/>
            <w:gridSpan w:val="2"/>
          </w:tcPr>
          <w:p>
            <w:pPr>
              <w:jc w:val="center"/>
              <w:spacing w:after="0" w:line="161" w:lineRule="exact"/>
              <w:rPr>
                <w:sz w:val="20"/>
                <w:szCs w:val="20"/>
                <w:color w:val="auto"/>
              </w:rPr>
            </w:pPr>
            <w:r>
              <w:rPr>
                <w:rFonts w:ascii="Arial" w:cs="Arial" w:eastAsia="Arial" w:hAnsi="Arial"/>
                <w:sz w:val="14"/>
                <w:szCs w:val="14"/>
                <w:b w:val="1"/>
                <w:bCs w:val="1"/>
                <w:color w:val="auto"/>
                <w:w w:val="98"/>
              </w:rPr>
              <w:t>Non</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Guarantor</w:t>
            </w:r>
          </w:p>
        </w:tc>
        <w:tc>
          <w:tcPr>
            <w:tcW w:w="160" w:type="dxa"/>
            <w:vAlign w:val="bottom"/>
          </w:tcPr>
          <w:p>
            <w:pPr>
              <w:spacing w:after="0"/>
              <w:rPr>
                <w:sz w:val="21"/>
                <w:szCs w:val="2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21"/>
                <w:szCs w:val="2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1,175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2"/>
        </w:trPr>
        <w:tc>
          <w:tcPr>
            <w:tcW w:w="4020" w:type="dxa"/>
            <w:vAlign w:val="bottom"/>
          </w:tcPr>
          <w:p>
            <w:pPr>
              <w:ind w:left="100"/>
              <w:spacing w:after="0" w:line="201" w:lineRule="exact"/>
              <w:rPr>
                <w:sz w:val="20"/>
                <w:szCs w:val="20"/>
                <w:color w:val="auto"/>
              </w:rPr>
            </w:pPr>
            <w:r>
              <w:rPr>
                <w:rFonts w:ascii="Arial" w:cs="Arial" w:eastAsia="Arial" w:hAnsi="Arial"/>
                <w:sz w:val="18"/>
                <w:szCs w:val="18"/>
                <w:color w:val="auto"/>
                <w:w w:val="93"/>
              </w:rPr>
              <w:t>Less: Net income (loss) attributable to noncontrolling</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$ 1,046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$ 1,181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864"/>
        </w:trPr>
        <w:tc>
          <w:tcPr>
            <w:tcW w:w="40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Holdings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$ 501</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4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9"/>
              </w:rPr>
              <w:t>Comprehensive income attributable to Waste Management, Inc.</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$ 501</w:t>
            </w:r>
          </w:p>
        </w:tc>
        <w:tc>
          <w:tcPr>
            <w:tcW w:w="20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$ 388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(867)</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600" w:type="dxa"/>
            <w:vAlign w:val="bottom"/>
            <w:gridSpan w:val="4"/>
          </w:tcPr>
          <w:p>
            <w:pPr>
              <w:spacing w:after="0"/>
              <w:rPr>
                <w:sz w:val="20"/>
                <w:szCs w:val="20"/>
                <w:color w:val="auto"/>
              </w:rPr>
            </w:pPr>
            <w:r>
              <w:rPr>
                <w:rFonts w:ascii="Arial" w:cs="Arial" w:eastAsia="Arial" w:hAnsi="Arial"/>
                <w:sz w:val="18"/>
                <w:szCs w:val="18"/>
                <w:color w:val="auto"/>
                <w:w w:val="90"/>
              </w:rPr>
              <w:t>Comprehensive income attributable to Waste Management, Inc.</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$ 388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Pr>
          <w:p>
            <w:pPr>
              <w:spacing w:after="0"/>
              <w:rPr>
                <w:sz w:val="24"/>
                <w:szCs w:val="2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3"/>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Nine Months Ended September 30:</w:t>
            </w: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$ 1,400</w:t>
            </w:r>
          </w:p>
        </w:tc>
        <w:tc>
          <w:tcPr>
            <w:tcW w:w="7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$ 1,661</w:t>
            </w:r>
          </w:p>
        </w:tc>
        <w:tc>
          <w:tcPr>
            <w:tcW w:w="26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34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 Waste</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3"/>
            <w:vMerge w:val="continue"/>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$ 1,400</w:t>
            </w:r>
          </w:p>
        </w:tc>
        <w:tc>
          <w:tcPr>
            <w:tcW w:w="760" w:type="dxa"/>
            <w:vAlign w:val="bottom"/>
            <w:tcBorders>
              <w:lef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$ 1,661</w:t>
            </w:r>
          </w:p>
        </w:tc>
        <w:tc>
          <w:tcPr>
            <w:tcW w:w="260" w:type="dxa"/>
            <w:vAlign w:val="bottom"/>
            <w:tcBorders>
              <w:left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340" w:type="dxa"/>
            <w:vAlign w:val="bottom"/>
            <w:tcBorders>
              <w:left w:val="single" w:sz="8" w:color="CCEEFF"/>
            </w:tcBorders>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Management, Inc.</w:t>
            </w:r>
          </w:p>
        </w:tc>
        <w:tc>
          <w:tcPr>
            <w:tcW w:w="600" w:type="dxa"/>
            <w:vAlign w:val="bottom"/>
            <w:gridSpan w:val="2"/>
            <w:vMerge w:val="continue"/>
            <w:shd w:val="clear" w:color="auto" w:fill="CCEEFF"/>
          </w:tcPr>
          <w:p>
            <w:pPr>
              <w:spacing w:after="0"/>
              <w:rPr>
                <w:sz w:val="19"/>
                <w:szCs w:val="19"/>
                <w:color w:val="auto"/>
              </w:rPr>
            </w:pPr>
          </w:p>
        </w:tc>
        <w:tc>
          <w:tcPr>
            <w:tcW w:w="760" w:type="dxa"/>
            <w:vAlign w:val="bottom"/>
            <w:tcBorders>
              <w:left w:val="single" w:sz="8" w:color="CCEEFF"/>
            </w:tcBorders>
            <w:gridSpan w:val="3"/>
            <w:vMerge w:val="continue"/>
            <w:shd w:val="clear" w:color="auto" w:fill="CCEEFF"/>
          </w:tcPr>
          <w:p>
            <w:pPr>
              <w:spacing w:after="0"/>
              <w:rPr>
                <w:sz w:val="19"/>
                <w:szCs w:val="19"/>
                <w:color w:val="auto"/>
              </w:rPr>
            </w:pPr>
          </w:p>
        </w:tc>
        <w:tc>
          <w:tcPr>
            <w:tcW w:w="260" w:type="dxa"/>
            <w:vAlign w:val="bottom"/>
            <w:tcBorders>
              <w:left w:val="single" w:sz="8" w:color="CCEEFF"/>
            </w:tcBorders>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40" w:type="dxa"/>
            <w:vAlign w:val="bottom"/>
            <w:tcBorders>
              <w:left w:val="single" w:sz="8" w:color="CCEEFF"/>
            </w:tcBorders>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$ 1,052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$ 1,181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(2,371)</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3"/>
          </w:tcPr>
          <w:p>
            <w:pPr>
              <w:spacing w:after="0" w:line="182" w:lineRule="exact"/>
              <w:rPr>
                <w:sz w:val="20"/>
                <w:szCs w:val="20"/>
                <w:color w:val="auto"/>
              </w:rPr>
            </w:pPr>
            <w:r>
              <w:rPr>
                <w:rFonts w:ascii="Arial" w:cs="Arial" w:eastAsia="Arial" w:hAnsi="Arial"/>
                <w:sz w:val="18"/>
                <w:szCs w:val="18"/>
                <w:color w:val="auto"/>
              </w:rPr>
              <w:t>Comprehensive income attributable to Waste</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w w:val="86"/>
              </w:rPr>
              <w:t>$ 1,052</w:t>
            </w:r>
          </w:p>
        </w:tc>
        <w:tc>
          <w:tcPr>
            <w:tcW w:w="760" w:type="dxa"/>
            <w:vAlign w:val="bottom"/>
            <w:gridSpan w:val="3"/>
            <w:vMerge w:val="restart"/>
          </w:tcPr>
          <w:p>
            <w:pPr>
              <w:jc w:val="right"/>
              <w:spacing w:after="0"/>
              <w:rPr>
                <w:sz w:val="20"/>
                <w:szCs w:val="20"/>
                <w:color w:val="auto"/>
              </w:rPr>
            </w:pPr>
            <w:r>
              <w:rPr>
                <w:rFonts w:ascii="Arial" w:cs="Arial" w:eastAsia="Arial" w:hAnsi="Arial"/>
                <w:sz w:val="18"/>
                <w:szCs w:val="18"/>
                <w:color w:val="auto"/>
              </w:rPr>
              <w:t>$ 1,181</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1,278</w:t>
            </w:r>
          </w:p>
        </w:tc>
        <w:tc>
          <w:tcPr>
            <w:tcW w:w="34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(2,371)</w:t>
            </w:r>
          </w:p>
        </w:tc>
        <w:tc>
          <w:tcPr>
            <w:tcW w:w="4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Management, Inc.</w:t>
            </w:r>
          </w:p>
        </w:tc>
        <w:tc>
          <w:tcPr>
            <w:tcW w:w="60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Holdings(a)</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Subsidiaries(a)</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2,658</w:t>
            </w:r>
          </w:p>
        </w:tc>
        <w:tc>
          <w:tcPr>
            <w:tcW w:w="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2"/>
        </w:trPr>
        <w:tc>
          <w:tcPr>
            <w:tcW w:w="4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Effect of exchange rate changes on cash,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restricted cash and 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4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Increase in cash, cash equivalents and restricted cash and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equivalents at beginning of period</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82"/>
        </w:trPr>
        <w:tc>
          <w:tcPr>
            <w:tcW w:w="4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7"/>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equivalents at end of period</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20" w:type="dxa"/>
            <w:vAlign w:val="bottom"/>
            <w:tcBorders>
              <w:right w:val="single" w:sz="8" w:color="CCEEFF"/>
            </w:tcBorders>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2300" w:type="dxa"/>
            <w:vAlign w:val="bottom"/>
            <w:gridSpan w:val="2"/>
            <w:shd w:val="clear" w:color="auto" w:fill="CCEEFF"/>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2"/>
        </w:trPr>
        <w:tc>
          <w:tcPr>
            <w:tcW w:w="2280" w:type="dxa"/>
            <w:vAlign w:val="bottom"/>
          </w:tcPr>
          <w:p>
            <w:pPr>
              <w:spacing w:after="0"/>
              <w:rPr>
                <w:sz w:val="24"/>
                <w:szCs w:val="24"/>
                <w:color w:val="auto"/>
              </w:rPr>
            </w:pPr>
          </w:p>
        </w:tc>
        <w:tc>
          <w:tcPr>
            <w:tcW w:w="3820" w:type="dxa"/>
            <w:vAlign w:val="bottom"/>
            <w:gridSpan w:val="8"/>
          </w:tcPr>
          <w:p>
            <w:pPr>
              <w:jc w:val="center"/>
              <w:ind w:left="610"/>
              <w:spacing w:after="0"/>
              <w:rPr>
                <w:sz w:val="20"/>
                <w:szCs w:val="20"/>
                <w:color w:val="auto"/>
              </w:rPr>
            </w:pPr>
            <w:r>
              <w:rPr>
                <w:rFonts w:ascii="Arial" w:cs="Arial" w:eastAsia="Arial" w:hAnsi="Arial"/>
                <w:sz w:val="18"/>
                <w:szCs w:val="18"/>
                <w:b w:val="1"/>
                <w:bCs w:val="1"/>
                <w:color w:val="auto"/>
                <w:w w:val="90"/>
              </w:rPr>
              <w:t>Nine Months Ended September 30, 2017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278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Holdings(a)</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Subsidiaries(a)</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2,388</w:t>
            </w:r>
          </w:p>
        </w:tc>
        <w:tc>
          <w:tcPr>
            <w:tcW w:w="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(1,331)</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2"/>
        </w:trPr>
        <w:tc>
          <w:tcPr>
            <w:tcW w:w="4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Effect of exchange rate changes on cash,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restricted cash and 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4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Increase in cash, cash equivalents and restricted cash and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equivalents at beginning of period</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2"/>
        </w:trPr>
        <w:tc>
          <w:tcPr>
            <w:tcW w:w="4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4"/>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equivalents at end of period</w:t>
            </w:r>
          </w:p>
        </w:tc>
        <w:tc>
          <w:tcPr>
            <w:tcW w:w="28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20" w:type="dxa"/>
            <w:vAlign w:val="bottom"/>
            <w:tcBorders>
              <w:right w:val="single" w:sz="8" w:color="CCEEFF"/>
            </w:tcBorders>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top w:val="single" w:sz="8" w:color="CCEEFF"/>
              <w:bottom w:val="single" w:sz="8" w:color="auto"/>
            </w:tcBorders>
          </w:tcPr>
          <w:p>
            <w:pPr>
              <w:spacing w:after="0"/>
              <w:rPr>
                <w:sz w:val="9"/>
                <w:szCs w:val="9"/>
                <w:color w:val="auto"/>
              </w:rPr>
            </w:pPr>
          </w:p>
        </w:tc>
        <w:tc>
          <w:tcPr>
            <w:tcW w:w="220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188" w:lineRule="exact"/>
        <w:rPr>
          <w:sz w:val="20"/>
          <w:szCs w:val="20"/>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Some of the risks that we believe could affect our business and financial statements for 2018 and beyond and that could cause actual results to be materially different from those that may be set forth in forward-looking statements made by the Company include the following:</w:t>
      </w:r>
    </w:p>
    <w:p>
      <w:pPr>
        <w:spacing w:after="0" w:line="181" w:lineRule="exact"/>
        <w:rPr>
          <w:sz w:val="20"/>
          <w:szCs w:val="20"/>
          <w:color w:val="auto"/>
        </w:rPr>
      </w:pPr>
    </w:p>
    <w:p>
      <w:pPr>
        <w:jc w:val="both"/>
        <w:ind w:left="660" w:hanging="333"/>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73"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8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8" w:lineRule="exact"/>
        <w:rPr>
          <w:rFonts w:ascii="Arial" w:cs="Arial" w:eastAsia="Arial" w:hAnsi="Arial"/>
          <w:sz w:val="18"/>
          <w:szCs w:val="18"/>
          <w:color w:val="auto"/>
        </w:rPr>
      </w:pPr>
    </w:p>
    <w:p>
      <w:pPr>
        <w:jc w:val="both"/>
        <w:ind w:left="660" w:hanging="333"/>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15"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2" w:name="page33"/>
    <w:bookmarkEnd w:id="32"/>
    <w:p>
      <w:pPr>
        <w:jc w:val="both"/>
        <w:ind w:left="640" w:hanging="333"/>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5" w:lineRule="exact"/>
        <w:rPr>
          <w:rFonts w:ascii="Arial" w:cs="Arial" w:eastAsia="Arial" w:hAnsi="Arial"/>
          <w:sz w:val="16"/>
          <w:szCs w:val="16"/>
          <w:color w:val="auto"/>
        </w:rPr>
      </w:pPr>
    </w:p>
    <w:p>
      <w:pPr>
        <w:jc w:val="both"/>
        <w:ind w:left="640" w:hanging="333"/>
        <w:spacing w:after="0" w:line="286"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57" w:lineRule="exact"/>
        <w:rPr>
          <w:rFonts w:ascii="Arial" w:cs="Arial" w:eastAsia="Arial" w:hAnsi="Arial"/>
          <w:sz w:val="17"/>
          <w:szCs w:val="17"/>
          <w:color w:val="auto"/>
        </w:rPr>
      </w:pPr>
    </w:p>
    <w:p>
      <w:pPr>
        <w:jc w:val="both"/>
        <w:ind w:left="640" w:hanging="333"/>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significant portion of the recycled fiber we market is shipped to export markets across the globe, particularly China; changes in international or domestic regulations and restrictions or tariffs on American or Chinese imports and exports, including actions taken by the Chinese government, could increase operating expense, result in excess supply and drive down prices;</w:t>
      </w:r>
    </w:p>
    <w:p>
      <w:pPr>
        <w:spacing w:after="0" w:line="78"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EES organization;</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73"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8"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73" w:lineRule="exact"/>
        <w:rPr>
          <w:rFonts w:ascii="Arial" w:cs="Arial" w:eastAsia="Arial" w:hAnsi="Arial"/>
          <w:sz w:val="18"/>
          <w:szCs w:val="18"/>
          <w:color w:val="auto"/>
        </w:rPr>
      </w:pPr>
    </w:p>
    <w:p>
      <w:pPr>
        <w:ind w:left="680" w:hanging="373"/>
        <w:spacing w:after="0" w:line="27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33" w:name="page34"/>
    <w:bookmarkEnd w:id="33"/>
    <w:p>
      <w:pPr>
        <w:ind w:left="640" w:hanging="333"/>
        <w:spacing w:after="0" w:line="34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 and expose us to litigation risk;</w:t>
      </w:r>
    </w:p>
    <w:p>
      <w:pPr>
        <w:spacing w:after="0" w:line="62"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8" w:lineRule="exact"/>
        <w:rPr>
          <w:rFonts w:ascii="Arial" w:cs="Arial" w:eastAsia="Arial" w:hAnsi="Arial"/>
          <w:sz w:val="18"/>
          <w:szCs w:val="18"/>
          <w:color w:val="auto"/>
        </w:rPr>
      </w:pPr>
    </w:p>
    <w:p>
      <w:pPr>
        <w:ind w:left="640" w:hanging="33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117" w:lineRule="exact"/>
        <w:rPr>
          <w:rFonts w:ascii="Arial" w:cs="Arial" w:eastAsia="Arial" w:hAnsi="Arial"/>
          <w:sz w:val="18"/>
          <w:szCs w:val="18"/>
          <w:color w:val="auto"/>
        </w:rPr>
      </w:pPr>
    </w:p>
    <w:p>
      <w:pPr>
        <w:jc w:val="both"/>
        <w:ind w:left="640" w:hanging="333"/>
        <w:spacing w:after="0" w:line="293"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56" w:lineRule="exact"/>
        <w:rPr>
          <w:rFonts w:ascii="Arial" w:cs="Arial" w:eastAsia="Arial" w:hAnsi="Arial"/>
          <w:sz w:val="16"/>
          <w:szCs w:val="16"/>
          <w:color w:val="auto"/>
        </w:rPr>
      </w:pPr>
    </w:p>
    <w:p>
      <w:pPr>
        <w:ind w:left="640" w:hanging="333"/>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640" w:hanging="333"/>
        <w:spacing w:after="0" w:line="308"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reduce or suspend capital expenditures, growth and acquisition activity, implementation of our business strategy, dividend declarations or share repurchases if we suffer a significant reduction in cash flows;</w:t>
      </w:r>
    </w:p>
    <w:p>
      <w:pPr>
        <w:spacing w:after="0" w:line="38" w:lineRule="exact"/>
        <w:rPr>
          <w:rFonts w:ascii="Arial" w:cs="Arial" w:eastAsia="Arial" w:hAnsi="Arial"/>
          <w:sz w:val="17"/>
          <w:szCs w:val="17"/>
          <w:color w:val="auto"/>
        </w:rPr>
      </w:pPr>
    </w:p>
    <w:p>
      <w:pPr>
        <w:jc w:val="both"/>
        <w:ind w:left="640" w:hanging="333"/>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73"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73" w:lineRule="exact"/>
        <w:rPr>
          <w:rFonts w:ascii="Arial" w:cs="Arial" w:eastAsia="Arial" w:hAnsi="Arial"/>
          <w:sz w:val="18"/>
          <w:szCs w:val="18"/>
          <w:color w:val="auto"/>
        </w:rPr>
      </w:pPr>
    </w:p>
    <w:p>
      <w:pPr>
        <w:jc w:val="both"/>
        <w:ind w:left="640" w:hanging="333"/>
        <w:spacing w:after="0" w:line="293"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56" w:lineRule="exact"/>
        <w:rPr>
          <w:rFonts w:ascii="Arial" w:cs="Arial" w:eastAsia="Arial" w:hAnsi="Arial"/>
          <w:sz w:val="16"/>
          <w:szCs w:val="16"/>
          <w:color w:val="auto"/>
        </w:rPr>
      </w:pPr>
    </w:p>
    <w:p>
      <w:pPr>
        <w:ind w:left="640" w:hanging="333"/>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Waste Management, Inc. is a holding company listed on the New York Stock Exchange under the symbol “WM” and all operations are conducted by its subsidiaries. 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and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and our “Traditional Solid Waste” business excludes our recycling and resource recovery services. Through our subsidiaries, we are also a leading developer, operator and owner of landfill gas-to-energy facilities in the U.S.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waste industry is a comparatively mature and stable industry. However, customers increasingly want more of their waste materials recovered and waste streams are becoming more complex. In addition, many state and local governments mandate diversion, recycling and waste reduction at the source and prohibit the disposal of certain types of waste at landfills, and we monitor these developments to adapt our services offerings. As companies, individuals and communities look for ways to be more sustainable, we are promoting our comprehensive services that go beyond our core business of collecting and disposing of waste.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5" w:name="page36"/>
    <w:bookmarkEnd w:id="35"/>
    <w:p>
      <w:pPr>
        <w:jc w:val="both"/>
        <w:ind w:firstLine="324"/>
        <w:spacing w:after="0" w:line="270"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as increases and decreases in consumer spending and construction starts generally correlate to volumes of waste generated and our revenues. Negative economic conditions, in addition to price competition, can make it more challenging to negotiate and renew service contracts with acceptable margins. General economic factors and the market for consumer goods, in addition to regulatory developments, can also significantly impact commodity prices for recyclable materials we sell. Our operating expenses are directly impacted by volume levels; as volume levels shift, due to economic and other factors, we must manage our network capacity and cost structure accordingly.</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generally favorable macro-economic environment, including steady spending by consumers and businesses and construction starts, has benefited our volume growth and gross margins in recent quarters, and we are not expecting any significant shift in the near term. However, we have seen disruption and downward price pressure in the global market for recycling commodities, due in part to actions by the Chinese government that have restricted our ability to sell recycled fiber to Chinese paper mills. We and others in the industry continue to work to adapt to the Chinese government’s regulations and identify alternative markets.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third quarter of 2018, we continued to produce strong operating results from our Traditional Solid Waste business, driven by strong yield and volume growth in our collection and disposal business. Net income and earnings per diluted share both increased primarily as a result of the strong operating results from our Traditional Solid Waste business as well as the favorable impact on our effective tax rate due to the enactment of tax reform. The Company continued its commitment to supporting both organic and inorganic growth during the third quarter of 2018, allocating $404 million of available cash to capital expenditures and $79 million to the acquisition of solid waste businesses. We also allocated $399 million to our shareholders during the third quarter of 2018 through common stock repurchases and dividends.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financial results for the current quarter include:</w:t>
      </w:r>
    </w:p>
    <w:p>
      <w:pPr>
        <w:spacing w:after="0" w:line="117" w:lineRule="exact"/>
        <w:rPr>
          <w:sz w:val="20"/>
          <w:szCs w:val="20"/>
          <w:color w:val="auto"/>
        </w:rPr>
      </w:pPr>
    </w:p>
    <w:p>
      <w:pPr>
        <w:jc w:val="both"/>
        <w:ind w:left="660" w:hanging="333"/>
        <w:spacing w:after="0" w:line="31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Revenues were $3,822 million compared with $3,716 million in the prior year period, an increase of $106 million, or 2.9%. The increase is primarily attributable to higher volumes due to improving market conditions and increased yield in our collection and disposal business, partially offset by lower market prices for recycling commodities;</w:t>
      </w:r>
    </w:p>
    <w:p>
      <w:pPr>
        <w:spacing w:after="0" w:line="38" w:lineRule="exact"/>
        <w:rPr>
          <w:rFonts w:ascii="Arial" w:cs="Arial" w:eastAsia="Arial" w:hAnsi="Arial"/>
          <w:sz w:val="16"/>
          <w:szCs w:val="16"/>
          <w:color w:val="auto"/>
        </w:rPr>
      </w:pPr>
    </w:p>
    <w:p>
      <w:pPr>
        <w:jc w:val="both"/>
        <w:ind w:left="660" w:hanging="333"/>
        <w:spacing w:after="0" w:line="31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expenses were $2,373 million, or 62.1% of revenues, compared with $2,302 million, or 61.9% of revenues, in the prior year period. The $71 million increase is primarily attributable to higher volumes in the current year period, partially offset by decreased cost of goods sold due to lower market prices for recycling commodities;</w:t>
      </w:r>
    </w:p>
    <w:p>
      <w:pPr>
        <w:spacing w:after="0" w:line="38" w:lineRule="exact"/>
        <w:rPr>
          <w:rFonts w:ascii="Arial" w:cs="Arial" w:eastAsia="Arial" w:hAnsi="Arial"/>
          <w:sz w:val="16"/>
          <w:szCs w:val="16"/>
          <w:color w:val="auto"/>
        </w:rPr>
      </w:pPr>
    </w:p>
    <w:p>
      <w:pPr>
        <w:ind w:left="660" w:hanging="333"/>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Selling, general and administrative expenses were $345 million, or 9.0% of revenues, compared with $356 million, or 9.6% or revenues, in the prior year period. The Company continues to focus on managing our controllable costs;</w:t>
      </w:r>
    </w:p>
    <w:p>
      <w:pPr>
        <w:spacing w:after="0" w:line="15"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from operations was $699 million, or 18.3% of revenues, compared with $701 million, or 18.9% of revenues, in the prior year period;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attributable to Waste Management, Inc. was $499 million, or $1.16 per diluted share, compared with</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$386 million, or $0.87 per diluted share, in the prior year period. The increase is primarily attributable to</w:t>
      </w:r>
    </w:p>
    <w:p>
      <w:pPr>
        <w:spacing w:after="0" w:line="9" w:lineRule="exact"/>
        <w:rPr>
          <w:sz w:val="20"/>
          <w:szCs w:val="20"/>
          <w:color w:val="auto"/>
        </w:rPr>
      </w:pPr>
    </w:p>
    <w:p>
      <w:pPr>
        <w:jc w:val="both"/>
        <w:ind w:left="660"/>
        <w:spacing w:after="0" w:line="295" w:lineRule="auto"/>
        <w:rPr>
          <w:sz w:val="20"/>
          <w:szCs w:val="20"/>
          <w:color w:val="auto"/>
        </w:rPr>
      </w:pPr>
      <w:r>
        <w:rPr>
          <w:rFonts w:ascii="Arial" w:cs="Arial" w:eastAsia="Arial" w:hAnsi="Arial"/>
          <w:sz w:val="16"/>
          <w:szCs w:val="16"/>
          <w:color w:val="auto"/>
        </w:rPr>
        <w:t>(i) improved operating results in our Traditional Solid Waste business; (ii) adjustments related to the enactment of tax reform and (iii) adjustments to our income tax accruals and related deferred taxes due to the filing of our 2017 income tax returns and changes in state tax laws. Partially offsetting these increases was the impairment of a landfill and lower earnings from our recycling line of business due to lower market prices for recycling commodities;</w:t>
      </w:r>
    </w:p>
    <w:p>
      <w:pPr>
        <w:spacing w:after="0" w:line="53"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cash provided by operating activities was $874 million compared with $853 million in the prior year period; 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6" w:name="page37"/>
    <w:bookmarkEnd w:id="36"/>
    <w:p>
      <w:pPr>
        <w:jc w:val="both"/>
        <w:ind w:left="660" w:hanging="333"/>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Free cash flow was $480 million compared with $509 million in the prior year period. The $29 million decrease is due to higher capital expenditures to support organic growth in our business. Free cash flow is a non-GAAP measure 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 These operations are presented in our “Other” segment in the table below. The following table summarizes revenues during each period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54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4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$ 11,538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$ 11,071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17"/>
        </w:trPr>
        <w:tc>
          <w:tcPr>
            <w:tcW w:w="580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$ 11,072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$ 10,833</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280" w:type="dxa"/>
            <w:vAlign w:val="bottom"/>
            <w:tcBorders>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1,888</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10"/>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Intercompany (b)</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(2,315)</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(2,160)</w:t>
            </w:r>
          </w:p>
        </w:tc>
      </w:tr>
      <w:tr>
        <w:trPr>
          <w:trHeight w:val="217"/>
        </w:trPr>
        <w:tc>
          <w:tcPr>
            <w:tcW w:w="58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10,833</w:t>
            </w:r>
          </w:p>
        </w:tc>
      </w:tr>
      <w:tr>
        <w:trPr>
          <w:trHeight w:val="108"/>
        </w:trPr>
        <w:tc>
          <w:tcPr>
            <w:tcW w:w="228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7" w:name="page38"/>
    <w:bookmarkEnd w:id="37"/>
    <w:p>
      <w:pPr>
        <w:ind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9"/>
          </w:tcPr>
          <w:p>
            <w:pPr>
              <w:jc w:val="center"/>
              <w:ind w:right="790"/>
              <w:spacing w:after="0"/>
              <w:rPr>
                <w:sz w:val="20"/>
                <w:szCs w:val="20"/>
                <w:color w:val="auto"/>
              </w:rPr>
            </w:pPr>
            <w:r>
              <w:rPr>
                <w:rFonts w:ascii="Arial" w:cs="Arial" w:eastAsia="Arial" w:hAnsi="Arial"/>
                <w:sz w:val="14"/>
                <w:szCs w:val="14"/>
                <w:b w:val="1"/>
                <w:bCs w:val="1"/>
                <w:color w:val="auto"/>
                <w:w w:val="93"/>
              </w:rPr>
              <w:t>Period-to-Period Change for the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gridSpan w:val="8"/>
          </w:tcPr>
          <w:p>
            <w:pPr>
              <w:jc w:val="center"/>
              <w:ind w:right="53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jc w:val="center"/>
              <w:ind w:left="146"/>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8"/>
          </w:tcPr>
          <w:p>
            <w:pPr>
              <w:jc w:val="center"/>
              <w:ind w:right="910"/>
              <w:spacing w:after="0"/>
              <w:rPr>
                <w:sz w:val="20"/>
                <w:szCs w:val="20"/>
                <w:color w:val="auto"/>
              </w:rPr>
            </w:pPr>
            <w:r>
              <w:rPr>
                <w:rFonts w:ascii="Arial" w:cs="Arial" w:eastAsia="Arial" w:hAnsi="Arial"/>
                <w:sz w:val="14"/>
                <w:szCs w:val="14"/>
                <w:b w:val="1"/>
                <w:bCs w:val="1"/>
                <w:color w:val="auto"/>
                <w:w w:val="90"/>
              </w:rPr>
              <w:t>September 30, 2018 vs. 2017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7"/>
          </w:tcPr>
          <w:p>
            <w:pPr>
              <w:jc w:val="center"/>
              <w:ind w:right="650"/>
              <w:spacing w:after="0"/>
              <w:rPr>
                <w:sz w:val="20"/>
                <w:szCs w:val="20"/>
                <w:color w:val="auto"/>
              </w:rPr>
            </w:pPr>
            <w:r>
              <w:rPr>
                <w:rFonts w:ascii="Arial" w:cs="Arial" w:eastAsia="Arial" w:hAnsi="Arial"/>
                <w:sz w:val="14"/>
                <w:szCs w:val="14"/>
                <w:b w:val="1"/>
                <w:bCs w:val="1"/>
                <w:color w:val="auto"/>
                <w:w w:val="90"/>
              </w:rPr>
              <w:t>September 30, 2018 vs. 2017</w:t>
            </w: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170"/>
              <w:spacing w:after="0" w:line="119" w:lineRule="exact"/>
              <w:rPr>
                <w:sz w:val="20"/>
                <w:szCs w:val="20"/>
                <w:color w:val="auto"/>
              </w:rPr>
            </w:pPr>
            <w:r>
              <w:rPr>
                <w:rFonts w:ascii="Arial" w:cs="Arial" w:eastAsia="Arial" w:hAnsi="Arial"/>
                <w:sz w:val="13"/>
                <w:szCs w:val="13"/>
                <w:b w:val="1"/>
                <w:bCs w:val="1"/>
                <w:color w:val="auto"/>
              </w:rPr>
              <w:t>As a % of</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right"/>
              <w:ind w:right="325"/>
              <w:spacing w:after="0" w:line="119" w:lineRule="exact"/>
              <w:rPr>
                <w:sz w:val="20"/>
                <w:szCs w:val="20"/>
                <w:color w:val="auto"/>
              </w:rPr>
            </w:pPr>
            <w:r>
              <w:rPr>
                <w:rFonts w:ascii="Arial" w:cs="Arial" w:eastAsia="Arial" w:hAnsi="Arial"/>
                <w:sz w:val="13"/>
                <w:szCs w:val="13"/>
                <w:b w:val="1"/>
                <w:bCs w:val="1"/>
                <w:color w:val="auto"/>
              </w:rPr>
              <w:t>As a % of</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9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4"/>
              </w:rPr>
              <w:t>Related</w:t>
            </w:r>
          </w:p>
        </w:tc>
        <w:tc>
          <w:tcPr>
            <w:tcW w:w="12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9"/>
              </w:rPr>
              <w:t>Total</w:t>
            </w: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60" w:type="dxa"/>
            <w:vAlign w:val="bottom"/>
            <w:gridSpan w:val="3"/>
          </w:tcPr>
          <w:p>
            <w:pPr>
              <w:jc w:val="right"/>
              <w:ind w:right="405"/>
              <w:spacing w:after="0" w:line="149" w:lineRule="exact"/>
              <w:rPr>
                <w:sz w:val="20"/>
                <w:szCs w:val="20"/>
                <w:color w:val="auto"/>
              </w:rPr>
            </w:pPr>
            <w:r>
              <w:rPr>
                <w:rFonts w:ascii="Arial" w:cs="Arial" w:eastAsia="Arial" w:hAnsi="Arial"/>
                <w:sz w:val="14"/>
                <w:szCs w:val="14"/>
                <w:b w:val="1"/>
                <w:bCs w:val="1"/>
                <w:color w:val="auto"/>
              </w:rPr>
              <w:t>Related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5"/>
              </w:rPr>
              <w:t>Business(a)</w:t>
            </w: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1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5"/>
              </w:rPr>
              <w:t>Company(b)</w:t>
            </w:r>
          </w:p>
        </w:tc>
        <w:tc>
          <w:tcPr>
            <w:tcW w:w="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Business(a)    Amount</w:t>
            </w:r>
          </w:p>
        </w:tc>
        <w:tc>
          <w:tcPr>
            <w:tcW w:w="9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Recycling commodities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1080" w:type="dxa"/>
            <w:vAlign w:val="bottom"/>
            <w:gridSpan w:val="3"/>
          </w:tcPr>
          <w:p>
            <w:pPr>
              <w:jc w:val="right"/>
              <w:ind w:right="17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(252)</w:t>
            </w:r>
          </w:p>
        </w:tc>
        <w:tc>
          <w:tcPr>
            <w:tcW w:w="1080" w:type="dxa"/>
            <w:vAlign w:val="bottom"/>
            <w:gridSpan w:val="3"/>
          </w:tcPr>
          <w:p>
            <w:pPr>
              <w:jc w:val="right"/>
              <w:ind w:right="17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mandated fees</w:t>
            </w:r>
          </w:p>
        </w:tc>
        <w:tc>
          <w:tcPr>
            <w:tcW w:w="14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220"/>
              <w:spacing w:after="0"/>
              <w:rPr>
                <w:sz w:val="20"/>
                <w:szCs w:val="20"/>
                <w:color w:val="auto"/>
              </w:rPr>
            </w:pPr>
            <w:r>
              <w:rPr>
                <w:rFonts w:ascii="Arial" w:cs="Arial" w:eastAsia="Arial" w:hAnsi="Arial"/>
                <w:sz w:val="18"/>
                <w:szCs w:val="18"/>
                <w:color w:val="auto"/>
              </w:rPr>
              <w:t>Total average yield (c)</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155</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220"/>
              <w:spacing w:after="0"/>
              <w:rPr>
                <w:sz w:val="20"/>
                <w:szCs w:val="20"/>
                <w:color w:val="auto"/>
              </w:rPr>
            </w:pPr>
            <w:r>
              <w:rPr>
                <w:rFonts w:ascii="Arial" w:cs="Arial" w:eastAsia="Arial" w:hAnsi="Arial"/>
                <w:sz w:val="18"/>
                <w:szCs w:val="18"/>
                <w:color w:val="auto"/>
                <w:w w:val="98"/>
              </w:rPr>
              <w:t>Internal revenue growth</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173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2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and other</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(175)</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10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20" w:hanging="317"/>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reported herein represent the changes in our revenue attributable to average yield for the total Company.</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8" w:name="page39"/>
    <w:bookmarkEnd w:id="38"/>
    <w:p>
      <w:pPr>
        <w:jc w:val="both"/>
        <w:ind w:firstLine="324"/>
        <w:spacing w:after="0" w:line="264" w:lineRule="auto"/>
        <w:rPr>
          <w:sz w:val="20"/>
          <w:szCs w:val="20"/>
          <w:color w:val="auto"/>
        </w:rPr>
      </w:pPr>
      <w:r>
        <w:rPr>
          <w:rFonts w:ascii="Arial" w:cs="Arial" w:eastAsia="Arial" w:hAnsi="Arial"/>
          <w:sz w:val="18"/>
          <w:szCs w:val="18"/>
          <w:color w:val="auto"/>
        </w:rPr>
        <w:t>Revenue growth from collection and disposal average yield was $78 million, or 2.5%, and $218 million, or 2.4%, for the three and nine months ended September 30, 2018, respectively. We experienced growth in our collection and disposal business in the current year periods. The details are as follows (dollars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3"/>
              </w:rPr>
              <w:t>Period-to-Period Change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3"/>
              </w:rPr>
              <w:t>Period-to-Period Change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477"/>
              <w:spacing w:after="0" w:line="149" w:lineRule="exact"/>
              <w:rPr>
                <w:sz w:val="20"/>
                <w:szCs w:val="20"/>
                <w:color w:val="auto"/>
              </w:rPr>
            </w:pPr>
            <w:r>
              <w:rPr>
                <w:rFonts w:ascii="Arial" w:cs="Arial" w:eastAsia="Arial" w:hAnsi="Arial"/>
                <w:sz w:val="14"/>
                <w:szCs w:val="14"/>
                <w:b w:val="1"/>
                <w:bCs w:val="1"/>
                <w:color w:val="auto"/>
                <w:w w:val="96"/>
              </w:rPr>
              <w:t>for the</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auto"/>
                <w:w w:val="91"/>
              </w:rPr>
              <w:t>for the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gridSpan w:val="6"/>
          </w:tcPr>
          <w:p>
            <w:pPr>
              <w:jc w:val="center"/>
              <w:ind w:right="110"/>
              <w:spacing w:after="0"/>
              <w:rPr>
                <w:sz w:val="20"/>
                <w:szCs w:val="20"/>
                <w:color w:val="auto"/>
              </w:rPr>
            </w:pPr>
            <w:r>
              <w:rPr>
                <w:rFonts w:ascii="Arial" w:cs="Arial" w:eastAsia="Arial" w:hAnsi="Arial"/>
                <w:sz w:val="14"/>
                <w:szCs w:val="14"/>
                <w:b w:val="1"/>
                <w:bCs w:val="1"/>
                <w:color w:val="auto"/>
                <w:w w:val="90"/>
              </w:rPr>
              <w:t>September 30, 2018 vs. 2017</w:t>
            </w:r>
          </w:p>
        </w:tc>
        <w:tc>
          <w:tcPr>
            <w:tcW w:w="60" w:type="dxa"/>
            <w:vAlign w:val="bottom"/>
          </w:tcPr>
          <w:p>
            <w:pPr>
              <w:spacing w:after="0"/>
              <w:rPr>
                <w:sz w:val="14"/>
                <w:szCs w:val="14"/>
                <w:color w:val="auto"/>
              </w:rPr>
            </w:pPr>
          </w:p>
        </w:tc>
        <w:tc>
          <w:tcPr>
            <w:tcW w:w="188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0"/>
              </w:rPr>
              <w:t>September 30, 2018 vs. 2017</w:t>
            </w: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Related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6"/>
              </w:rPr>
              <w:t>Business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Industrial</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5"/>
              </w:rPr>
              <w:t>2.5 %</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2.4 %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increase in collection and disposal yield for the three and nine months ended September 30, 2018, compared to the prior year periods, includes increased revenues of $19 million and $55 million, respectively, from our environmental fees.</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Recycling Commodities </w:t>
      </w:r>
      <w:r>
        <w:rPr>
          <w:rFonts w:ascii="Arial" w:cs="Arial" w:eastAsia="Arial" w:hAnsi="Arial"/>
          <w:sz w:val="17"/>
          <w:szCs w:val="17"/>
          <w:color w:val="auto"/>
        </w:rPr>
        <w:t>— Decreases in the market prices for recycling commodities resulted in revenue decline of</w:t>
      </w:r>
      <w:r>
        <w:rPr>
          <w:rFonts w:ascii="Arial" w:cs="Arial" w:eastAsia="Arial" w:hAnsi="Arial"/>
          <w:sz w:val="17"/>
          <w:szCs w:val="17"/>
          <w:i w:val="1"/>
          <w:iCs w:val="1"/>
          <w:color w:val="auto"/>
        </w:rPr>
        <w:t xml:space="preserve"> </w:t>
      </w:r>
      <w:r>
        <w:rPr>
          <w:rFonts w:ascii="Arial" w:cs="Arial" w:eastAsia="Arial" w:hAnsi="Arial"/>
          <w:sz w:val="17"/>
          <w:szCs w:val="17"/>
          <w:color w:val="auto"/>
        </w:rPr>
        <w:t>$91 million and $252 million for the three and nine months ended September 30, 2018, respectively, as compared with the prior year periods. Disruptions in the global movement of recycling commodities continued to reduce market prices in the current year periods. Average market prices for recycling commodities at the Company’s facilities were 47% and 42% lower for the three and nine months ended September 30, 2018, respectively, compared with the prior year periods. We expect these disruptions in the market to extend through the remainder of 2018, and likely beyond, which will continue to put downward pressure on average market prices for recycling commodities.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increased $31 million and $87 million for the three and nine months ended September 30, 2018, respectively, as compared with the prior year periods. These revenues fluctuate in response to changes in the national average prices for diesel fuel on which our surcharge is based. Market prices for diesel fuel increased 23% and 22% for the three and nine months ended September 30, 2018, respectively, compared with the prior year periods. The mandated fees included in this line item are primarily related to pass-through fees and taxes assessed by various state, county and municipal government agencies at our landfills and transfer stations. These fees did not have a significant impact on the comparability of the periods.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revenues from volumes increased $155 million, or 4.2%, and $309 million, or 2.9%, for the three and nine months ended September 30, 2018, respectively, as compared with the prior year periods, excluding volumes from acquisitions and divestitures.</w:t>
      </w:r>
    </w:p>
    <w:p>
      <w:pPr>
        <w:spacing w:after="0" w:line="181" w:lineRule="exact"/>
        <w:rPr>
          <w:sz w:val="20"/>
          <w:szCs w:val="20"/>
          <w:color w:val="auto"/>
        </w:rPr>
      </w:pPr>
    </w:p>
    <w:p>
      <w:pPr>
        <w:jc w:val="both"/>
        <w:ind w:firstLine="259"/>
        <w:spacing w:after="0" w:line="290" w:lineRule="auto"/>
        <w:rPr>
          <w:sz w:val="20"/>
          <w:szCs w:val="20"/>
          <w:color w:val="auto"/>
        </w:rPr>
      </w:pPr>
      <w:r>
        <w:rPr>
          <w:rFonts w:ascii="Arial" w:cs="Arial" w:eastAsia="Arial" w:hAnsi="Arial"/>
          <w:sz w:val="16"/>
          <w:szCs w:val="16"/>
          <w:color w:val="auto"/>
        </w:rPr>
        <w:t>We have experienced higher volumes throughout 2018 due to improving market conditions in our Traditional Solid Waste business and strong sales performance. Our focus on customer service and disciplined growth has delivered consistent operating results. Contributors to our volume increase include two large new contract additions in the second half of 2017 that favorably impacted volume growth for our commercial collection business and at our transfer stations. In addition, the clean-up efforts of natural disasters throughout the U.S. in the second half of 2017 continued to favorably affect our landfill volumes through the first quarter of 2018. We saw our second consecutive quarter of volume increase in our residential collection business. Other contributors include a volume increase throughout 2018 from our WMSBS organization and a volume increase from our recycling brokerage services for the three months ended September 30, 2018.</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9" w:name="page40"/>
    <w:bookmarkEnd w:id="39"/>
    <w:p>
      <w:pPr>
        <w:ind w:left="140"/>
        <w:spacing w:after="0"/>
        <w:rPr>
          <w:sz w:val="20"/>
          <w:szCs w:val="20"/>
          <w:color w:val="auto"/>
        </w:rPr>
      </w:pPr>
      <w:r>
        <w:rPr>
          <w:rFonts w:ascii="Arial" w:cs="Arial" w:eastAsia="Arial" w:hAnsi="Arial"/>
          <w:sz w:val="18"/>
          <w:szCs w:val="18"/>
          <w:i w:val="1"/>
          <w:iCs w:val="1"/>
          <w:color w:val="auto"/>
        </w:rPr>
        <w:t>Foreign Currency Translation and Other</w:t>
      </w:r>
    </w:p>
    <w:p>
      <w:pPr>
        <w:spacing w:after="0" w:line="225" w:lineRule="exact"/>
        <w:rPr>
          <w:sz w:val="20"/>
          <w:szCs w:val="20"/>
          <w:color w:val="auto"/>
        </w:rPr>
      </w:pPr>
    </w:p>
    <w:p>
      <w:pPr>
        <w:jc w:val="both"/>
        <w:ind w:firstLine="259"/>
        <w:spacing w:after="0" w:line="221" w:lineRule="exact"/>
        <w:rPr>
          <w:sz w:val="20"/>
          <w:szCs w:val="20"/>
          <w:color w:val="auto"/>
        </w:rPr>
      </w:pPr>
      <w:r>
        <w:rPr>
          <w:rFonts w:ascii="Arial" w:cs="Arial" w:eastAsia="Arial" w:hAnsi="Arial"/>
          <w:sz w:val="18"/>
          <w:szCs w:val="18"/>
          <w:color w:val="auto"/>
        </w:rPr>
        <w:t>Fluctuations in foreign currency affect revenues from our Canadian operations. We also experienced revenue decline associated with the adoption of Accounting Standards Update (“ASU”) 2014-09 and other changes. See Notes 1 and 4 to the Condensed Consolidated Financial Statements for further discussion of ASU 2014</w:t>
      </w:r>
      <w:r>
        <w:rPr>
          <w:rFonts w:ascii="MS PGothic" w:cs="MS PGothic" w:eastAsia="MS PGothic" w:hAnsi="MS PGothic"/>
          <w:sz w:val="18"/>
          <w:szCs w:val="18"/>
          <w:color w:val="auto"/>
        </w:rPr>
        <w:t>‑</w:t>
      </w:r>
      <w:r>
        <w:rPr>
          <w:rFonts w:ascii="Arial" w:cs="Arial" w:eastAsia="Arial" w:hAnsi="Arial"/>
          <w:sz w:val="18"/>
          <w:szCs w:val="18"/>
          <w:color w:val="auto"/>
        </w:rPr>
        <w:t>09.</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major components of our operating expenses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40" w:type="dxa"/>
            <w:vAlign w:val="bottom"/>
            <w:gridSpan w:val="5"/>
            <w:vMerge w:val="restart"/>
          </w:tcPr>
          <w:p>
            <w:pPr>
              <w:jc w:val="right"/>
              <w:ind w:right="485"/>
              <w:spacing w:after="0"/>
              <w:rPr>
                <w:sz w:val="20"/>
                <w:szCs w:val="20"/>
                <w:color w:val="auto"/>
              </w:rPr>
            </w:pPr>
            <w:r>
              <w:rPr>
                <w:rFonts w:ascii="Arial" w:cs="Arial" w:eastAsia="Arial" w:hAnsi="Arial"/>
                <w:sz w:val="14"/>
                <w:szCs w:val="14"/>
                <w:b w:val="1"/>
                <w:bCs w:val="1"/>
                <w:color w:val="auto"/>
                <w:w w:val="96"/>
              </w:rPr>
              <w:t>Period-to-Period</w:t>
            </w:r>
          </w:p>
        </w:tc>
        <w:tc>
          <w:tcPr>
            <w:tcW w:w="15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460" w:type="dxa"/>
            <w:vAlign w:val="bottom"/>
            <w:gridSpan w:val="4"/>
            <w:vMerge w:val="restart"/>
          </w:tcPr>
          <w:p>
            <w:pPr>
              <w:jc w:val="center"/>
              <w:ind w:right="21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158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left="233"/>
              <w:spacing w:after="0" w:line="142" w:lineRule="exact"/>
              <w:rPr>
                <w:sz w:val="20"/>
                <w:szCs w:val="20"/>
                <w:color w:val="auto"/>
              </w:rPr>
            </w:pPr>
            <w:r>
              <w:rPr>
                <w:rFonts w:ascii="Arial" w:cs="Arial" w:eastAsia="Arial" w:hAnsi="Arial"/>
                <w:sz w:val="14"/>
                <w:szCs w:val="14"/>
                <w:b w:val="1"/>
                <w:bCs w:val="1"/>
                <w:color w:val="auto"/>
                <w:w w:val="93"/>
              </w:rPr>
              <w:t>Change</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Subcontractor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3"/>
              </w:rPr>
              <w:t>(22.3)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3"/>
              </w:rPr>
              <w:t>(22.8)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Fuel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Disposal and franchise fees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3"/>
              </w:rPr>
              <w:t>(21.7)</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3"/>
              </w:rPr>
              <w:t>(21.6)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0"/>
        </w:trPr>
        <w:tc>
          <w:tcPr>
            <w:tcW w:w="238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62.1</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61.9</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62.4</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increase in volumes in the current year periods, as discussed above in </w:t>
      </w:r>
      <w:r>
        <w:rPr>
          <w:rFonts w:ascii="Arial" w:cs="Arial" w:eastAsia="Arial" w:hAnsi="Arial"/>
          <w:sz w:val="18"/>
          <w:szCs w:val="18"/>
          <w:i w:val="1"/>
          <w:iCs w:val="1"/>
          <w:color w:val="auto"/>
        </w:rPr>
        <w:t>Operating Revenues</w:t>
      </w:r>
      <w:r>
        <w:rPr>
          <w:rFonts w:ascii="Arial" w:cs="Arial" w:eastAsia="Arial" w:hAnsi="Arial"/>
          <w:sz w:val="18"/>
          <w:szCs w:val="18"/>
          <w:color w:val="auto"/>
        </w:rPr>
        <w:t>, in addition to cost inflation affect the comparability of operating expenses for the periods presented.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significant items affecting the comparability of operating expenses for the periods include: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driven by (i) volume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business, which led to increased training costs; (ii) a bonus plan established in early 2018 targeted at improving employee retention and (iii) merit increases.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driven by (i) higher labor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(ii) higher parts and third-party service costs.</w:t>
      </w:r>
    </w:p>
    <w:p>
      <w:pPr>
        <w:spacing w:after="0" w:line="170"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The decrease in cost of goods sold was primarily driven by (i) lower market prices for recycling</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commodities and (ii) a change in accounting for certain customer rebates due to the adoption of ASU 2014-09 in the current year periods. See Notes 1 and 4 to the Condensed Consolidated Financial Statements for further discussion of ASU 2014</w:t>
      </w:r>
      <w:r>
        <w:rPr>
          <w:rFonts w:ascii="MS PGothic" w:cs="MS PGothic" w:eastAsia="MS PGothic" w:hAnsi="MS PGothic"/>
          <w:sz w:val="16"/>
          <w:szCs w:val="16"/>
          <w:color w:val="auto"/>
        </w:rPr>
        <w:t>‑</w:t>
      </w:r>
      <w:r>
        <w:rPr>
          <w:rFonts w:ascii="Arial" w:cs="Arial" w:eastAsia="Arial" w:hAnsi="Arial"/>
          <w:sz w:val="16"/>
          <w:szCs w:val="16"/>
          <w:color w:val="auto"/>
        </w:rPr>
        <w:t>09.</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increase in fuel costs was due to higher market prices for diesel fuel. This increase was offset, in part, by</w:t>
      </w:r>
      <w:r>
        <w:rPr>
          <w:rFonts w:ascii="Arial" w:cs="Arial" w:eastAsia="Arial" w:hAnsi="Arial"/>
          <w:sz w:val="18"/>
          <w:szCs w:val="18"/>
          <w:i w:val="1"/>
          <w:iCs w:val="1"/>
          <w:color w:val="auto"/>
        </w:rPr>
        <w:t xml:space="preserve"> </w:t>
      </w:r>
      <w:r>
        <w:rPr>
          <w:rFonts w:ascii="Arial" w:cs="Arial" w:eastAsia="Arial" w:hAnsi="Arial"/>
          <w:sz w:val="18"/>
          <w:szCs w:val="18"/>
          <w:color w:val="auto"/>
        </w:rPr>
        <w:t>the recognition of a $28 million benefit from the extension of federal natural gas fuel credits. We recognized the benefit in the first quarter of 2018 when the legislation was passed, though the credits relate to 2017 business activity and these credits were not extended into 2018.</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Disposal and Franchise Fees and Taxes </w:t>
      </w:r>
      <w:r>
        <w:rPr>
          <w:rFonts w:ascii="Arial" w:cs="Arial" w:eastAsia="Arial" w:hAnsi="Arial"/>
          <w:sz w:val="17"/>
          <w:szCs w:val="17"/>
          <w:color w:val="auto"/>
        </w:rPr>
        <w:t>— The decrease in disposal and franchise fees and taxes was driven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ASU 2014-09 in the current year periods; specifically, certain franchise fees were treated as disposal fees and taxes in the prior year periods and are treated as a reduction to revenue in the current year periods. See Notes 1 and 4 to the Condensed Consolidated Financial Statements for further discussion of ASU 2014-09.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0" w:name="page41"/>
    <w:bookmarkEnd w:id="40"/>
    <w:p>
      <w:pPr>
        <w:jc w:val="both"/>
        <w:ind w:right="60" w:firstLine="324"/>
        <w:spacing w:after="0" w:line="277"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risk management costs for the three months ended September 30,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increases in certain uninsured losses.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4"/>
              </w:rPr>
              <w:t>Period-to-Period</w:t>
            </w:r>
          </w:p>
        </w:tc>
        <w:tc>
          <w:tcPr>
            <w:tcW w:w="80" w:type="dxa"/>
            <w:vAlign w:val="bottom"/>
          </w:tcPr>
          <w:p>
            <w:pPr>
              <w:spacing w:after="0"/>
              <w:rPr>
                <w:sz w:val="14"/>
                <w:szCs w:val="14"/>
                <w:color w:val="auto"/>
              </w:rPr>
            </w:pPr>
          </w:p>
        </w:tc>
        <w:tc>
          <w:tcPr>
            <w:tcW w:w="1540" w:type="dxa"/>
            <w:vAlign w:val="bottom"/>
            <w:gridSpan w:val="6"/>
          </w:tcPr>
          <w:p>
            <w:pPr>
              <w:jc w:val="center"/>
              <w:ind w:right="90"/>
              <w:spacing w:after="0"/>
              <w:rPr>
                <w:sz w:val="20"/>
                <w:szCs w:val="20"/>
                <w:color w:val="auto"/>
              </w:rPr>
            </w:pPr>
            <w:r>
              <w:rPr>
                <w:rFonts w:ascii="Arial" w:cs="Arial" w:eastAsia="Arial" w:hAnsi="Arial"/>
                <w:sz w:val="14"/>
                <w:szCs w:val="14"/>
                <w:b w:val="1"/>
                <w:bCs w:val="1"/>
                <w:color w:val="auto"/>
                <w:w w:val="94"/>
              </w:rPr>
              <w:t>Nine Months Ended</w:t>
            </w:r>
          </w:p>
        </w:tc>
        <w:tc>
          <w:tcPr>
            <w:tcW w:w="128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Professional fees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1,099</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66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6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243"/>
        <w:spacing w:after="0" w:line="272" w:lineRule="auto"/>
        <w:rPr>
          <w:sz w:val="20"/>
          <w:szCs w:val="20"/>
          <w:color w:val="auto"/>
        </w:rPr>
      </w:pPr>
      <w:r>
        <w:rPr>
          <w:rFonts w:ascii="Arial" w:cs="Arial" w:eastAsia="Arial" w:hAnsi="Arial"/>
          <w:sz w:val="17"/>
          <w:szCs w:val="17"/>
          <w:color w:val="auto"/>
        </w:rPr>
        <w:t>The decrease in our labor and related benefits costs during the three and nine months ended September 30, 2018, compared to the prior year periods, is largely due to lower incentive compensation accruals in the current year periods. Other items affecting the comparability of our labor and related benefits costs for the reported periods include (i) severance costs for former executives incurred during the first quarter of 2017; (ii) merit increases and (iii) a bonus plan established in early 2018 targeted at improving employee retention. During the three months ended September 30, 2018, compared to the prior year period, our other expenses decreased primarily due to (i) lower litigation settlement costs and (ii) charitable contributions made for hurricane relief efforts in the third quarter of 2017.</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components of our depreciation and amortization expenses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center"/>
              <w:ind w:right="5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40" w:type="dxa"/>
            <w:vAlign w:val="bottom"/>
            <w:gridSpan w:val="5"/>
            <w:vMerge w:val="restart"/>
          </w:tcPr>
          <w:p>
            <w:pPr>
              <w:jc w:val="center"/>
              <w:ind w:right="425"/>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4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158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left="196"/>
              <w:spacing w:after="0" w:line="142" w:lineRule="exact"/>
              <w:rPr>
                <w:sz w:val="20"/>
                <w:szCs w:val="20"/>
                <w:color w:val="auto"/>
              </w:rPr>
            </w:pPr>
            <w:r>
              <w:rPr>
                <w:rFonts w:ascii="Arial" w:cs="Arial" w:eastAsia="Arial" w:hAnsi="Arial"/>
                <w:sz w:val="14"/>
                <w:szCs w:val="14"/>
                <w:b w:val="1"/>
                <w:bCs w:val="1"/>
                <w:color w:val="auto"/>
                <w:w w:val="89"/>
              </w:rPr>
              <w:t>Change</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136"/>
              <w:spacing w:after="0" w:line="142" w:lineRule="exact"/>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Depreciation of tangible property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equipment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6.1 %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7.2 %</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6"/>
              </w:rPr>
              <w:t>Amortization of intangible assets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7.4 %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w w:val="91"/>
              </w:rPr>
              <w:t>7.1 %</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The increase in depreciation of tangible property and equipment during the three and nine months ended September 30, 2018, compared to the prior year periods, was primarily due to increased capital expenditures to support organic growth in our business. The increase in amortization of landfill airspace during the three and nine months ended September 30, 2018, compared to the prior year periods, was primarily due to increased volumes at our landfills and changes in estimates.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During the nine months ended September 30, 2018, we recognized a net gain of $14 million, primarily related to net gains from divestitures of $43 million due to the sale of certain ancillary operations, which were partially offset by a $29 million charge to impair a landfill in our Tier 3 segment based on an internally developed discounted projected cash flow analysis, taking into account continued volume decreases and revised capping cost estimates.</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341" w:right="1359" w:bottom="1440" w:gutter="0" w:footer="0" w:header="0"/>
        </w:sectPr>
      </w:pPr>
    </w:p>
    <w:bookmarkStart w:id="41" w:name="page42"/>
    <w:bookmarkEnd w:id="41"/>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54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4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2"/>
              </w:rPr>
              <w:t>Period-to-Period</w:t>
            </w:r>
          </w:p>
        </w:tc>
        <w:tc>
          <w:tcPr>
            <w:tcW w:w="40" w:type="dxa"/>
            <w:vAlign w:val="bottom"/>
          </w:tcPr>
          <w:p>
            <w:pPr>
              <w:spacing w:after="0"/>
              <w:rPr>
                <w:sz w:val="14"/>
                <w:szCs w:val="14"/>
                <w:color w:val="auto"/>
              </w:rPr>
            </w:pPr>
          </w:p>
        </w:tc>
        <w:tc>
          <w:tcPr>
            <w:tcW w:w="154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4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tcPr>
          <w:p>
            <w:pPr>
              <w:jc w:val="right"/>
              <w:ind w:right="35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left="194"/>
              <w:spacing w:after="0" w:line="142" w:lineRule="exact"/>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left="234"/>
              <w:spacing w:after="0" w:line="142" w:lineRule="exact"/>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8"/>
                <w:szCs w:val="18"/>
                <w:color w:val="auto"/>
              </w:rPr>
              <w:t>Tier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4.5 % $ 1,176</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$ 1,159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8"/>
                <w:szCs w:val="18"/>
                <w:color w:val="auto"/>
              </w:rPr>
              <w:t>Tier 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(62.1)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(136)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(411)</w:t>
            </w:r>
          </w:p>
        </w:tc>
        <w:tc>
          <w:tcPr>
            <w:tcW w:w="7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7"/>
        </w:trPr>
        <w:tc>
          <w:tcPr>
            <w:tcW w:w="2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$ 2,022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$ 1,932</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information presented has been updated to reflect our realigned segments which are discussed further in Note 8 to the Condensed Consolidated Financial Statements.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significant items affecting income from operations for our segments during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as compared with the prior year periods, are summarized below:</w:t>
      </w:r>
    </w:p>
    <w:p>
      <w:pPr>
        <w:spacing w:after="0" w:line="103" w:lineRule="exact"/>
        <w:rPr>
          <w:sz w:val="20"/>
          <w:szCs w:val="20"/>
          <w:color w:val="auto"/>
        </w:rPr>
      </w:pPr>
    </w:p>
    <w:p>
      <w:pPr>
        <w:jc w:val="both"/>
        <w:ind w:left="500" w:hanging="241"/>
        <w:spacing w:after="0" w:line="291"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Our Traditional Solid Waste business benefited from internal revenue growth and certain natural gas</w:t>
      </w:r>
      <w:r>
        <w:rPr>
          <w:rFonts w:ascii="Arial" w:cs="Arial" w:eastAsia="Arial" w:hAnsi="Arial"/>
          <w:sz w:val="16"/>
          <w:szCs w:val="16"/>
          <w:i w:val="1"/>
          <w:iCs w:val="1"/>
          <w:color w:val="auto"/>
        </w:rPr>
        <w:t xml:space="preserve"> </w:t>
      </w:r>
      <w:r>
        <w:rPr>
          <w:rFonts w:ascii="Arial" w:cs="Arial" w:eastAsia="Arial" w:hAnsi="Arial"/>
          <w:sz w:val="16"/>
          <w:szCs w:val="16"/>
          <w:color w:val="auto"/>
        </w:rPr>
        <w:t>fuel credits in the first quarter of 2018. However, our income from operations has been negatively impacted by</w:t>
      </w:r>
    </w:p>
    <w:p>
      <w:pPr>
        <w:jc w:val="both"/>
        <w:ind w:left="500"/>
        <w:spacing w:after="0" w:line="255" w:lineRule="auto"/>
        <w:rPr>
          <w:rFonts w:ascii="Arial" w:cs="Arial" w:eastAsia="Arial" w:hAnsi="Arial"/>
          <w:sz w:val="16"/>
          <w:szCs w:val="16"/>
          <w:color w:val="auto"/>
        </w:rPr>
      </w:pPr>
      <w:r>
        <w:rPr>
          <w:rFonts w:ascii="Arial" w:cs="Arial" w:eastAsia="Arial" w:hAnsi="Arial"/>
          <w:sz w:val="18"/>
          <w:szCs w:val="18"/>
          <w:color w:val="auto"/>
        </w:rPr>
        <w:t>(i) lower market prices for recycling commodities; (ii) an impairment of a landfill in Tier 3 and (iii) higher operating costs, including a bonus plan established in early 2018 targeted at improving employee retention, merit increases and increased maintenance and repair costs.</w:t>
      </w:r>
    </w:p>
    <w:p>
      <w:pPr>
        <w:spacing w:after="0" w:line="82" w:lineRule="exact"/>
        <w:rPr>
          <w:rFonts w:ascii="Arial" w:cs="Arial" w:eastAsia="Arial" w:hAnsi="Arial"/>
          <w:sz w:val="16"/>
          <w:szCs w:val="16"/>
          <w:color w:val="auto"/>
        </w:rPr>
      </w:pPr>
    </w:p>
    <w:p>
      <w:pPr>
        <w:ind w:left="500" w:hanging="241"/>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Net gains from divestitures of certain ancillary operations in the second quarter of 2018 and improved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in our EES and WM Renewable Energy businesses.</w:t>
      </w:r>
    </w:p>
    <w:p>
      <w:pPr>
        <w:spacing w:after="0" w:line="62" w:lineRule="exact"/>
        <w:rPr>
          <w:rFonts w:ascii="Arial" w:cs="Arial" w:eastAsia="Arial" w:hAnsi="Arial"/>
          <w:sz w:val="18"/>
          <w:szCs w:val="18"/>
          <w:color w:val="auto"/>
        </w:rPr>
      </w:pPr>
    </w:p>
    <w:p>
      <w:pPr>
        <w:jc w:val="both"/>
        <w:ind w:left="500" w:hanging="241"/>
        <w:spacing w:after="0" w:line="302"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Decreased expenses as a result of (i) lower labor and related benefit costs, influenced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lower incentive compensation accruals in the current year periods and severance costs for former executives incurred during the first quarter of 2017 and (ii) environmental remediation costs related to a closed site in Harris County, Texas incurred in the third quarter of 2017. These cost decreases were offset, in part, by higher risk management costs.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recognized equity in net losses of unconsolidated entities of $9 million and $29 million during the three and nine months ended September 30, 2018, respectively, compared with $8 million and $53 million during the three and nine months ended September 30, 2017, respectively. During the nine months ended September 30, 2017, we recognized $28 million of impairment charges to write down equity method investments in waste diversion technology companies to their estimated fair values. The remaining losses for each period are primarily related to our noncontrolling interests in entities established to invest in and manage low-income housing properties and a refined coal facility. Refer to Notes 5 and 14 to the Condensed Consolidated Financial Statements for more information related to these investments.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income tax expense was $99 million and $325 million for the three and nine months ended September 30, 2018, respectively, compared to $215 million and $561 million for the three and nine months ended September 30, 2017, respectively. Our effective income tax rate was 16.6% and 18.9% for the three and nine months ended September 30, 2018, respectively, compared with 35.7% and 34.9% for the three and nine months ended September 30, 2017, respectively.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decrease in our income tax expense and effective income tax rates for the three and nine months ended September 30, 2018, compared with the prior year periods, was primarily due to (i) the enactment of tax reform, which reduced the federal corporate income tax rate from 35% to 21% effective January 1, 2018 and (ii) other adjustments to our deferred taxes. Refer to Note 5 to the Condensed Consolidated Financial Statements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consistently generates cash flow from operations that meets and exceeds its working capital needs, the payments of its dividend and investment in the business through capital expenditures and acquisitions. We continually monitor our actual and forecasted cash flows, our liquidity and our capital resources, enabling us to plan for our present needs and fund unbudgeted business activities that may arise during the year as a result of changing business conditions or new opportunities. The Company believes that its investment grade credit ratings, large value of unencumbered assets and modest leverage enable it to obtain adequate financing to meet its ongoing capital, operating and other liquidity requirements.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r>
      <w:tr>
        <w:trPr>
          <w:trHeight w:val="230"/>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6260" w:type="dxa"/>
            <w:vAlign w:val="bottom"/>
          </w:tcPr>
          <w:p>
            <w:pPr>
              <w:spacing w:after="0" w:line="203" w:lineRule="exact"/>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9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6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restricted trust and escrow accounts</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9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17"/>
        </w:trPr>
        <w:tc>
          <w:tcPr>
            <w:tcW w:w="626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r>
    </w:tbl>
    <w:p>
      <w:pPr>
        <w:spacing w:after="0" w:line="20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September 30, 2018, we had $2.2 billion of debt maturing within the next 12 months, including (i) $1.1 billion of short-term borrowings under our commercial paper program; (ii) $806 million of tax-exempt bonds with term interest rate periods that expire within the next 12 months, which is prior to their scheduled maturities; (iii) $260 million of other debt with scheduled maturities within the next 12 months, including $209 million of tax-exempt bonds and (iv) C$57 million, or $44 million, of Canadian borrowings under our long-term U.S. and Canadian revolving credit facility (“$2.75 billion revolving credit facility”). Of the $1.1 billion of short-term borrowings outstanding under our commercial paper program as of September 30, 2018 that are supported by our $2.75 billion revolving credit facility, we have the intent and ability to refinance or maintain $955 million of these borrowings on a long-term basis, and we have classified these amounts as long-term debt. As of September 30, 2018, we have classified an additional $761 million of debt as long-term because we have the intent and ability to refinance these borrowings on a long-term basis as supported by the forecasted available capacity under our $2.75 billion revolving credit facility, as discussed below. The remaining $447 million is classified as current obligations.</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Refinancing of Revolving Credit Facility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June 2018, we entered into the $2.75 billion revolving credit facility, which amended and restated our prior long-term U.S. revolving credit facility. Amendments to the credit agreement included (i) increasing total capacity under the facility from $2.25 billion to $2.75 billion; (ii) establishment of a $750 million accordion feature that may be used to increase total capacity in future periods; (iii) extending the term through June 2023 and (iv) inclusion of two one-year extension options. Waste Management of Canada Corporation and WM Quebec Inc., each an indirect wholly-owned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subsidiary of WM, were added as additional borrowers under the $2.75 billion revolving credit facility, and the agreement permits borrowing in Canadian dollars up to the U.S. dollar equivalent of $375 million, with such borrowings to be repaid in Canadian dollars. Waste Management Holdings, Inc., a wholly-owned subsidiary of WM, guarantees all of the obligations under the $2.75 billion revolving credit facility.</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2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28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(1,240)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02"/>
        </w:trPr>
        <w:tc>
          <w:tcPr>
            <w:tcW w:w="5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Proceeds from divestitures of businesses and other assets (net of cash</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0"/>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divested)</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Free cash flow (a)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r>
      <w:tr>
        <w:trPr>
          <w:trHeight w:val="108"/>
        </w:trPr>
        <w:tc>
          <w:tcPr>
            <w:tcW w:w="228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ASU 2016-18 and conform to our current year presentation. See Note 1 to the Condensed Consolidated Financial Statements for further discussion.</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cash flows for the nine months ended September 30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2017(a)</w:t>
            </w:r>
          </w:p>
        </w:tc>
      </w:tr>
      <w:tr>
        <w:trPr>
          <w:trHeight w:val="230"/>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10"/>
        </w:trPr>
        <w:tc>
          <w:tcPr>
            <w:tcW w:w="70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(1,050)</w:t>
            </w:r>
          </w:p>
        </w:tc>
      </w:tr>
      <w:tr>
        <w:trPr>
          <w:trHeight w:val="223"/>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115"/>
        </w:trPr>
        <w:tc>
          <w:tcPr>
            <w:tcW w:w="2280" w:type="dxa"/>
            <w:vAlign w:val="bottom"/>
            <w:tcBorders>
              <w:bottom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94" w:lineRule="exact"/>
        <w:rPr>
          <w:sz w:val="20"/>
          <w:szCs w:val="20"/>
          <w:color w:val="auto"/>
        </w:rPr>
      </w:pPr>
    </w:p>
    <w:p>
      <w:pPr>
        <w:ind w:left="320" w:hanging="317"/>
        <w:spacing w:after="0" w:line="224" w:lineRule="exact"/>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year information has been revised to reflect the adoption of ASU 2016</w:t>
      </w:r>
      <w:r>
        <w:rPr>
          <w:rFonts w:ascii="MS PGothic" w:cs="MS PGothic" w:eastAsia="MS PGothic" w:hAnsi="MS PGothic"/>
          <w:sz w:val="16"/>
          <w:szCs w:val="16"/>
          <w:color w:val="auto"/>
        </w:rPr>
        <w:t>‑</w:t>
      </w:r>
      <w:r>
        <w:rPr>
          <w:rFonts w:ascii="Arial" w:cs="Arial" w:eastAsia="Arial" w:hAnsi="Arial"/>
          <w:sz w:val="16"/>
          <w:szCs w:val="16"/>
          <w:color w:val="auto"/>
        </w:rPr>
        <w:t>15 and ASU 2016-18 and conform to our current year presentation. See Note 1 to the Condensed Consolidated Financial Statements for further discussion.</w:t>
      </w:r>
    </w:p>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Our operating cash flows increased by $270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2018, as compared with the prior year period, as a result of (i) higher earnings from our Traditional Solid Waste business and (ii) lower tax payments, partially offset by lower earnings from our recycling line of business.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and 2017 are summarized below:</w:t>
      </w:r>
    </w:p>
    <w:p>
      <w:pPr>
        <w:spacing w:after="0" w:line="62" w:lineRule="exact"/>
        <w:rPr>
          <w:sz w:val="20"/>
          <w:szCs w:val="20"/>
          <w:color w:val="auto"/>
        </w:rPr>
      </w:pPr>
    </w:p>
    <w:p>
      <w:pPr>
        <w:jc w:val="both"/>
        <w:ind w:left="500" w:hanging="241"/>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We spent $342 million and $78 million on acquisitions, which include payments for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holdbacks, during the nine months ended September 30, 2018 and 2017, respectively, related to our Solid Waste business.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4" w:name="page45"/>
    <w:bookmarkEnd w:id="44"/>
    <w:p>
      <w:pPr>
        <w:jc w:val="both"/>
        <w:ind w:left="500" w:hanging="241"/>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$1,240 million and $981 million for capital expenditures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and 2017, respectively. The Company continues to maintain a disciplined focus on capital management and fluctuations in our capital expenditures are a result of new business opportunities, growth in our existing business and the timing of replacement of aging assets.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nine months ended September 30, 2018 and 2017 are summarized below:</w:t>
      </w:r>
    </w:p>
    <w:p>
      <w:pPr>
        <w:spacing w:after="0" w:line="62" w:lineRule="exact"/>
        <w:rPr>
          <w:sz w:val="20"/>
          <w:szCs w:val="20"/>
          <w:color w:val="auto"/>
        </w:rPr>
      </w:pPr>
    </w:p>
    <w:p>
      <w:pPr>
        <w:ind w:left="500" w:hanging="241"/>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Debt Borrowings (Repayments) — </w:t>
      </w:r>
      <w:r>
        <w:rPr>
          <w:rFonts w:ascii="Arial" w:cs="Arial" w:eastAsia="Arial" w:hAnsi="Arial"/>
          <w:sz w:val="16"/>
          <w:szCs w:val="16"/>
          <w:color w:val="auto"/>
        </w:rPr>
        <w:t>The following summarizes our cash borrowings and repayments of debt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commercial paper program discussed below) for the nine months ended September 30 (in millions):</w:t>
      </w:r>
    </w:p>
    <w:p>
      <w:pPr>
        <w:spacing w:after="0" w:line="21"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r>
      <w:tr>
        <w:trPr>
          <w:trHeight w:val="210"/>
        </w:trPr>
        <w:tc>
          <w:tcPr>
            <w:tcW w:w="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 (a)</w:t>
            </w:r>
          </w:p>
        </w:tc>
        <w:tc>
          <w:tcPr>
            <w:tcW w:w="1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Canadian term loan and revolving credit facility</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Tax-exempt bonds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debt</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40" w:type="dxa"/>
            <w:vAlign w:val="bottom"/>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10"/>
        </w:trPr>
        <w:tc>
          <w:tcPr>
            <w:tcW w:w="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 (a)</w:t>
            </w:r>
          </w:p>
        </w:tc>
        <w:tc>
          <w:tcPr>
            <w:tcW w:w="1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Canadian term loan and revolving credit facility</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Tax-exempt bonds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debt</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0"/>
        </w:trPr>
        <w:tc>
          <w:tcPr>
            <w:tcW w:w="40" w:type="dxa"/>
            <w:vAlign w:val="bottom"/>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17"/>
        </w:trPr>
        <w:tc>
          <w:tcPr>
            <w:tcW w:w="40" w:type="dxa"/>
            <w:vAlign w:val="bottom"/>
          </w:tcPr>
          <w:p>
            <w:pPr>
              <w:spacing w:after="0"/>
              <w:rPr>
                <w:sz w:val="18"/>
                <w:szCs w:val="18"/>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Net cash repayments</w:t>
            </w:r>
          </w:p>
        </w:tc>
        <w:tc>
          <w:tcPr>
            <w:tcW w:w="1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108"/>
        </w:trPr>
        <w:tc>
          <w:tcPr>
            <w:tcW w:w="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Our revolving credit facility was amended and restated in June 2018.</w:t>
      </w:r>
    </w:p>
    <w:p>
      <w:pPr>
        <w:spacing w:after="0" w:line="11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500" w:hanging="241"/>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Commercial Paper Program — </w:t>
      </w:r>
      <w:r>
        <w:rPr>
          <w:rFonts w:ascii="Arial" w:cs="Arial" w:eastAsia="Arial" w:hAnsi="Arial"/>
          <w:sz w:val="18"/>
          <w:szCs w:val="18"/>
          <w:color w:val="auto"/>
        </w:rPr>
        <w:t>During the nine months ended September 30, 2018 and 2017, we had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of $523 million and $501 million, respectively, under our commercial paper program. Borrowings were primarily to support new business opportunities and for general corporate purposes.</w:t>
      </w:r>
    </w:p>
    <w:p>
      <w:pPr>
        <w:spacing w:after="0" w:line="73" w:lineRule="exact"/>
        <w:rPr>
          <w:rFonts w:ascii="Arial" w:cs="Arial" w:eastAsia="Arial" w:hAnsi="Arial"/>
          <w:sz w:val="18"/>
          <w:szCs w:val="18"/>
          <w:color w:val="auto"/>
        </w:rPr>
      </w:pPr>
    </w:p>
    <w:p>
      <w:pPr>
        <w:jc w:val="both"/>
        <w:ind w:left="500" w:hanging="241"/>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We paid $750 million for share repurchases during both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and 2017. See Note 12 to the Condensed Consolidated Financial Statements for additional information.</w:t>
      </w:r>
    </w:p>
    <w:p>
      <w:pPr>
        <w:spacing w:after="0" w:line="73" w:lineRule="exact"/>
        <w:rPr>
          <w:rFonts w:ascii="Arial" w:cs="Arial" w:eastAsia="Arial" w:hAnsi="Arial"/>
          <w:sz w:val="18"/>
          <w:szCs w:val="18"/>
          <w:color w:val="auto"/>
        </w:rPr>
      </w:pPr>
    </w:p>
    <w:p>
      <w:pPr>
        <w:jc w:val="both"/>
        <w:ind w:left="500" w:hanging="241"/>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Cash Dividends — </w:t>
      </w:r>
      <w:r>
        <w:rPr>
          <w:rFonts w:ascii="Arial" w:cs="Arial" w:eastAsia="Arial" w:hAnsi="Arial"/>
          <w:sz w:val="18"/>
          <w:szCs w:val="18"/>
          <w:color w:val="auto"/>
        </w:rPr>
        <w:t>We paid cash dividends of $605 million and $566 million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and 2017, respectively. The increase in dividend payments is primarily due to our quarterly per share dividend increasing from $0.425 in 2017 to $0.465 in 2018 offset, in part, by a reduction in our common stock outstanding during 2018 as a result of our common stock repurchase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 Actual results could differ materially from the estimates and assumptions that we use in the preparation of our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Financial Accounting Standards Board issued ASU 2016</w:t>
      </w:r>
      <w:r>
        <w:rPr>
          <w:rFonts w:ascii="MS PGothic" w:cs="MS PGothic" w:eastAsia="MS PGothic" w:hAnsi="MS PGothic"/>
          <w:sz w:val="18"/>
          <w:szCs w:val="18"/>
          <w:color w:val="auto"/>
        </w:rPr>
        <w:t>‑</w:t>
      </w:r>
      <w:r>
        <w:rPr>
          <w:rFonts w:ascii="Arial" w:cs="Arial" w:eastAsia="Arial" w:hAnsi="Arial"/>
          <w:sz w:val="18"/>
          <w:szCs w:val="18"/>
          <w:color w:val="auto"/>
        </w:rPr>
        <w:t>02 associated with lease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There have been further amendments, including practical expedients, with the issuance of ASU 2018-01 and ASU 2018-11 in January 2018 and July 2018, respectively. The amended guidance requires the recognition of lease assets and lease liabilities on the balance sheet for those leases with terms in excess of 12 months and currently classified as operating leases. Disclosure of key information about leasing arrangements will also be required. The amended guidance is effective for the Company on January 1, 2019. To date, we have performed the following activities related to the adoption of the standard: (i) formed an implementation work team; (ii) performed training for the various organizations that will be most affected by the new standard; (iii) elected our practical expedients, including our transition method; (iv) acquired a software solution to manage and account for leases under the new standard and (v) identified our initial lease population that will be impacted by the new standard. We continue to evaluate the impact of this amended guidance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7 to the Condensed Consolidated Financial Statements. These arrangements have not materially affected our financial position, results of operations or liquidity during the nine months ended September 30, 2018, nor are they expected to have a material impact on our future financial position, results of operations or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collection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U.S.,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Information about market risks as of September 30, 2018 does not differ materially from that discussed under Item 7A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6" w:name="page47"/>
    <w:bookmarkEnd w:id="46"/>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2018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2018. We determined that there were no changes in our internal control over financial reporting during the quarter ended September 30, 2018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material changes to the risk factors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in response to Item 1A to Part I of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following table summarizes common stock repurchases made during the third quarter of 2018 (shares in millions):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00" w:type="dxa"/>
            <w:vAlign w:val="bottom"/>
          </w:tcPr>
          <w:p>
            <w:pPr>
              <w:spacing w:after="0"/>
              <w:rPr>
                <w:sz w:val="12"/>
                <w:szCs w:val="12"/>
                <w:color w:val="auto"/>
              </w:rPr>
            </w:pPr>
          </w:p>
        </w:tc>
        <w:tc>
          <w:tcPr>
            <w:tcW w:w="1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31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88.52</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500 million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August 1 — 31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880"/>
              <w:spacing w:after="0"/>
              <w:rPr>
                <w:sz w:val="20"/>
                <w:szCs w:val="20"/>
                <w:color w:val="auto"/>
              </w:rPr>
            </w:pPr>
            <w:r>
              <w:rPr>
                <w:rFonts w:ascii="Arial" w:cs="Arial" w:eastAsia="Arial" w:hAnsi="Arial"/>
                <w:sz w:val="18"/>
                <w:szCs w:val="18"/>
                <w:color w:val="auto"/>
              </w:rPr>
              <w:t>500 million</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30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500 million</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88.52</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2018, we entered into an accelerated share repurchase (“ASR”) agreement to repurchase $200 million of our common stock. At the beginning of the repurchase period, we delivered $200 million in cash and received 1.8 million shares. The ASR agreement completed in October 2018, at which time we received 0.4 million additional shares based on a final weighted average per share price of $90.07.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420" w:type="dxa"/>
            <w:vAlign w:val="bottom"/>
            <w:gridSpan w:val="2"/>
          </w:tcPr>
          <w:p>
            <w:pPr>
              <w:ind w:left="6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0" w:type="dxa"/>
            <w:vAlign w:val="bottom"/>
            <w:gridSpan w:val="5"/>
          </w:tcPr>
          <w:p>
            <w:pPr>
              <w:ind w:left="156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14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2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0" w:type="dxa"/>
            <w:vAlign w:val="bottom"/>
            <w:tcBorders>
              <w:top w:val="single" w:sz="8" w:color="auto"/>
            </w:tcBorders>
            <w:gridSpan w:val="7"/>
          </w:tcPr>
          <w:p>
            <w:pPr>
              <w:spacing w:after="0" w:line="170" w:lineRule="exact"/>
              <w:rPr>
                <w:rFonts w:ascii="Arial" w:cs="Arial" w:eastAsia="Arial" w:hAnsi="Arial"/>
                <w:sz w:val="18"/>
                <w:szCs w:val="18"/>
                <w:color w:val="0000EE"/>
              </w:rPr>
            </w:pPr>
            <w:hyperlink w:anchor="page50">
              <w:r>
                <w:rPr>
                  <w:rFonts w:ascii="Arial" w:cs="Arial" w:eastAsia="Arial" w:hAnsi="Arial"/>
                  <w:sz w:val="18"/>
                  <w:szCs w:val="18"/>
                  <w:color w:val="0000EE"/>
                </w:rPr>
                <w:t>Employment Offer Letter to Mike Watson dated September 10, 2018.</w:t>
              </w:r>
            </w:hyperlink>
          </w:p>
        </w:tc>
      </w:tr>
      <w:tr>
        <w:trPr>
          <w:trHeight w:val="20"/>
        </w:trPr>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620" w:type="dxa"/>
            <w:vAlign w:val="bottom"/>
            <w:tcBorders>
              <w:bottom w:val="single" w:sz="8" w:color="0000EE"/>
            </w:tcBorders>
            <w:gridSpan w:val="8"/>
          </w:tcPr>
          <w:p>
            <w:pPr>
              <w:spacing w:after="0" w:line="207"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Pursuant to Rules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amended, of James C. Fish, Jr., President and Chief Executive Officer.</w:t>
              </w:r>
            </w:hyperlink>
          </w:p>
        </w:tc>
        <w:tc>
          <w:tcPr>
            <w:tcW w:w="2540" w:type="dxa"/>
            <w:vAlign w:val="bottom"/>
            <w:gridSpan w:val="3"/>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620" w:type="dxa"/>
            <w:vAlign w:val="bottom"/>
            <w:tcBorders>
              <w:bottom w:val="single" w:sz="8" w:color="0000EE"/>
            </w:tcBorders>
            <w:gridSpan w:val="8"/>
          </w:tcPr>
          <w:p>
            <w:pPr>
              <w:spacing w:after="0" w:line="207"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Pursuant to Rules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amended, of Devina A. Rankin, Senior Vice President and Chief Financial Officer.</w:t>
              </w:r>
            </w:hyperlink>
          </w:p>
        </w:tc>
        <w:tc>
          <w:tcPr>
            <w:tcW w:w="1660" w:type="dxa"/>
            <w:vAlign w:val="bottom"/>
            <w:gridSpan w:val="2"/>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Pursuant to 18 U.S.C. §1350 of James C. Fish, Jr., President and Chief Executive Officer.</w:t>
              </w:r>
            </w:hyperlink>
          </w:p>
        </w:tc>
        <w:tc>
          <w:tcPr>
            <w:tcW w:w="220" w:type="dxa"/>
            <w:vAlign w:val="bottom"/>
          </w:tcPr>
          <w:p>
            <w:pPr>
              <w:spacing w:after="0"/>
              <w:rPr>
                <w:sz w:val="24"/>
                <w:szCs w:val="24"/>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7620" w:type="dxa"/>
            <w:vAlign w:val="bottom"/>
            <w:tcBorders>
              <w:bottom w:val="single" w:sz="8" w:color="0000EE"/>
            </w:tcBorders>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Certification Pursuant to 18 U.S.C. §1350 of Devina A. Rankin, Senior Vice President and Chief</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Financial Officer.</w:t>
              </w:r>
            </w:hyperlink>
          </w:p>
        </w:tc>
        <w:tc>
          <w:tcPr>
            <w:tcW w:w="6340" w:type="dxa"/>
            <w:vAlign w:val="bottom"/>
            <w:gridSpan w:val="6"/>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762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r>
      <w:tr>
        <w:trPr>
          <w:trHeight w:val="20"/>
        </w:trPr>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408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9"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6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94"/>
              </w:rPr>
              <w:t>Devina A. Rankin</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6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211"/>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3"/>
              </w:rPr>
              <w:t>Leslie K. Nagy</w:t>
            </w:r>
          </w:p>
        </w:tc>
      </w:tr>
    </w:tbl>
    <w:p>
      <w:pPr>
        <w:jc w:val="center"/>
        <w:ind w:left="4980"/>
        <w:spacing w:after="0"/>
        <w:rPr>
          <w:sz w:val="20"/>
          <w:szCs w:val="20"/>
          <w:color w:val="auto"/>
        </w:rPr>
      </w:pPr>
      <w:r>
        <w:rPr>
          <w:rFonts w:ascii="Arial" w:cs="Arial" w:eastAsia="Arial" w:hAnsi="Arial"/>
          <w:sz w:val="18"/>
          <w:szCs w:val="18"/>
          <w:i w:val="1"/>
          <w:iCs w:val="1"/>
          <w:color w:val="auto"/>
        </w:rPr>
        <w:t>Vice President and</w:t>
      </w:r>
    </w:p>
    <w:p>
      <w:pPr>
        <w:spacing w:after="0" w:line="7"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9" w:name="page50"/>
    <w:bookmarkEnd w:id="49"/>
    <w:p>
      <w:pPr>
        <w:jc w:val="right"/>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1466215" cy="488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466215" cy="488950"/>
                    </a:xfrm>
                    <a:prstGeom prst="rect">
                      <a:avLst/>
                    </a:prstGeom>
                    <a:noFill/>
                  </pic:spPr>
                </pic:pic>
              </a:graphicData>
            </a:graphic>
          </wp:anchor>
        </w:drawing>
        <w:t>EXHIBIT 10.1</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September 10, 2018</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PERSONAL AND CONFIDENTIAL</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Mike Watson</w:t>
      </w: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Dear Mike,</w:t>
      </w:r>
    </w:p>
    <w:p>
      <w:pPr>
        <w:spacing w:after="0" w:line="229" w:lineRule="exact"/>
        <w:rPr>
          <w:sz w:val="20"/>
          <w:szCs w:val="20"/>
          <w:color w:val="auto"/>
        </w:rPr>
      </w:pPr>
    </w:p>
    <w:p>
      <w:pPr>
        <w:ind w:left="160" w:right="599"/>
        <w:spacing w:after="0" w:line="250" w:lineRule="auto"/>
        <w:rPr>
          <w:sz w:val="20"/>
          <w:szCs w:val="20"/>
          <w:color w:val="auto"/>
        </w:rPr>
      </w:pPr>
      <w:r>
        <w:rPr>
          <w:rFonts w:ascii="Arial" w:cs="Arial" w:eastAsia="Arial" w:hAnsi="Arial"/>
          <w:sz w:val="20"/>
          <w:szCs w:val="20"/>
          <w:color w:val="auto"/>
        </w:rPr>
        <w:t>I am pleased to offer you the position of Senior Vice President and Chief Customer Officer for Waste Management. In your new role, you will be reporting to the Chief Executive Officer effective October 1, 2018.</w:t>
      </w:r>
    </w:p>
    <w:p>
      <w:pPr>
        <w:spacing w:after="0" w:line="200" w:lineRule="exact"/>
        <w:rPr>
          <w:sz w:val="20"/>
          <w:szCs w:val="20"/>
          <w:color w:val="auto"/>
        </w:rPr>
      </w:pPr>
    </w:p>
    <w:p>
      <w:pPr>
        <w:ind w:left="160" w:right="439"/>
        <w:spacing w:after="0" w:line="250" w:lineRule="auto"/>
        <w:rPr>
          <w:sz w:val="20"/>
          <w:szCs w:val="20"/>
          <w:color w:val="auto"/>
        </w:rPr>
      </w:pPr>
      <w:r>
        <w:rPr>
          <w:rFonts w:ascii="Arial" w:cs="Arial" w:eastAsia="Arial" w:hAnsi="Arial"/>
          <w:sz w:val="20"/>
          <w:szCs w:val="20"/>
          <w:color w:val="auto"/>
        </w:rPr>
        <w:t>Please keep in mind that upon accepting this position, you acknowledge your voluntary agreement to terminate any prior verbal or written employment agreements you may have had with Waste Management, and to forgo any benefits contained therein.</w:t>
      </w:r>
    </w:p>
    <w:p>
      <w:pPr>
        <w:spacing w:after="0" w:line="200" w:lineRule="exact"/>
        <w:rPr>
          <w:sz w:val="20"/>
          <w:szCs w:val="20"/>
          <w:color w:val="auto"/>
        </w:rPr>
      </w:pPr>
    </w:p>
    <w:p>
      <w:pPr>
        <w:ind w:left="160" w:right="159"/>
        <w:spacing w:after="0" w:line="263" w:lineRule="auto"/>
        <w:rPr>
          <w:sz w:val="20"/>
          <w:szCs w:val="20"/>
          <w:color w:val="auto"/>
        </w:rPr>
      </w:pPr>
      <w:r>
        <w:rPr>
          <w:rFonts w:ascii="Arial" w:cs="Arial" w:eastAsia="Arial" w:hAnsi="Arial"/>
          <w:sz w:val="19"/>
          <w:szCs w:val="19"/>
          <w:color w:val="auto"/>
        </w:rPr>
        <w:t>The following are the new terms and conditions of your employment and these supersede any previous terms. However, neither your new terms of employment nor anything in this letter shall alter your at-will status nor the terms of any previously executed Loyalty and Confidentiality Agreement. Your signature in the space provided indicates your acceptance of our offer on these terms and conditions.</w:t>
      </w:r>
    </w:p>
    <w:p>
      <w:pPr>
        <w:spacing w:after="0" w:line="184" w:lineRule="exact"/>
        <w:rPr>
          <w:sz w:val="20"/>
          <w:szCs w:val="20"/>
          <w:color w:val="auto"/>
        </w:rPr>
      </w:pPr>
    </w:p>
    <w:p>
      <w:pPr>
        <w:jc w:val="both"/>
        <w:ind w:left="160" w:right="439"/>
        <w:spacing w:after="0" w:line="273" w:lineRule="auto"/>
        <w:rPr>
          <w:sz w:val="20"/>
          <w:szCs w:val="20"/>
          <w:color w:val="auto"/>
        </w:rPr>
      </w:pPr>
      <w:r>
        <w:rPr>
          <w:rFonts w:ascii="Arial" w:cs="Arial" w:eastAsia="Arial" w:hAnsi="Arial"/>
          <w:sz w:val="19"/>
          <w:szCs w:val="19"/>
          <w:b w:val="1"/>
          <w:bCs w:val="1"/>
          <w:color w:val="auto"/>
        </w:rPr>
        <w:t xml:space="preserve">Base Salary: </w:t>
      </w:r>
      <w:r>
        <w:rPr>
          <w:rFonts w:ascii="Arial" w:cs="Arial" w:eastAsia="Arial" w:hAnsi="Arial"/>
          <w:sz w:val="19"/>
          <w:szCs w:val="19"/>
          <w:color w:val="auto"/>
        </w:rPr>
        <w:t>Your annualized salary will be Four Hundred Fifty Thousand Dollars ($450,000) payable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Company’s standard payroll practice for salaried employees. Your base salary will be subject to review on an annual basis and may be adjusted based on merit.</w:t>
      </w:r>
    </w:p>
    <w:p>
      <w:pPr>
        <w:spacing w:after="0" w:line="173" w:lineRule="exact"/>
        <w:rPr>
          <w:sz w:val="20"/>
          <w:szCs w:val="20"/>
          <w:color w:val="auto"/>
        </w:rPr>
      </w:pPr>
    </w:p>
    <w:p>
      <w:pPr>
        <w:ind w:left="160" w:right="239"/>
        <w:spacing w:after="0" w:line="246" w:lineRule="auto"/>
        <w:rPr>
          <w:sz w:val="20"/>
          <w:szCs w:val="20"/>
          <w:color w:val="auto"/>
        </w:rPr>
      </w:pPr>
      <w:r>
        <w:rPr>
          <w:rFonts w:ascii="Arial" w:cs="Arial" w:eastAsia="Arial" w:hAnsi="Arial"/>
          <w:sz w:val="20"/>
          <w:szCs w:val="20"/>
          <w:b w:val="1"/>
          <w:bCs w:val="1"/>
          <w:color w:val="auto"/>
        </w:rPr>
        <w:t xml:space="preserve">Annual Incentive (Bonus) Plan: </w:t>
      </w:r>
      <w:r>
        <w:rPr>
          <w:rFonts w:ascii="Arial" w:cs="Arial" w:eastAsia="Arial" w:hAnsi="Arial"/>
          <w:sz w:val="20"/>
          <w:szCs w:val="20"/>
          <w:color w:val="auto"/>
        </w:rPr>
        <w:t>You will be eligible to participate in our Executive Incentive Plan (EIP),</w:t>
      </w:r>
      <w:r>
        <w:rPr>
          <w:rFonts w:ascii="Arial" w:cs="Arial" w:eastAsia="Arial" w:hAnsi="Arial"/>
          <w:sz w:val="20"/>
          <w:szCs w:val="20"/>
          <w:b w:val="1"/>
          <w:bCs w:val="1"/>
          <w:color w:val="auto"/>
        </w:rPr>
        <w:t xml:space="preserve"> </w:t>
      </w:r>
      <w:r>
        <w:rPr>
          <w:rFonts w:ascii="Arial" w:cs="Arial" w:eastAsia="Arial" w:hAnsi="Arial"/>
          <w:sz w:val="20"/>
          <w:szCs w:val="20"/>
          <w:color w:val="auto"/>
        </w:rPr>
        <w:t>with a target of 75% of your base salary. Eligibility, qualification, and calculation of any bonus are governed by the applicable Waste Management Incentive Compensation Plan and any payment is subject to the approval of the Compensation Committee of Waste Management’s Board of Directors. The bonus, if any, will be paid in the year following the subject bonus year.</w:t>
      </w:r>
    </w:p>
    <w:p>
      <w:pPr>
        <w:spacing w:after="0" w:line="205" w:lineRule="exact"/>
        <w:rPr>
          <w:sz w:val="20"/>
          <w:szCs w:val="20"/>
          <w:color w:val="auto"/>
        </w:rPr>
      </w:pPr>
    </w:p>
    <w:p>
      <w:pPr>
        <w:jc w:val="both"/>
        <w:ind w:left="160" w:right="299"/>
        <w:spacing w:after="0" w:line="250" w:lineRule="auto"/>
        <w:rPr>
          <w:sz w:val="20"/>
          <w:szCs w:val="20"/>
          <w:color w:val="auto"/>
        </w:rPr>
      </w:pPr>
      <w:r>
        <w:rPr>
          <w:rFonts w:ascii="Arial" w:cs="Arial" w:eastAsia="Arial" w:hAnsi="Arial"/>
          <w:sz w:val="20"/>
          <w:szCs w:val="20"/>
          <w:color w:val="auto"/>
        </w:rPr>
        <w:t>For 2018, your bonus will be prorated to reflect your base, bonus target and Area results in your current role and base, bonus target and Corporate results in this role. To be eligible for a bonus, you must be employed through the end of the year in which the bonus is calculated.</w:t>
      </w:r>
    </w:p>
    <w:p>
      <w:pPr>
        <w:spacing w:after="0" w:line="194" w:lineRule="exact"/>
        <w:rPr>
          <w:sz w:val="20"/>
          <w:szCs w:val="20"/>
          <w:color w:val="auto"/>
        </w:rPr>
      </w:pPr>
    </w:p>
    <w:p>
      <w:pPr>
        <w:ind w:left="160" w:right="179"/>
        <w:spacing w:after="0" w:line="253" w:lineRule="auto"/>
        <w:rPr>
          <w:sz w:val="20"/>
          <w:szCs w:val="20"/>
          <w:color w:val="auto"/>
        </w:rPr>
      </w:pPr>
      <w:r>
        <w:rPr>
          <w:rFonts w:ascii="Arial" w:cs="Arial" w:eastAsia="Arial" w:hAnsi="Arial"/>
          <w:sz w:val="20"/>
          <w:szCs w:val="20"/>
          <w:b w:val="1"/>
          <w:bCs w:val="1"/>
          <w:color w:val="auto"/>
        </w:rPr>
        <w:t xml:space="preserve">Long Term Incentive Plans: </w:t>
      </w:r>
      <w:r>
        <w:rPr>
          <w:rFonts w:ascii="Arial" w:cs="Arial" w:eastAsia="Arial" w:hAnsi="Arial"/>
          <w:sz w:val="20"/>
          <w:szCs w:val="20"/>
          <w:color w:val="auto"/>
        </w:rPr>
        <w:t>You will be eligible to participate in any long-term incentive plans that may be</w:t>
      </w:r>
      <w:r>
        <w:rPr>
          <w:rFonts w:ascii="Arial" w:cs="Arial" w:eastAsia="Arial" w:hAnsi="Arial"/>
          <w:sz w:val="20"/>
          <w:szCs w:val="20"/>
          <w:b w:val="1"/>
          <w:bCs w:val="1"/>
          <w:color w:val="auto"/>
        </w:rPr>
        <w:t xml:space="preserve"> </w:t>
      </w:r>
      <w:r>
        <w:rPr>
          <w:rFonts w:ascii="Arial" w:cs="Arial" w:eastAsia="Arial" w:hAnsi="Arial"/>
          <w:sz w:val="20"/>
          <w:szCs w:val="20"/>
          <w:color w:val="auto"/>
        </w:rPr>
        <w:t>in place for similarly placed executives from time to time. Currently, this plan consists of awards of stock options and performance share units, generally awarded annually.</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The next award you would be eligible to receive (if deemed appropriate) will be distributed in early</w:t>
      </w:r>
    </w:p>
    <w:p>
      <w:pPr>
        <w:spacing w:after="0" w:line="16" w:lineRule="exact"/>
        <w:rPr>
          <w:sz w:val="20"/>
          <w:szCs w:val="20"/>
          <w:color w:val="auto"/>
        </w:rPr>
      </w:pPr>
    </w:p>
    <w:p>
      <w:pPr>
        <w:ind w:left="160" w:right="199"/>
        <w:spacing w:after="0" w:line="244" w:lineRule="auto"/>
        <w:rPr>
          <w:sz w:val="20"/>
          <w:szCs w:val="20"/>
          <w:color w:val="auto"/>
        </w:rPr>
      </w:pPr>
      <w:r>
        <w:rPr>
          <w:rFonts w:ascii="Arial" w:cs="Arial" w:eastAsia="Arial" w:hAnsi="Arial"/>
          <w:sz w:val="20"/>
          <w:szCs w:val="20"/>
          <w:color w:val="auto"/>
        </w:rPr>
        <w:t>2019. Exclusively the provisions of the applicable incentive plan will govern the award, vesting and exercise of all incentive awards.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Vacation: </w:t>
      </w:r>
      <w:r>
        <w:rPr>
          <w:rFonts w:ascii="Arial" w:cs="Arial" w:eastAsia="Arial" w:hAnsi="Arial"/>
          <w:sz w:val="20"/>
          <w:szCs w:val="20"/>
          <w:color w:val="auto"/>
        </w:rPr>
        <w:t>Your vacation allowance will remain the same.</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Benefits: </w:t>
      </w:r>
      <w:r>
        <w:rPr>
          <w:rFonts w:ascii="Arial" w:cs="Arial" w:eastAsia="Arial" w:hAnsi="Arial"/>
          <w:sz w:val="20"/>
          <w:szCs w:val="20"/>
          <w:color w:val="auto"/>
        </w:rPr>
        <w:t>Your benefit plan will remain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297180</wp:posOffset>
            </wp:positionV>
            <wp:extent cx="554863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0" w:name="page51"/>
    <w:bookmarkEnd w:id="50"/>
    <w:p>
      <w:pPr>
        <w:ind w:left="160" w:right="599"/>
        <w:spacing w:after="0" w:line="267" w:lineRule="auto"/>
        <w:rPr>
          <w:sz w:val="20"/>
          <w:szCs w:val="20"/>
          <w:color w:val="auto"/>
        </w:rPr>
      </w:pPr>
      <w:r>
        <w:rPr>
          <w:rFonts w:ascii="Arial" w:cs="Arial" w:eastAsia="Arial" w:hAnsi="Arial"/>
          <w:sz w:val="20"/>
          <w:szCs w:val="20"/>
          <w:b w:val="1"/>
          <w:bCs w:val="1"/>
          <w:color w:val="auto"/>
        </w:rPr>
        <w:t xml:space="preserve">Relocation: </w:t>
      </w:r>
      <w:r>
        <w:rPr>
          <w:rFonts w:ascii="Arial" w:cs="Arial" w:eastAsia="Arial" w:hAnsi="Arial"/>
          <w:sz w:val="20"/>
          <w:szCs w:val="20"/>
          <w:color w:val="auto"/>
        </w:rPr>
        <w:t>You will be eligible for relocation benefits per the Company’s Senior Executive Relocation</w:t>
      </w:r>
      <w:r>
        <w:rPr>
          <w:rFonts w:ascii="Arial" w:cs="Arial" w:eastAsia="Arial" w:hAnsi="Arial"/>
          <w:sz w:val="20"/>
          <w:szCs w:val="20"/>
          <w:b w:val="1"/>
          <w:bCs w:val="1"/>
          <w:color w:val="auto"/>
        </w:rPr>
        <w:t xml:space="preserve"> </w:t>
      </w:r>
      <w:r>
        <w:rPr>
          <w:rFonts w:ascii="Arial" w:cs="Arial" w:eastAsia="Arial" w:hAnsi="Arial"/>
          <w:sz w:val="20"/>
          <w:szCs w:val="20"/>
          <w:color w:val="auto"/>
        </w:rPr>
        <w:t>policy.</w:t>
      </w:r>
    </w:p>
    <w:p>
      <w:pPr>
        <w:spacing w:after="0" w:line="183" w:lineRule="exact"/>
        <w:rPr>
          <w:sz w:val="20"/>
          <w:szCs w:val="20"/>
          <w:color w:val="auto"/>
        </w:rPr>
      </w:pPr>
    </w:p>
    <w:p>
      <w:pPr>
        <w:ind w:left="160" w:right="319"/>
        <w:spacing w:after="0" w:line="260" w:lineRule="auto"/>
        <w:rPr>
          <w:sz w:val="20"/>
          <w:szCs w:val="20"/>
          <w:color w:val="auto"/>
        </w:rPr>
      </w:pPr>
      <w:r>
        <w:rPr>
          <w:rFonts w:ascii="Arial" w:cs="Arial" w:eastAsia="Arial" w:hAnsi="Arial"/>
          <w:sz w:val="19"/>
          <w:szCs w:val="19"/>
          <w:color w:val="auto"/>
        </w:rPr>
        <w:t>To be a world-class organization, it is our philosophy at Waste Management that we must have a solid foundation on which to build. One of the most important parts of that foundation is our employees, and it is our goal to provide an environment of mutual trust and respect that will enable the continued growth and success of each member of our team. With your professional capabilities and accomplishments, we believe you will be a great asset to the Senior Leadership Team.</w:t>
      </w:r>
    </w:p>
    <w:p>
      <w:pPr>
        <w:spacing w:after="0" w:line="194" w:lineRule="exact"/>
        <w:rPr>
          <w:sz w:val="20"/>
          <w:szCs w:val="20"/>
          <w:color w:val="auto"/>
        </w:rPr>
      </w:pPr>
    </w:p>
    <w:p>
      <w:pPr>
        <w:ind w:left="160" w:right="639"/>
        <w:spacing w:after="0" w:line="260" w:lineRule="auto"/>
        <w:rPr>
          <w:sz w:val="20"/>
          <w:szCs w:val="20"/>
          <w:color w:val="auto"/>
        </w:rPr>
      </w:pPr>
      <w:r>
        <w:rPr>
          <w:rFonts w:ascii="Arial" w:cs="Arial" w:eastAsia="Arial" w:hAnsi="Arial"/>
          <w:sz w:val="20"/>
          <w:szCs w:val="20"/>
          <w:color w:val="auto"/>
        </w:rPr>
        <w:t>Please acknowledge your acceptance of this offer, and the terms and conditions of your employment, by signing this letter.</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If you have any questions, I can be contacted at (713) 394-2213.</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 Jim Fish</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Jim Fish</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AGREED and ACCEPTED this 11th day of September, 2018</w:t>
      </w: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u w:val="single" w:color="auto"/>
          <w:color w:val="auto"/>
        </w:rPr>
        <w:t>/s/ Michael Watson</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137795</wp:posOffset>
            </wp:positionV>
            <wp:extent cx="554863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560" w:hanging="233"/>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80" w:type="dxa"/>
            <w:vAlign w:val="bottom"/>
          </w:tcPr>
          <w:p>
            <w:pPr>
              <w:spacing w:after="0"/>
              <w:rPr>
                <w:sz w:val="16"/>
                <w:szCs w:val="16"/>
                <w:color w:val="auto"/>
              </w:rPr>
            </w:pPr>
          </w:p>
        </w:tc>
        <w:tc>
          <w:tcPr>
            <w:tcW w:w="42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560" w:hanging="233"/>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0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2018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right="400" w:firstLine="331"/>
        <w:spacing w:after="0" w:line="277" w:lineRule="auto"/>
        <w:tabs>
          <w:tab w:leader="none" w:pos="9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2018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firstLine="331"/>
        <w:spacing w:after="0" w:line="277" w:lineRule="auto"/>
        <w:tabs>
          <w:tab w:leader="none" w:pos="9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21"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During the quarter ended September 30, 2018,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4"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during the quarter ended September 30, 2018,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lowerRoman"/>
      <w:start w:val="4"/>
    </w:lvl>
  </w:abstractNum>
  <w:abstractNum w:abstractNumId="7">
    <w:nsid w:val="333AB105"/>
    <w:multiLevelType w:val="hybridMultilevel"/>
    <w:lvl w:ilvl="0">
      <w:lvlJc w:val="left"/>
      <w:lvlText w:val="(%1)"/>
      <w:numFmt w:val="lowerRoman"/>
      <w:start w:val="1"/>
    </w:lvl>
  </w:abstractNum>
  <w:abstractNum w:abstractNumId="8">
    <w:nsid w:val="721DA317"/>
    <w:multiLevelType w:val="hybridMultilevel"/>
    <w:lvl w:ilvl="0">
      <w:lvlJc w:val="left"/>
      <w:lvlText w:val="(%1)"/>
      <w:numFmt w:val="lowerRoman"/>
      <w:start w:val="1"/>
    </w:lvl>
  </w:abstractNum>
  <w:abstractNum w:abstractNumId="9">
    <w:nsid w:val="2443A858"/>
    <w:multiLevelType w:val="hybridMultilevel"/>
    <w:lvl w:ilvl="0">
      <w:lvlJc w:val="left"/>
      <w:lvlText w:val="%1."/>
      <w:numFmt w:val="decimal"/>
      <w:start w:val="6"/>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lowerRoman"/>
      <w:start w:val="1"/>
    </w:lvl>
    <w:lvl w:ilvl="1">
      <w:lvlJc w:val="left"/>
      <w:lvlText w:val="%2."/>
      <w:numFmt w:val="upperLetter"/>
      <w:start w:val="1"/>
    </w:lvl>
  </w:abstractNum>
  <w:abstractNum w:abstractNumId="32">
    <w:nsid w:val="614FD4A1"/>
    <w:multiLevelType w:val="hybridMultilevel"/>
    <w:lvl w:ilvl="0">
      <w:lvlJc w:val="left"/>
      <w:lvlText w:val="%1."/>
      <w:numFmt w:val="lowerRoman"/>
      <w:start w:val="1"/>
    </w:lvl>
    <w:lvl w:ilvl="1">
      <w:lvlJc w:val="left"/>
      <w:lvlText w:val="%2."/>
      <w:numFmt w:val="upp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2019-12-28T18:51:31Z</dcterms:created>
  <dcterms:modified xsi:type="dcterms:W3CDTF">2019-12-28T18:51:31Z</dcterms:modified>
</cp:coreProperties>
</file>