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700" w:hanging="1165"/>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JUNE 30,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860" w:hanging="220"/>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Indicate by check mark whether</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registrant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has filed all</w:t>
            </w:r>
          </w:p>
        </w:tc>
        <w:tc>
          <w:tcPr>
            <w:tcW w:w="1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by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 or 15(d)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Securities Exchange Act</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2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the preceding 12 months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for</w:t>
            </w:r>
          </w:p>
        </w:tc>
        <w:tc>
          <w:tcPr>
            <w:tcW w:w="2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such shorter period that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4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required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file</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such reports), and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has been subject to</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past 90</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days.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Yes [X]</w:t>
            </w:r>
          </w:p>
        </w:tc>
        <w:tc>
          <w:tcPr>
            <w:tcW w:w="420" w:type="dxa"/>
            <w:vAlign w:val="bottom"/>
          </w:tcPr>
          <w:p>
            <w:pPr>
              <w:spacing w:after="0"/>
              <w:rPr>
                <w:sz w:val="17"/>
                <w:szCs w:val="17"/>
                <w:color w:val="auto"/>
              </w:rPr>
            </w:pP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 ]</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August 9, 1999, was 619,245,656 (excluding 7,892,612 shares held in the Waste Management, Inc. Employee Stock Benefit Trust and treasury shares of 73,709).</w:t>
      </w:r>
    </w:p>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SHARE AND PAR VALUE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JUNE 30,</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80,999</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86,873</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2,655,398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2,385,911</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Parts and supplies........................................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99,804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128,254</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164,135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237,616</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estimated earnings in excess of billings on</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uncompleted contracts..................................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150,440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127,975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236,250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168,163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assets held for sale..............................</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119,232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746,605</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3,506,258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3,881,397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11,854,311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11,637,739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 businesses,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6,577,021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6,069,098</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intangible assets, net................................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174,207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181,226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879,876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945,738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$22,991,673</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LIABILITIES AND STOCKHOLDERS' EQUITY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$ 1,068,276</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$ 1,040,601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1,999,207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2,287,543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390,984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381,780</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369,592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3,828,059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4,293,666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Long-term debt, less current maturities.....................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10,932,384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11,114,201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560,891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470,107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Environmental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973,479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971,507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1,079,980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1,381,145</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17,374,793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18,230,626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Minority interest in subsidiaries...........................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140,948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112,076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10,000,000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1,500,000,000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authorized; 625,147,493 and 608,307,531 shares issued,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6,251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4,691,162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4,091,525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1,731,456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1,066,506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(524,820)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(420,804)</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 73,709 and 63,950 shares,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(2,821)</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stock benefit trust at market, 7,892,612</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1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(424,227)</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(367,993)</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5,475,932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$22,991,673</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54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312" w:right="1440" w:bottom="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34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STATEMENTS OF OPERATIONS</w:t>
      </w:r>
    </w:p>
    <w:p>
      <w:pPr>
        <w:ind w:left="212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c>
          <w:tcPr>
            <w:tcW w:w="200" w:type="dxa"/>
            <w:vAlign w:val="bottom"/>
          </w:tcPr>
          <w:p>
            <w:pPr>
              <w:spacing w:after="0"/>
              <w:rPr>
                <w:sz w:val="17"/>
                <w:szCs w:val="17"/>
                <w:color w:val="auto"/>
              </w:rPr>
            </w:pPr>
          </w:p>
        </w:tc>
        <w:tc>
          <w:tcPr>
            <w:tcW w:w="24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JUNE 30,</w:t>
            </w:r>
          </w:p>
        </w:tc>
        <w:tc>
          <w:tcPr>
            <w:tcW w:w="200" w:type="dxa"/>
            <w:vAlign w:val="bottom"/>
          </w:tcPr>
          <w:p>
            <w:pPr>
              <w:spacing w:after="0"/>
              <w:rPr>
                <w:sz w:val="17"/>
                <w:szCs w:val="17"/>
                <w:color w:val="auto"/>
              </w:rPr>
            </w:pPr>
          </w:p>
        </w:tc>
        <w:tc>
          <w:tcPr>
            <w:tcW w:w="242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86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$3,334,575</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$3,250,731</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$6,405,210</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$6,220,164</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1,868,093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1,912,083</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3,544,876</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3,713,344</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284,704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379,663</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544,642</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729,267</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384,333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387,363</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740,665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743,665</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62,211</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7,361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79,695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14,963</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held for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sale, net of minority interest.............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(4,986)</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(2,570)</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2,619,091</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2,681,484</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4,929,628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5,198,669</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715,484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569,247</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1,475,582</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1,021,495</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(184,911)</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(173,554)</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(361,068)</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(329,085)</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5,663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8,322</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8,481</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14,504</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(6,547)</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(12,864)</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(13,009)</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(38,166)</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net..........................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16,215</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40,058</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30,578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110,432</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(169,580)</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(138,038)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(335,018)</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(242,315)</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 extraordinary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545,904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431,209</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1,140,564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779,180</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227,642</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184,439</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475,614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350,994</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318,262</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246,770</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664,950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428,186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 on refinancing of debt,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of tax benefit of $2,600...............</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(3,900)</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318,262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242,870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664,950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424,286</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common share: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0.75</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0.73</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0.72</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610,904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575,848</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606,677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570,795</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dilutive potential common shares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646,716</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613,948</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644,719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607,934</w:t>
            </w:r>
          </w:p>
        </w:tc>
      </w:tr>
      <w:tr>
        <w:trPr>
          <w:trHeight w:val="203"/>
        </w:trPr>
        <w:tc>
          <w:tcPr>
            <w:tcW w:w="486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 The statement of operations for the six months ended June 30, 1999 includes certain reclassifications and adjustments relating to the three months ended March 31, 1999. See Note 1.</w:t>
      </w:r>
    </w:p>
    <w:p>
      <w:pPr>
        <w:sectPr>
          <w:pgSz w:w="11900" w:h="16838" w:orient="portrait"/>
          <w:cols w:equalWidth="0" w:num="1">
            <w:col w:w="10220"/>
          </w:cols>
          <w:pgMar w:left="240" w:top="312" w:right="1439" w:bottom="379"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40" w:top="312" w:right="1439" w:bottom="379"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CONDENSED CONSOLIDATED STATEMENT OF STOCKHOLDERS' EQUITY</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8"/>
                <w:szCs w:val="18"/>
                <w:color w:val="auto"/>
                <w:w w:val="97"/>
              </w:rPr>
              <w:t>ACCUMULATED</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w:t>
            </w:r>
          </w:p>
        </w:tc>
        <w:tc>
          <w:tcPr>
            <w:tcW w:w="136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1160" w:type="dxa"/>
            <w:vAlign w:val="bottom"/>
          </w:tcPr>
          <w:p>
            <w:pPr>
              <w:spacing w:after="0"/>
              <w:rPr>
                <w:sz w:val="17"/>
                <w:szCs w:val="17"/>
                <w:color w:val="auto"/>
              </w:rPr>
            </w:pP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PAID-IN</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RETAINED</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COMPREHENSIVE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TREASURY</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STOCK</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BENEFIT TRUST</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$6,083</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$4,091,525</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6"/>
              </w:rPr>
              <w:t>$1,066,506</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$(420,804)</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$(2,821)</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$(367,993)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warrants exercised,</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including tax benefits...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240,197</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21,268</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(104,016)</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of employee stock</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 trust to market</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56,234</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(56,234)</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conversion of</w:t>
            </w: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260,588</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21,350</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664,950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June 30, 1999........</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$6,251</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$4,691,162</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$1,731,456</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$(524,820)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$(424,227)</w:t>
            </w:r>
          </w:p>
        </w:tc>
      </w:tr>
      <w:tr>
        <w:trPr>
          <w:trHeight w:val="203"/>
        </w:trPr>
        <w:tc>
          <w:tcPr>
            <w:tcW w:w="32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840" w:firstLine="527"/>
        <w:spacing w:after="0" w:line="23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 The statement of stockholders' equity includes certain reclassifications and adjustments relating to the three months ended March 31, 1999. See Note 1.</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80"/>
          </w:cols>
          <w:pgMar w:left="240" w:top="312" w:right="3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440" w:type="dxa"/>
            <w:vAlign w:val="bottom"/>
          </w:tcPr>
          <w:p>
            <w:pPr>
              <w:spacing w:after="0"/>
              <w:rPr>
                <w:sz w:val="17"/>
                <w:szCs w:val="17"/>
                <w:color w:val="auto"/>
              </w:rPr>
            </w:pPr>
          </w:p>
        </w:tc>
        <w:tc>
          <w:tcPr>
            <w:tcW w:w="2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664,950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424,286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740,665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743,665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247,007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 in subsidiaries......................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9,757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37,789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(17,532)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(65,998)</w:t>
            </w: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Effect of merger costs, asset impairments and unusual</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items.................................................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4,689</w:t>
            </w: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assets and liabilities, net of effects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acquisitions and divestitures: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 net.....................................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(261,592)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(85,416)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(18,567)</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32,336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38,613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(350,295)</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(358,941)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 and other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(271,101)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35,635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9,177</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(44,761)</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784,805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738,853</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57,837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(644,515)</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(1,402,532)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(614,085)</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(735,801)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502,681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455,262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minority interests........................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(876,232)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11,649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(11,160)</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(750,543)</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(2,512,626)</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1,814,726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3,469,463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(2,021,837)</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(2,378,388)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(83,236)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proceeds from issuance of common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202,997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treasury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739,161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common stock options and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warrants...............................................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165,110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59,605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(15,667)</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(used in) financing activities.........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(42,001)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1,993,935</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1,865</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Increase (decrease) in cash and cash equivalents............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220,141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86,873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189,942</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end of period..................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80,999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410,083</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 The statement of cash flows for the six months ended June 30, 1999 includes certain reclassifications and adjustments relating to the three months ended March 31, 1999. See Note 1.</w:t>
      </w:r>
    </w:p>
    <w:p>
      <w:pPr>
        <w:sectPr>
          <w:pgSz w:w="11900" w:h="16838" w:orient="portrait"/>
          <w:cols w:equalWidth="0" w:num="1">
            <w:col w:w="10219"/>
          </w:cols>
          <w:pgMar w:left="240" w:top="312" w:right="1440" w:bottom="784"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784"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COMPREHENSIVE INCOME</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c>
          <w:tcPr>
            <w:tcW w:w="2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38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38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w w:val="99"/>
              </w:rPr>
              <w:t>Net income........................................</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$318,262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$242,870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$ 664,950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$424,286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comprehensive income (loss):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Foreign currency translation adjustment.........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(42,471)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(20,560)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(104,016)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(53,665)</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Comprehensive income..............................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$275,791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$222,310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$ 560,934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$370,621</w:t>
            </w:r>
          </w:p>
        </w:tc>
      </w:tr>
      <w:tr>
        <w:trPr>
          <w:trHeight w:val="203"/>
        </w:trPr>
        <w:tc>
          <w:tcPr>
            <w:tcW w:w="5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accompanying notes are an integral part of these condensed consolidated financial statements. The statement of comprehensive income for the six months ended June 30, 1999 includes certain reclassifications and adjustments relating to the three months ended March 31, 1999. See Note 1.</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condensed consolidated financial statements of Waste Management, Inc. and subsidiaries (the "Company") presented herein are unaudited. In the opinion of management, these financial statements include all adjustments (which, subject to the discussion below in Note 1 "Revisions," include only normal recurring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Company's Annual Report on Form 10-K for the year ended December 31, 1998.</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reported amounts of assets, liabilities, income and expenses and disclosures of contingent assets and liabilities at the date of the financial statements and the reported amounts for certain revenues and expenses during the reporting period. Future events could alter such estimates in the near term and actual results could differ materially from those estimates. See "Management's Discussion and Analysis" herein.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REVISIONS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has revised certain items included in its previously reported financial statements for the three months ended March 31, 1999. Below is a comparison of the previously reported and revised Condensed Consolidated Statement of Operations for the three months ended March 31, 1999. Except as otherwise expressly stated in the Notes, all financial information in this Quarterly Report on Form 10-Q is presented inclusive of such changes.</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OPERATIONS</w:t>
      </w:r>
    </w:p>
    <w:p>
      <w:pPr>
        <w:jc w:val="right"/>
        <w:ind w:right="3899"/>
        <w:spacing w:after="0" w:line="238" w:lineRule="auto"/>
        <w:rPr>
          <w:sz w:val="20"/>
          <w:szCs w:val="20"/>
          <w:color w:val="auto"/>
        </w:rPr>
      </w:pPr>
      <w:r>
        <w:rPr>
          <w:rFonts w:ascii="Courier New" w:cs="Courier New" w:eastAsia="Courier New" w:hAnsi="Courier New"/>
          <w:sz w:val="18"/>
          <w:szCs w:val="18"/>
          <w:color w:val="auto"/>
        </w:rPr>
        <w:t>FOR THE THREE MONTHS ENDED MARCH 31, 1999</w:t>
      </w:r>
    </w:p>
    <w:p>
      <w:pPr>
        <w:jc w:val="right"/>
        <w:ind w:right="3899"/>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PREVIOUSLY</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REPORTED</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AS REVISED</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Operating revenues..........................................</w:t>
            </w:r>
          </w:p>
        </w:tc>
        <w:tc>
          <w:tcPr>
            <w:tcW w:w="14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$3,070,635</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$3,070,635</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1,641,323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1,676,783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258,194</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259,938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350,329</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356,332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costs..............................................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33,126</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17,484</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2,282,972</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2,310,537</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787,663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760,098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(176,157)</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(176,157)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2,818</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(6,462)</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net.........................................</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16,963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14,363</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(162,838)</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(165,438)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624,825</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594,660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260,551</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247,972</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364,274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346,688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Basic earnings per common share.............................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Diluted earnings per common share...........................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0.55</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components of the $30.2 million of net adjustments to decrease previously reported income before income taxes are as follows: (i) a decrease of $24.0 million to eliminate a retroactive application of changes in estimates of the Company's final closure and post-closure reserves related to certain</w:t>
      </w:r>
    </w:p>
    <w:p>
      <w:pPr>
        <w:sectPr>
          <w:pgSz w:w="11900" w:h="16838" w:orient="portrait"/>
          <w:cols w:equalWidth="0" w:num="1">
            <w:col w:w="10219"/>
          </w:cols>
          <w:pgMar w:left="240" w:top="31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landfills in the Eastern</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Area of its North American solid waste operations; (ii) a decrease of $8.3 million to eliminate a retroactive application of changes in estimates of final closure and post-closure reserves relating to two ash monofil landfills; (iii) a decrease of $5.7 million to eliminate a retroactive application, from the date of the WM Holdings Merger, of an extension in the useful life of certain waste-to-energy facilities; (iv) a decrease of $2.2 million for miscellaneous adjustments; and (v) an increase of $10 million for a revision of remediation liabilities associated with the Company's international operations that was identified but not recorded in the three months ended March 31,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COMBINATIONS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16, 1998, the Company, then known as USA Waste Services, Inc., completed a merger accounted for as a pooling of interests with Waste Management, Inc., which was subsequently renamed Waste Management Holdings, Inc. ("WM Holdings") (the "WM Holdings Merger"). At the effective time of the WM Holdings Merger, the Company changed its name to Waste Management, Inc. On December 31, 1998, the Company consummated a merger with Eastern Environmental Services, Inc. ("Eastern") (the "Eastern Merger") accounted for using the pooling of interests method of accounting.</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WM Holdings Merger and the Eastern Merger, the Company incurred significant merger costs and unusual items in the third and fourth quarters of 1998 as described in the Company's 1998 Annual Report on Form 10-K. Additionally, the Company has recorded $62.2 million and $79.7 million of merger costs for the three and six months ended June 30, 1999, respectively, and expects to record approximately $27.4 million throughout the remainder of 1999 for merger costs that are transitional in nature and not accruable until incurred or committed.</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is in the process of settling its obligations under the WM Holdings defined benefit plan which was terminated as of December 31, 1998 and currently intends to liquidate the plan's assets and settle its obligations to participants. Actual cash cost of settling the plan can not be recorded until paid and is currently estimated to be approximately $215.0 million, an increase of approximately $90.0 million over the previous estimate. This increase is due to the availability of updated census data and revised actuarial assumptions in the formulation of the estimate. Due to the necessary review and approval process, management expects the payout to certain categories of participants to occur in 1999, with the remaining participants expected to be paid in 2000.</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Certain WM Holdings' employee stock option plans included change of control provisions that were activated as a result of the WM Holdings Merger whereby the option holder received certain put rights that required charges to earnings through the put periods. To the extent the market value of the Company's common stock exceeded $54.34 per share at the end of a quarter (the "measurement date"), the Company was required to record additional charges to earnings until July 16, 1999, at which time all put rights expired. The expense related to these stock option put rights would have had no impact on stockholders' equity, as the offset was a direct increase to additional paid in capital, since these put rights were satisfied by the issuance of common stock. As the market value of the Company's common stock was less than $54.34 per share as of the date the put rights expired, there will be no charges to earnings in future periods related to the put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payments of $153.9 million and $295.9 million were made by the Company during the three and six months ended June 30, 1999, respectively, related to merger costs recorded in 1998 and 1999 for the WM Holdings Merger and the Eastern Merger.</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Merger costs include estimates for anticipated losses related to the sales of assets pursuant to governmental orders and other asset divestiture plans.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w:t>
      </w:r>
    </w:p>
    <w:p>
      <w:pPr>
        <w:sectPr>
          <w:pgSz w:w="11900" w:h="16838" w:orient="portrait"/>
          <w:cols w:equalWidth="0" w:num="1">
            <w:col w:w="10219"/>
          </w:cols>
          <w:pgMar w:left="240" w:top="312" w:right="1440" w:bottom="987" w:gutter="0" w:footer="0" w:header="0"/>
        </w:sectPr>
      </w:pP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987"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receive. Accordingly, dependent upon actual future experience and the resolution of certain contingencies, the amount of losses ultimately recorded by the Company could materially differ from amounts that have been recorded by the Company. During the second quarter of 1999, the Company resolved an outstanding contingency regarding its sale of assets to Republic Services, Inc., which reduced the loss on that sale by approximately $80 million. Offsetting this amount, the Company (i) consummated its sale of 51% of its high organic waste fuels blending and on-site industrial cleaning services which resulted in losses of approximately $5 million greater than previously estimated; (ii) increased its anticipated losses by approximately $14 million related to the assets required to be sold pursuant to the Eastern Merger; and (iii) identified other non-core operations for disposition that have a book value of approximately $36 million greater than the estimated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six months ended June 30, 1999, the Company consummated over 150 acquisitions that were accounted for under the purchase method of accounting. The total cost of acquisitions was approximately $720.4 million, which includes cash paid, common stock issued and debt assumed.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JUNE 30,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Bank borrowings.............................................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236,845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$ 1,903,100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paper, average interest of 5.3% in 1999 and 5.7%</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1998...................................................</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1,507,325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840,108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notes and debentures, interest 6% to 8 3/4%, due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through 2029..............................................</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6,947,895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5,959,884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Convertible subordinated notes due 2002..................</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535,275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535,275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1/2% Convertible subordinated notes due 2001..............</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148,370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 Convertible subordinated debentures due 2006.............</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114,445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5.75% Convertible subordinated notes due 2005...............</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456,601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453,680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Tax-exempt and project bonds, principal payable in periodic</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installments, maturing through 2021, fixed and variable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rates ranging from 3.55% to 9.25% at June 30,</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1,178,771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1,220,634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Installment loans, notes payable and other, interest to 14%,</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maturing through 2017.....................................</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439,264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522,447</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11,301,976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11,697,943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Less current maturities.....................................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369,592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10,932,384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$11,114,201</w:t>
            </w:r>
          </w:p>
        </w:tc>
      </w:tr>
      <w:tr>
        <w:trPr>
          <w:trHeight w:val="203"/>
        </w:trPr>
        <w:tc>
          <w:tcPr>
            <w:tcW w:w="6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June 30, 1999, there were no borrowings outstanding under the Company's $3.0 billion syndicated loan facility (the "Syndicated Facility") or the Company's $2.0 billion senior revolving credit facility (the "Credit Facility"). The facility fees were 0.08% and 0.105% per annum under the Syndicated Facility and Credit Facility, respectively, at June 30, 1999. The Company had issued letters of credit of $1.2 billion in aggregate under the Syndicated Facility and Credit Facility at June 30, 1999. Additionally, the Company has two multi-currency credit facilities which had an outstanding balance as of June 30, 1999 totaling euro 229.0 million (equivalent to approximately $236.8 million). The interest rates on the two outstanding loans under the multi-currency credit facilities at June 30, 1999, were 5.8% and 3.0%.</w:t>
      </w:r>
    </w:p>
    <w:p>
      <w:pPr>
        <w:sectPr>
          <w:pgSz w:w="11900" w:h="16838" w:orient="portrait"/>
          <w:cols w:equalWidth="0" w:num="1">
            <w:col w:w="10219"/>
          </w:cols>
          <w:pgMar w:left="240" w:top="312" w:right="1440" w:bottom="1440" w:gutter="0" w:footer="0" w:header="0"/>
        </w:sect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4, 1996, the Company issued $115.0 million of 5% convertible subordinated debentures, due on March 1, 2006. In March 1999, these debentures were called for redemption by the Company and subsequently converted into equity by the debenture holders. Approximately 4.0 million shares of the Company's common stock were issued upon such conversions.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5, 1996, the Company issued $150.0 million of 4 1/2% convertible subordinated notes, due June 1, 2001. In June 1999, these debentures were called for redemption by the Company and subsequently converted into equity by the debenture holders. Approximately 4.9 million shares of the Company's common stock were issued upon such conversions.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May 21, 1999, the Company completed a private placement of $1.15 billion of its senior notes. The Company issued $200.0 million of 6% senior notes, due 2001; $200.0 million of 6 1/2% senior notes due 2004; $500.0 million of 6 7/8% senior notes due 2009; and $250.0 million of 7 3/8% senior notes due 2029. The senior notes constitute senior and unsecured obligations of the Company ranking equal in right of payment with all other senior and unsecured obligations of the Company, as defined in the indenture. The 6% senior notes are 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difference in income taxes at the statutory federal income tax rate and the provision for income taxes for the three and six months ended June 30, 1999 and 1998, respectively, is primarily due to state and local income taxes and non-deductible costs related to acquired intangibles.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reconciles the number of common shares outstanding at June 30 of each year indicated to the weighted average number of common shares outstanding and the weighted average number of common and dilutive potential common shares outstanding for the respective three and six month periods for the purposes of calculating basic and dilutive earnings per common share (in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2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060" w:type="dxa"/>
            <w:vAlign w:val="bottom"/>
          </w:tcPr>
          <w:p>
            <w:pPr>
              <w:spacing w:after="0"/>
              <w:rPr>
                <w:sz w:val="17"/>
                <w:szCs w:val="17"/>
                <w:color w:val="auto"/>
              </w:rPr>
            </w:pPr>
          </w:p>
        </w:tc>
        <w:tc>
          <w:tcPr>
            <w:tcW w:w="22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JUNE 30,</w:t>
            </w:r>
          </w:p>
        </w:tc>
        <w:tc>
          <w:tcPr>
            <w:tcW w:w="20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060" w:type="dxa"/>
            <w:vAlign w:val="bottom"/>
          </w:tcPr>
          <w:p>
            <w:pPr>
              <w:spacing w:after="0"/>
              <w:rPr>
                <w:sz w:val="17"/>
                <w:szCs w:val="17"/>
                <w:color w:val="auto"/>
              </w:rPr>
            </w:pPr>
          </w:p>
        </w:tc>
        <w:tc>
          <w:tcPr>
            <w:tcW w:w="22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Number of common shares outstanding............</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617,181</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592,323</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617,181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592,323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using weighted average common shares</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(6,277)</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(16,475)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(21,528)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610,904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575,848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606,677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570,795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effect of common stock options and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warrants.....................................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9,847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9,906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effect of convertible subordinated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notes and debentures.........................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25,965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31,630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31,648</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 dilutive</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potential common shares outstanding..........</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646,716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613,948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644,719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607,934</w:t>
            </w:r>
          </w:p>
        </w:tc>
      </w:tr>
      <w:tr>
        <w:trPr>
          <w:trHeight w:val="203"/>
        </w:trPr>
        <w:tc>
          <w:tcPr>
            <w:tcW w:w="50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the three and six months ended June 30, 1999, interest (net of taxes) of $6.3 million and $13.5 million, respectively, has been added to net income for the diluted earnings per share calculation. For</w:t>
      </w: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581"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three and six months ended June 30, 1998, interest (net of taxes) of $7.6 million and $15.1 million, respectively, has been added to net income for the diluted earnings per share calculation.</w:t>
      </w:r>
    </w:p>
    <w:p>
      <w:pPr>
        <w:spacing w:after="0" w:line="20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At June 30, 1999, there were approximately 59 million shares of common stock potentially issuable with respect to stock options, warrants and convertible debt, which could dilute basic earnings per share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COMPREHENSIVE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Comprehensive income represents the change in equity of an enterprise from transactions and other events and circumstances from nonowner sources and includes all changes in equity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FOREIGN</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MINIMUM</w:t>
            </w:r>
          </w:p>
        </w:tc>
        <w:tc>
          <w:tcPr>
            <w:tcW w:w="15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5"/>
              </w:rPr>
              <w:t>ACCUMULATED</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CURRENCY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PENSION</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OTHER</w:t>
            </w:r>
          </w:p>
        </w:tc>
      </w:tr>
      <w:tr>
        <w:trPr>
          <w:trHeight w:val="203"/>
        </w:trPr>
        <w:tc>
          <w:tcPr>
            <w:tcW w:w="52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LIABILITY</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COMPREHENSIVE</w:t>
            </w:r>
          </w:p>
        </w:tc>
      </w:tr>
      <w:tr>
        <w:trPr>
          <w:trHeight w:val="203"/>
        </w:trPr>
        <w:tc>
          <w:tcPr>
            <w:tcW w:w="52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52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Balance, December 31, 1998.......................</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$(353,642)</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$(67,162)</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$(420,804)</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Current-period change..........................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(104,016)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(104,016)</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Balance, June 30, 1999...........................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$(457,658)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$(67,162)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$(524,820)</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ENVIRONMENTAL LIABILITIES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material financial commitments for the costs associated with its future obligations for final closure, which is the closure of the final cell of a landfill, and the regulatory required costs associated with existing operations at a hazardous waste treatment, storage or disposal facility which are subject to the Toxic Substances Control Act ("TSCA") or the Resource Conservation and Recovery Act ("RCRA"), and also, the post-closure of such facilities. For landfills, estimates for final closure and post-closure costs are developed using input from the Company's engineers and accountants and are reviewed by management, typically at least once per year. The estimated final closure and post-closure liabilities are accrued at a rate discounted to present dollars and charged to expense as airspace is consumed. At the time the site discontinues accepting waste and is closed, the total estimated final closure costs and the post-closure costs will be accrued to the required present value of such estimates.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established procedures to evaluate its potential remedial liabilities at closed sites which it owns or operates, or to which it transported waste, including 84 sites listed on the Superfund National Priorities List ("NPL") as of June 30, 1999. 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a provision is made in its consolidated financial statements.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final closure and post-closure liabilities at the Company's landfills, the extent of the Company's responsibility for remediation of particular closed sites and the method and ultimate cost of remediation require a number of assumptions and are inherently difficult. As such, the ultimate outcome may differ from current estimates. However, the Company believes that its extensive experience in the environmental services business, as well as its involvement with a large number of sites, provide a reasonable basis for 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potentially responsible</w:t>
      </w:r>
    </w:p>
    <w:p>
      <w:pPr>
        <w:sectPr>
          <w:pgSz w:w="11900" w:h="16838" w:orient="portrait"/>
          <w:cols w:equalWidth="0" w:num="1">
            <w:col w:w="10219"/>
          </w:cols>
          <w:pgMar w:left="240" w:top="312" w:right="1440" w:bottom="176"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76"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parties to contribute to the settlement of such liabilities, or other factors could necessitate the recording of additional liabilities which could be material.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these claims, it regularly considers settlement opportunities when appropriate terms are offered. Settlements of $4.5 million and $7.1 million in the three and six months ended June 30, 1999, respectively, and $37.5 million and $42.0 million for the three and six months ended June 30, 1998, respectively, have been included in operating costs and expenses as an offset to environmental expenses.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COMMITMENTS AND CONTINGENCIES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 Letters of credit, performance bonds and other guarantees have been provided by the Company supporting tax-exempt bonds, performance of final closure and post-closure requirements, insurance policies, and other contracts. The insurance policies are issued by a wholly-owned insurance subsidiary of the Company, the sole business of which is to issue such policies to customers of the Company. Management does not expect these financial instruments to have a material effect on the Company's consolidated financial statements as virtually no claims have been made in the past against these financial instruments.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the Company is a party to financial instruments with off-balance sheet risk, such as bank letters of credit, performance bonds and other guarantees, which are not reflected in the condensed consolidated balance sheets. Management does not expect any material losses to result from these off-balance sheet instruments as virtually no claims have been made in the past against these financial instruments.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matters -- The Company's operations are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7 for further discussion.</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Litigation -- 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which was amended in July 1998 to add WM Holdings' outside auditor and another former officer as additional defendants. The amended complaint seeks recovery on behalf of a proposed class of all purchasers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784"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WM Holdings securities between November 3, 1994, and February 24, 1998. The settlement agreement with the plaintiffs is still subject to the requirements of notice to the class and final approval by the Court after a hearing. There can be no assurances that the Court will find the settlement to be fair to the class. Also, because otherwise eligible members of the class may opt out of the lawsuit, there can be no assurances that WM Holdings will not be a party to additional lawsuits or claims brought by open market purchasers of the Company's securities.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Two alleged purchasers of WM Holdings' securities are pursuing an action arising out of the same set of facts in Illinois state court alleging violations of Illinois state law. One of these purchasers, together with two other alleged purchasers, has initiated another action based on the same set of facts in federal court in Florida alleging violations of the federal securities laws.</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there are several other actions and claims that arise out of the same set of facts that have been brought by business owners who received WM Holdings common stock in the sales of their businesses to WM Holdings. These actions and claims, one of which purports to be class action, allege, among other things, breach of warranty or breach of contract based on WM Holdings' restatement of earnings in February 1998. In April 1999, courts having jurisdiction over two such actions, including the purported class action, granted summary judgement against WM Holdings and in favor of the individual plaintiffs who brought the respective claims on the issue of breach of contract. The extent of damages, if any, in either action has not yet been determined.</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consolidated federal securities class action pending in federal court in the Northern District of Illinois.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WM Holdings intends to defend itself vigorously in all the above matters.</w:t>
      </w:r>
    </w:p>
    <w:p>
      <w:pPr>
        <w:spacing w:after="0" w:line="18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that its reported operating income for the three months ended March 31, 1999 may have included certain non-recurring pretax income items. Between July 8, 1999 and August 4, 1999, several lawsuits that purport to be based on one or more of these announcements have been filed against the Company and certain of its officers and directors in the United States District Court for the Southern District of Texas.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w:t>
      </w:r>
    </w:p>
    <w:p>
      <w:pPr>
        <w:sectPr>
          <w:pgSz w:w="11900" w:h="16838" w:orient="portrait"/>
          <w:cols w:equalWidth="0" w:num="1">
            <w:col w:w="10219"/>
          </w:cols>
          <w:pgMar w:left="240" w:top="312" w:right="1440" w:bottom="784"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784"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addition, two of the Company's shareholders have filed lawsuits against certain officers and directors of the Company in connection with the events surrounding the Company's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who purchased the Company's common stock on June 30, 1999. The letter demands that the Administrative Committee of the Plan bring an action against the Company and certain selling officers and directors for losses allegedly sustained by the participants in their stock purchases. These Plan participants have indicated in the letter that, absent action by the Plan, they intend to sue the Company and the directors and officers on behalf of the Plan and its participants.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New York Stock Exchange has notified the Company that its Market Trading Analysis Department is reviewing transactions in the common stock of the Company prior to the July 6, 1999 earnings forecast announcement.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received a Civil Investigative Demand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purports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seeks compensatory and punitive damages, costs, restitution with interest, and such other relief as the Court deems proper.</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784"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litigation or inquiries may have a material adverse impact on their respective financial conditions or results of operations in one or more future periods. The Company and WM Holdings intend to defend themselves vigorously in all the above matters.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Such proceedings arising under Superfund typically involve numerous waste generators and other waste transportation and disposal companies and seek to allocate or recover costs associated with site investigation and cleanup, which costs could be substantial.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June 1999, the Company was notified that the EPA is conducting a civil investigation of alleged chlorofluorocarbons ("CFC") disposal violations by Waste Management of Massachusetts, Inc. ("WMMA")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w:t>
      </w:r>
    </w:p>
    <w:p>
      <w:pPr>
        <w:sectPr>
          <w:pgSz w:w="11900" w:h="16838" w:orient="portrait"/>
          <w:cols w:equalWidth="0" w:num="1">
            <w:col w:w="10219"/>
          </w:cols>
          <w:pgMar w:left="240" w:top="312" w:right="1440" w:bottom="987" w:gutter="0" w:footer="0" w:header="0"/>
        </w:sectPr>
      </w:pPr>
    </w:p>
    <w:p>
      <w:pPr>
        <w:spacing w:after="0" w:line="1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987"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investigation, and the Company believes that the ultimate outcome of this matter will not have a material adverse effect on the Company's consolidated financial statements.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June 30, 1999, the Company or its subsidiaries had been notified that they are potentially responsible parties in connection with 84 locations listed on the NPL. Of the 84 NPL sites at which claims have been made against the Company, 17 are sites which the Company has come to own over time. All of the NPL sites owned by the Company were initially sited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67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w:t>
      </w:r>
    </w:p>
    <w:p>
      <w:pPr>
        <w:spacing w:after="0" w:line="39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has been advised by the United States Department of Justice that Laurel Ridge Landfill, Inc., a wholly owned subsidiary of the Company as a result of the Company's acquisition of United Waste Systems, Inc. ("United") in August 1997, allegedly committed certain violations of the Clean Water Act at the Laurel Ridge Landfill in Kentucky. The alleged activities occurred during a period prior to the Company's acquisition of United. In May 1999, the Company pleaded guilty to a criminal misdemeanor and, subject to court approval, agreed to pay a fine and perform in kind services. The Company believes that the ultimate outcome of this matter will not have a material adverse effect on the Company's consolidated financial statements.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1999, the Company was notified that All Waste Systems, Inc. ("All Waste") and two other indirect subsidiaries acquired in the Eastern Merger, as well as a current employee of the Company, were suspended from future contracting with any agency in the executive branch of the United States Government pending proceedings. The suspension and potential debarment are based on a September 1997 conviction of All Waste of mail fraud and other activities that occurred prior to the ownership of the entities by Eastern. In May 1999, the United States Government removed the three entities from the suspension and proposed debarment list due to a lack of nexus between the activities in question and the current ownership of the Company.</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w:t>
      </w:r>
    </w:p>
    <w:p>
      <w:pPr>
        <w:sectPr>
          <w:pgSz w:w="11900" w:h="16838" w:orient="portrait"/>
          <w:cols w:equalWidth="0" w:num="1">
            <w:col w:w="10219"/>
          </w:cols>
          <w:pgMar w:left="240" w:top="312" w:right="1440" w:bottom="987" w:gutter="0" w:footer="0" w:header="0"/>
        </w:sectPr>
      </w:pPr>
    </w:p>
    <w:p>
      <w:pPr>
        <w:spacing w:after="0" w:line="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987"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condensed consolidated financial statements for potential recoveries.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Matters -- During the first quarter of 1995, WMI Sellbergs AB, a Swedish subsidiary, received an assessment from the Swedish Tax Authority of approximately 417 million Krona (approximately $49.3 million based on June 30, 1999 exchange rates) plus interest from the date of the assessment, relating to a transaction completed in 1990. On November 4, 1998, the County Court of the County of Stockholm ruled in favor of WMI Sellbergs AB. However, the Swedish Tax Authority has appealed that decision. The Company believes that all appropriate tax returns and disclosures were properly filed at the time of the transaction and intends to vigorously contest the appeal.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NEW ACCOUNTING PRONOUNCEMENT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the Company in its first fiscal quarter in 2001. Management is currently assessing the impact that the adoption of SFAS No. 133 will have on the Company's consolidated financial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SEGMENT AND RELATED INFORMATION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Company's North American solid waste management operations are its principal reportable segment. This segment provides integrated waste management services consisting of collection, transfer, disposal (solid waste landfill, hazardous waste landfill and waste-to-energy), recycling, and other services provided to commercial, industrial, municipal and residential customers. Similar operations in markets outside of North America are disclosed as a separate segment.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and includes certain other business lines that were in part sold to Vivendi SA on June 30, 1999.</w:t>
      </w:r>
    </w:p>
    <w:p>
      <w:pPr>
        <w:sectPr>
          <w:pgSz w:w="11900" w:h="16838" w:orient="portrait"/>
          <w:cols w:equalWidth="0" w:num="1">
            <w:col w:w="10219"/>
          </w:cols>
          <w:pgMar w:left="240" w:top="312" w:right="1440" w:bottom="1440" w:gutter="0" w:footer="0" w:header="0"/>
        </w:sect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18</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80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Summarized financial information concerning the Company's reportable</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segments is shown in the following table. Prior period information has been</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restated to conform to the segments described above, which are based on the</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structure and internal organization of the Company as of June 30, 1999 (in</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3280" w:type="dxa"/>
            <w:vAlign w:val="bottom"/>
          </w:tcPr>
          <w:p>
            <w:pPr>
              <w:spacing w:after="0"/>
              <w:rPr>
                <w:sz w:val="24"/>
                <w:szCs w:val="24"/>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1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WM</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6"/>
              </w:rPr>
              <w:t>NON-SOLID</w:t>
            </w:r>
          </w:p>
        </w:tc>
        <w:tc>
          <w:tcPr>
            <w:tcW w:w="32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CORPORATE</w:t>
            </w:r>
          </w:p>
        </w:tc>
        <w:tc>
          <w:tcPr>
            <w:tcW w:w="122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WASTE</w:t>
            </w: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FUNCTIONS(A)</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28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1999</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operating revenues(b)...</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$2,701,147</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$386,713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$246,715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$3,334,575</w:t>
            </w: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taxes(c)..................</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781,014</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40,602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22,757</w:t>
            </w:r>
          </w:p>
        </w:tc>
        <w:tc>
          <w:tcPr>
            <w:tcW w:w="3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(46,928)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797,445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1998</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operating revenues(b)...</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$2,626,835</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$376,246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$247,650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$3,250,731</w:t>
            </w: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taxes(c)..................</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658,608</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30,626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34,349</w:t>
            </w:r>
          </w:p>
        </w:tc>
        <w:tc>
          <w:tcPr>
            <w:tcW w:w="3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(151,961)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571,622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 Ended: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1999</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operating revenues(b)...</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$5,212,680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$757,804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$434,726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$6,405,210</w:t>
            </w: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taxes(c)..................</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1,484,135</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76,049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49,299</w:t>
            </w:r>
          </w:p>
        </w:tc>
        <w:tc>
          <w:tcPr>
            <w:tcW w:w="3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(34,456)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1,575,027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1998</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operating revenues(b)...</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$5,023,629</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$744,798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$451,737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$6,220,164</w:t>
            </w: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taxes(c)..................</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1,152,724</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58,846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47,704</w:t>
            </w:r>
          </w:p>
        </w:tc>
        <w:tc>
          <w:tcPr>
            <w:tcW w:w="3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(225,386)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1,033,888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420"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(except for limited amounts of locally negotiated and managed project debt), administration of corporate tax function, the corporate insurance function, management of closed landfill and related insurance recovery functions, administration of certain international remediation liabilities along with other typical administrative functions.</w:t>
      </w:r>
    </w:p>
    <w:p>
      <w:pPr>
        <w:spacing w:after="0" w:line="209" w:lineRule="exact"/>
        <w:rPr>
          <w:rFonts w:ascii="Courier New" w:cs="Courier New" w:eastAsia="Courier New" w:hAnsi="Courier New"/>
          <w:sz w:val="18"/>
          <w:szCs w:val="18"/>
          <w:color w:val="auto"/>
        </w:rPr>
      </w:pPr>
    </w:p>
    <w:p>
      <w:pPr>
        <w:ind w:left="540" w:right="2640"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Non-Solid Waste revenues are net of inter-segment revenue with North American Solid Waste of $25.7 million and $52.8 million for the three and six months ended June 30, 1999, respectively, and $35.8 million and $54.0 million for the three and six months ended June 30, 1998, respectively. There are no other significant sales between segments.</w:t>
      </w:r>
    </w:p>
    <w:p>
      <w:pPr>
        <w:spacing w:after="0" w:line="208" w:lineRule="exact"/>
        <w:rPr>
          <w:rFonts w:ascii="Courier New" w:cs="Courier New" w:eastAsia="Courier New" w:hAnsi="Courier New"/>
          <w:sz w:val="18"/>
          <w:szCs w:val="18"/>
          <w:color w:val="auto"/>
        </w:rPr>
      </w:pPr>
    </w:p>
    <w:p>
      <w:pPr>
        <w:ind w:left="540" w:right="2420" w:hanging="532"/>
        <w:spacing w:after="0" w:line="273"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Annual Report on Form 10-K for the year ended December 31, 1998.</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860"/>
          </w:cols>
          <w:pgMar w:left="240" w:top="312" w:right="799"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19</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reconciliation of total EBIT reported above to net income is as follows</w:t>
      </w: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4320" w:type="dxa"/>
            <w:vAlign w:val="bottom"/>
          </w:tcPr>
          <w:p>
            <w:pPr>
              <w:spacing w:after="0"/>
              <w:rPr>
                <w:sz w:val="24"/>
                <w:szCs w:val="24"/>
                <w:color w:val="auto"/>
              </w:rPr>
            </w:pPr>
          </w:p>
        </w:tc>
        <w:tc>
          <w:tcPr>
            <w:tcW w:w="2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6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320" w:type="dxa"/>
            <w:vAlign w:val="bottom"/>
          </w:tcPr>
          <w:p>
            <w:pPr>
              <w:spacing w:after="0"/>
              <w:rPr>
                <w:sz w:val="17"/>
                <w:szCs w:val="17"/>
                <w:color w:val="auto"/>
              </w:rPr>
            </w:pPr>
          </w:p>
        </w:tc>
        <w:tc>
          <w:tcPr>
            <w:tcW w:w="2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EBIT, as reported above.................</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$797,445</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$571,622</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$1,575,027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$1,033,888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(Plus) less:</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costs..........................</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62,211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7,361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79,695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14,963</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19,750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from continuing operations held</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 sale, net......................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184,911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173,554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361,068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329,085</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(5,663)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(8,322)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(14,504)</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6,547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12,864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13,009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38,166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(16,215)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(30,578)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(110,432)</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545,904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431,209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1,140,564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779,180</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227,642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184,439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475,614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350,994</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318,262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246,770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664,950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428,186</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$318,262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$242,870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664,950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424,286</w:t>
            </w:r>
          </w:p>
        </w:tc>
      </w:tr>
      <w:tr>
        <w:trPr>
          <w:trHeight w:val="203"/>
        </w:trPr>
        <w:tc>
          <w:tcPr>
            <w:tcW w:w="432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SUBSEQUENT EVENTS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that its reported operating income for the three months ended March 31, 1999 may have included certain non-recurring pretax income items. Between July 8, 1999 and August 4, 1999, several lawsuits that purport to be based on one or more of these announcements have been filed against the Company and certain of its officers and directors in the United States District Court for the Southern District of Texas.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addition, two of the Company's shareholders have filed lawsuits against certain officers and directors of the Company in connection with the events surrounding the Company's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the Company against these individuals for alleged breaches of fiduciary duty resulting from their alleged stock sales during the three-month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379"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who purchased the Company's common stock on June 30, 1999. The letter demands that the Administrative Committee of the Plan bring an action against the Company and certain selling officers and directors for losses allegedly sustained by the participants in their stock purchases. These Plan participants have indicated in the letter that, absent action by the Plan, they intend to sue the Company and the directors and officers on behalf of the Plan and its participants.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New York Stock Exchange has notified the Company that its Market Trading Analysis Department is reviewing transactions in the common stock of the Company prior to the July 6, 1999 earnings forecast announcement.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received a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Department of Justice with certain documents to assist it in its inquiry.</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purports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seeks compensatory and punitive damages, costs, restitution with interest, and such other relief as the Court deems proper.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or inquiries may have a material adverse impact on their respective financial conditions or results of operations in one or more future periods. The Company and WM Holdings intend to defend themselves vigorously in all the above matters.</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An Executive Committee of the Board of Directors of the Company has been formed consisting of Ralph V. Whitworth, Roderick M. Hills, Jerome P. York and Robert S. Miller. The Board of Directors has appointed Mr. Whitworth, a managing member of Relational Investors LLC, as Chairman of the Executive Committee.</w:t>
      </w:r>
    </w:p>
    <w:p>
      <w:pPr>
        <w:spacing w:after="0" w:line="18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Rodney R. Proto has relinquished his position as the Company's President and Chief Operating Officer and as a member of the Board of Directors. Earl E. DeFrates has resigned as Chief Financial Officer but will remain with the Company as Executive Vice President to assist senior management. Gregory T. Sangalis has resigned as the Company's General Counsel.</w:t>
      </w:r>
    </w:p>
    <w:p>
      <w:pPr>
        <w:sectPr>
          <w:pgSz w:w="11900" w:h="16838" w:orient="portrait"/>
          <w:cols w:equalWidth="0" w:num="1">
            <w:col w:w="10219"/>
          </w:cols>
          <w:pgMar w:left="240" w:top="312" w:right="1440" w:bottom="1440" w:gutter="0" w:footer="0" w:header="0"/>
        </w:sectPr>
      </w:pP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Company's Board of Directors has appointed Ralph V. Whitworth its Chairman. The Company's former Chairman, John E. Drury, will remain a member of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initiated a search for a new Chief Executive Officer, Chief Financial Officer and General Counsel. Pending the conclusion of this search, the Company's Board of Directors has appointed Robert S. Miller as the Company's Chief Executive Officer and President. Mr. Miller served as Chairman of the Board of the Company from July 1998 until May 1999 and was a director of WM Holdings from October 1997 to July 1998. Mr. Miller serves as Vice Chairman of Morrison Knudsen Corporation, an engineering and construction firm. He also served as Chief Executive Officer of Federal-Mogul Corporation from September 1996 until November 1996 and as Chairman of Morrison Knudsen Corporation from April 1995 until September 1996. In addition, since 1993 he has served as Vice President and Treasurer of Moore Mill and Lumber, a privately held forest product firm, and from 1992 to 1993, he served as Senior Partner of James D. Wolfensohn, Inc. an investment banking firm. From 1979 to 1992, Mr. Miller was with Chrysler Corporation ("Chrysler"), an automobile and truck manufacturing firm, rising to become Vice-Chairman of the Board after serving as Chrysler's Chief Financial Officer. Mr. Miller is a director of Federal-Mogul Corporation, Morrison Knudsen Corporation, Pope &amp; Talbot, Inc., and Symantec Corporation.</w:t>
      </w: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Company's Board of Directors has instituted a strategic initiative aimed at increasing shareholder value. The Company has engaged Chase Securities, Inc. and Donaldson, Lufkin &amp; Jenrette Securities Corporation as financial advisors to assist the Company in this matter. The plan calls for disposition of some or all of the Company's International assets, a substantial majority of the Company's non-core assets, and certain non-strategic North American solid waste assets that may account for up to 10% of the Company's operating revenues from that sector. The Company intends immediately to initiate the disposition of these assets, and plans to substantially complete these asset sales in the next 12 months, although there can be no assurance that these dispositions will be completed in the time frame contemplated. The Company expects to use the proceeds of these asset dispositions as they are realized to repay debt, repurchase shares and pursue tuck-in acquisitions.</w:t>
      </w:r>
    </w:p>
    <w:p>
      <w:pPr>
        <w:spacing w:after="0" w:line="38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response to the Company's current quarter results and revision of its future earnings estimates, long term debt and commercial paper ratings were lowered by Moody's and Standard &amp; Poor's credit rating agencies. The ratings continue to be under review and further ratings deterioration may result. An objective of the Company's strategic initiative is to maintain its long-term investment grade characteristics. There can be no assurance that such characteristics can be maintained.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light of the decline in credit ratings, the Company has ceased the issuance of commercial paper at this time. The Company expects to use existing credit facilities to redeem outstanding commercial paper and to meet future liquidity requirements. The Company expects to incur higher borrowing costs for the foreseeable future as a result of the above actions. The Company is consulting with its financial advisors to determine the optimal approach for structuring its credit facilities in light of its announced strategic initiatives.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discussion below and elsewhere in this Form 10-Q includes statements that are "forward-looking statements" within the meaning of Section 27A of the Securities Act of 1933 and Section 21E of the Securities Exchange Act of 1934.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 The words "may,"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207" w:lineRule="exact"/>
        <w:rPr>
          <w:sz w:val="20"/>
          <w:szCs w:val="20"/>
          <w:color w:val="auto"/>
        </w:rPr>
      </w:pPr>
    </w:p>
    <w:p>
      <w:pPr>
        <w:ind w:left="740" w:right="1999" w:hanging="205"/>
        <w:spacing w:after="0" w:line="271"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successfully integrate the operations of acquired companies with its existing operations, including risks and uncertainties relating to its ability to achieve projected earnings estimates, achieve administrative cost savings, rationalize collection routes, integrate information systems, implement an effective pricing strategy, and generally capitalize on its asset base and strategic position through its strategy of decentralized decision making, and the risks and uncertainties regarding government forced divestitures.</w:t>
      </w:r>
    </w:p>
    <w:p>
      <w:pPr>
        <w:spacing w:after="0" w:line="18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and the ability of the Company to accurately assess the prior existing liabilities and assets of acquisition candidates and the restraints imposed by federal and state statutes and agencies regarding market concentration and competitive behavior.</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208"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impact of environmental and other regulation on the Company's business, including risks and uncertainties concerning the ultimate cost to the Company of complying with final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385"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impact of pending or threatened litigation and governmental inquiries involving the Company.</w:t>
      </w:r>
    </w:p>
    <w:p>
      <w:pPr>
        <w:spacing w:after="0" w:line="208" w:lineRule="exact"/>
        <w:rPr>
          <w:rFonts w:ascii="Courier New" w:cs="Courier New" w:eastAsia="Courier New" w:hAnsi="Courier New"/>
          <w:sz w:val="18"/>
          <w:szCs w:val="18"/>
          <w:color w:val="auto"/>
        </w:rPr>
      </w:pPr>
    </w:p>
    <w:p>
      <w:pPr>
        <w:jc w:val="both"/>
        <w:ind w:left="740" w:right="2319" w:hanging="205"/>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quantification and accounting treatment of costs relating to the Company's determination to terminate the WM Holdings defined pension benefit plan as of December 31, 1998.</w:t>
      </w:r>
    </w:p>
    <w:p>
      <w:pPr>
        <w:spacing w:after="0" w:line="208" w:lineRule="exact"/>
        <w:rPr>
          <w:rFonts w:ascii="Courier New" w:cs="Courier New" w:eastAsia="Courier New" w:hAnsi="Courier New"/>
          <w:sz w:val="18"/>
          <w:szCs w:val="18"/>
          <w:color w:val="auto"/>
        </w:rPr>
      </w:pPr>
    </w:p>
    <w:p>
      <w:pPr>
        <w:jc w:val="both"/>
        <w:ind w:left="740" w:right="2739" w:hanging="205"/>
        <w:spacing w:after="0" w:line="279"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changes in estimates from ongoing analysis of site remediation requirements, final closure and post-closure issues, compliance and other audits and regulatory developments.</w:t>
      </w:r>
    </w:p>
    <w:p>
      <w:pPr>
        <w:spacing w:after="0" w:line="178" w:lineRule="exact"/>
        <w:rPr>
          <w:rFonts w:ascii="Courier New" w:cs="Courier New" w:eastAsia="Courier New" w:hAnsi="Courier New"/>
          <w:sz w:val="16"/>
          <w:szCs w:val="16"/>
          <w:color w:val="auto"/>
        </w:rPr>
      </w:pPr>
    </w:p>
    <w:p>
      <w:pPr>
        <w:ind w:left="740" w:right="1779" w:hanging="205"/>
        <w:spacing w:after="0" w:line="279"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changes in management and the ability of the Company to retain qualified individuals to serve as Chief Executive Officer, Chief Operating Officer, Chief Financial Officer and General Counsel.</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uncertainties relating to the Company's proposed strategic initiative, including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w:t>
      </w:r>
    </w:p>
    <w:p>
      <w:pPr>
        <w:spacing w:after="0" w:line="10" w:lineRule="exact"/>
        <w:rPr>
          <w:sz w:val="20"/>
          <w:szCs w:val="20"/>
          <w:color w:val="auto"/>
        </w:rPr>
      </w:pPr>
    </w:p>
    <w:p>
      <w:pPr>
        <w:ind w:left="740" w:right="2519"/>
        <w:spacing w:after="0" w:line="268" w:lineRule="auto"/>
        <w:rPr>
          <w:sz w:val="20"/>
          <w:szCs w:val="20"/>
          <w:color w:val="auto"/>
        </w:rPr>
      </w:pPr>
      <w:r>
        <w:rPr>
          <w:rFonts w:ascii="Courier New" w:cs="Courier New" w:eastAsia="Courier New" w:hAnsi="Courier New"/>
          <w:sz w:val="16"/>
          <w:szCs w:val="16"/>
          <w:color w:val="auto"/>
        </w:rPr>
        <w:t>initiatives on the Company's credit ratings and consequently the availability and cost of debt and equity financing to the Company.</w:t>
      </w:r>
    </w:p>
    <w:p>
      <w:pPr>
        <w:ind w:left="4120"/>
        <w:spacing w:after="0" w:line="233" w:lineRule="auto"/>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6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Additional information regarding these and/or other factors that could materially affect future results and the accuracy of the forward-looking statements contained herein may be found in Part I, Item 1 of the Company's Annual Report on Form 10-K for the year ended December 31,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a global leader in providing integrated waste management services. In North America, the Company provides solid waste management services throughout the U.S., as well as in Canada, Mexico and Puerto Rico, including collection, transfer, recycling and resource recovery services, and disposal services, including the landfill disposal of hazardous wastes. In addition, the Company is a leading developer, operator and owner of waste-to-energy facilities in the U.S. The Company also engages in other hazardous waste management services throughout North America, as well as low-level and other radioactive waste services. Internationally, the Company operates throughout Europe, the Pacific Rim, South America and other select international markets.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The Company's diversified customer base includes commercial, industrial, municipal and residential customers, other waste management companies, governmental entities and independent power markets.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or weight of waste being disposed of at the Company's disposal facilities. Fees are charged at transfer stations based on the volume or weight of waste deposited, taking into account the Company's cost of loading, transporting, and disposing of the solid waste at a disposal site. Intercompany revenues between the Company's operations have been eliminated in the condensed consolidated financial statements presented elsewhere herein.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Operating expenses from waste management operations include direct and indirect labor and the related taxes and benefits, fuel, maintenance and repairs of equipment and facilities, tipping fees paid to third party disposal facilities, property taxes,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amortization include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airspace on a units-of-production method over the estimated useful life of a site as airspace of the landfill is consumed. Depreciation and amortization can vary from period to period due to the changes in volumes of waste disposed of at the Company's landfills.</w:t>
      </w:r>
    </w:p>
    <w:p>
      <w:pPr>
        <w:sectPr>
          <w:pgSz w:w="11900" w:h="16838" w:orient="portrait"/>
          <w:cols w:equalWidth="0" w:num="1">
            <w:col w:w="10219"/>
          </w:cols>
          <w:pgMar w:left="240" w:top="312" w:right="1440" w:bottom="581"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581"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 OF OPERATIONS</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The Company has revised certain items included in its previously reported unaudited financial statements for the three months ended March 31, 1999. See Note 1 to the condensed consolidated financial statements. Except as otherwise expressly stated, all financial information in this Quarterly Report on Form 10-Q is presented inclusive of such changes.</w:t>
      </w:r>
    </w:p>
    <w:p>
      <w:pPr>
        <w:spacing w:after="0" w:line="209"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thousands) and percentages for the various condensed consolidated statements of operations line items and for certain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260" w:type="dxa"/>
            <w:vAlign w:val="bottom"/>
            <w:gridSpan w:val="2"/>
          </w:tcPr>
          <w:p>
            <w:pPr>
              <w:jc w:val="center"/>
              <w:ind w:right="52"/>
              <w:spacing w:after="0"/>
              <w:rPr>
                <w:sz w:val="20"/>
                <w:szCs w:val="20"/>
                <w:color w:val="auto"/>
              </w:rPr>
            </w:pPr>
            <w:r>
              <w:rPr>
                <w:rFonts w:ascii="Courier New" w:cs="Courier New" w:eastAsia="Courier New" w:hAnsi="Courier New"/>
                <w:sz w:val="18"/>
                <w:szCs w:val="18"/>
                <w:color w:val="auto"/>
                <w:w w:val="97"/>
              </w:rPr>
              <w:t>PERIOD TO PERIOD</w:t>
            </w:r>
          </w:p>
        </w:tc>
        <w:tc>
          <w:tcPr>
            <w:tcW w:w="21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PERIOD TO PERIOD</w:t>
            </w:r>
          </w:p>
        </w:tc>
      </w:tr>
      <w:tr>
        <w:trPr>
          <w:trHeight w:val="203"/>
        </w:trPr>
        <w:tc>
          <w:tcPr>
            <w:tcW w:w="5800" w:type="dxa"/>
            <w:vAlign w:val="bottom"/>
          </w:tcPr>
          <w:p>
            <w:pPr>
              <w:spacing w:after="0"/>
              <w:rPr>
                <w:sz w:val="17"/>
                <w:szCs w:val="17"/>
                <w:color w:val="auto"/>
              </w:rPr>
            </w:pPr>
          </w:p>
        </w:tc>
        <w:tc>
          <w:tcPr>
            <w:tcW w:w="22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CHANGE FOR THE</w:t>
            </w: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CHANGE FOR THE</w:t>
            </w:r>
          </w:p>
        </w:tc>
      </w:tr>
      <w:tr>
        <w:trPr>
          <w:trHeight w:val="203"/>
        </w:trPr>
        <w:tc>
          <w:tcPr>
            <w:tcW w:w="5800" w:type="dxa"/>
            <w:vAlign w:val="bottom"/>
          </w:tcPr>
          <w:p>
            <w:pPr>
              <w:spacing w:after="0"/>
              <w:rPr>
                <w:sz w:val="17"/>
                <w:szCs w:val="17"/>
                <w:color w:val="auto"/>
              </w:rPr>
            </w:pPr>
          </w:p>
        </w:tc>
        <w:tc>
          <w:tcPr>
            <w:tcW w:w="226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SIX MONTHS ENDED</w:t>
            </w:r>
          </w:p>
        </w:tc>
      </w:tr>
      <w:tr>
        <w:trPr>
          <w:trHeight w:val="203"/>
        </w:trPr>
        <w:tc>
          <w:tcPr>
            <w:tcW w:w="5800" w:type="dxa"/>
            <w:vAlign w:val="bottom"/>
          </w:tcPr>
          <w:p>
            <w:pPr>
              <w:spacing w:after="0"/>
              <w:rPr>
                <w:sz w:val="17"/>
                <w:szCs w:val="17"/>
                <w:color w:val="auto"/>
              </w:rPr>
            </w:pPr>
          </w:p>
        </w:tc>
        <w:tc>
          <w:tcPr>
            <w:tcW w:w="22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JUNE 30,</w:t>
            </w:r>
          </w:p>
        </w:tc>
        <w:tc>
          <w:tcPr>
            <w:tcW w:w="154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JUNE 30,</w:t>
            </w:r>
          </w:p>
        </w:tc>
        <w:tc>
          <w:tcPr>
            <w:tcW w:w="62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1999 AND 1998</w:t>
            </w:r>
          </w:p>
        </w:tc>
        <w:tc>
          <w:tcPr>
            <w:tcW w:w="21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1999 AND 1998</w:t>
            </w:r>
          </w:p>
        </w:tc>
      </w:tr>
      <w:tr>
        <w:trPr>
          <w:trHeight w:val="203"/>
        </w:trPr>
        <w:tc>
          <w:tcPr>
            <w:tcW w:w="5800" w:type="dxa"/>
            <w:vAlign w:val="bottom"/>
          </w:tcPr>
          <w:p>
            <w:pPr>
              <w:spacing w:after="0"/>
              <w:rPr>
                <w:sz w:val="17"/>
                <w:szCs w:val="17"/>
                <w:color w:val="auto"/>
              </w:rPr>
            </w:pPr>
          </w:p>
        </w:tc>
        <w:tc>
          <w:tcPr>
            <w:tcW w:w="226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$ 83,844</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$ 185,046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(43,990)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(168,468)</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(94,959)</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(184,625)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54,850</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745.1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64,732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432.6</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19,750</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19,750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held for sale, net</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minority interest................................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4,986</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(62,393)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(269,041)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146,237</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454,087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(11,357)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(31,983)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(2,659)</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(32.0)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(6,023)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(41.5)</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6,317</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25,157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(23,843)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(59.5)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(79,854)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(72.3)</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(31,542)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(22.9)</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(92,703)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(38.3)</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 and extraordinary item.....</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114,695</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361,384</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43,203</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124,620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71,492</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236,764</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3,900</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$ 75,392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$ 240,664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$143,207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$ 451,087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EBITDA, as adjusted(1)(2).............................</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$222,793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$ 538,139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80" w:hanging="412"/>
        <w:spacing w:after="0" w:line="273"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84" w:lineRule="exact"/>
        <w:rPr>
          <w:rFonts w:ascii="Courier New" w:cs="Courier New" w:eastAsia="Courier New" w:hAnsi="Courier New"/>
          <w:sz w:val="16"/>
          <w:szCs w:val="16"/>
          <w:color w:val="auto"/>
        </w:rPr>
      </w:pPr>
    </w:p>
    <w:p>
      <w:pPr>
        <w:ind w:left="420" w:right="1780" w:hanging="412"/>
        <w:spacing w:after="0" w:line="23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EBITDA "as adjusted" further excludes merger costs, asset impairments and unusual items, and loss from continuing operations held for sale (net of minority interest).</w:t>
      </w:r>
    </w:p>
    <w:p>
      <w:pPr>
        <w:sectPr>
          <w:pgSz w:w="11900" w:h="16838" w:orient="portrait"/>
          <w:cols w:equalWidth="0" w:num="1">
            <w:col w:w="10220"/>
          </w:cols>
          <w:pgMar w:left="240" w:top="312" w:right="1439"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40" w:top="312" w:right="1439" w:bottom="784"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jc w:val="both"/>
        <w:ind w:right="2100" w:firstLine="527"/>
        <w:spacing w:after="0" w:line="279"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THREE MONTHS ENDED</w:t>
            </w:r>
          </w:p>
        </w:tc>
        <w:tc>
          <w:tcPr>
            <w:tcW w:w="21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80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800" w:type="dxa"/>
            <w:vAlign w:val="bottom"/>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8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100.0%</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100.0%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56.0</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58.8</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8.5</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11.5</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0.6</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held for sale, net</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minority interest................................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78.5</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21.5</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0.2</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(0.2)</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0.5</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 and extraordinary item.....</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16.4</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6.8</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extraordinary item......................</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9.6</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33.0%</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EBITDA, as adjusted(1)(2).............................</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35.4%</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80" w:hanging="412"/>
        <w:spacing w:after="0" w:line="273"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84" w:lineRule="exact"/>
        <w:rPr>
          <w:rFonts w:ascii="Courier New" w:cs="Courier New" w:eastAsia="Courier New" w:hAnsi="Courier New"/>
          <w:sz w:val="16"/>
          <w:szCs w:val="16"/>
          <w:color w:val="auto"/>
        </w:rPr>
      </w:pPr>
    </w:p>
    <w:p>
      <w:pPr>
        <w:ind w:left="420" w:right="1780"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EBITDA "as adjusted" further excludes merger costs, asset impairments and unusual items, and loss from continuing operations held for sale (net of minority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FOR THE SIX MONTHS ENDED JUNE 30, 1999 AND 1998</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880" w:firstLine="527"/>
        <w:spacing w:after="0" w:line="237" w:lineRule="auto"/>
        <w:rPr>
          <w:sz w:val="20"/>
          <w:szCs w:val="20"/>
          <w:color w:val="auto"/>
        </w:rPr>
      </w:pPr>
      <w:r>
        <w:rPr>
          <w:rFonts w:ascii="Courier New" w:cs="Courier New" w:eastAsia="Courier New" w:hAnsi="Courier New"/>
          <w:sz w:val="18"/>
          <w:szCs w:val="18"/>
          <w:color w:val="auto"/>
        </w:rPr>
        <w:t>The Company's principal operations are North American solid waste management ("NASW"),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("WM International"). Furthermore, the Company performs certain non-solid waste services primarily in North America such as hazardous waste management, low-level and other radioactive waste management,</w:t>
      </w:r>
    </w:p>
    <w:p>
      <w:pPr>
        <w:sectPr>
          <w:pgSz w:w="11900" w:h="16838" w:orient="portrait"/>
          <w:cols w:equalWidth="0" w:num="1">
            <w:col w:w="10220"/>
          </w:cols>
          <w:pgMar w:left="240" w:top="312" w:right="1439" w:bottom="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0"/>
          </w:cols>
          <w:pgMar w:left="240" w:top="312" w:right="1439" w:bottom="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and waste fuel powered independent power facilities. Through June 30, 1999, the Company's non-solid waste services also included high organic waste fuels blending and on-site industrial cleaning services. However, on June 30, 1999, the Company sold a 51% interest in these operations to the French conglomerate Vivendi SA. The retained interest of 49% will be accounted for in future periods using the equity method of accounting.</w:t>
      </w:r>
    </w:p>
    <w:p>
      <w:pPr>
        <w:spacing w:after="0" w:line="210" w:lineRule="exact"/>
        <w:rPr>
          <w:sz w:val="20"/>
          <w:szCs w:val="20"/>
          <w:color w:val="auto"/>
        </w:rPr>
      </w:pPr>
    </w:p>
    <w:p>
      <w:pPr>
        <w:ind w:right="2300" w:firstLine="527"/>
        <w:spacing w:after="0" w:line="237" w:lineRule="auto"/>
        <w:rPr>
          <w:sz w:val="20"/>
          <w:szCs w:val="20"/>
          <w:color w:val="auto"/>
        </w:rPr>
      </w:pPr>
      <w:r>
        <w:rPr>
          <w:rFonts w:ascii="Courier New" w:cs="Courier New" w:eastAsia="Courier New" w:hAnsi="Courier New"/>
          <w:sz w:val="18"/>
          <w:szCs w:val="18"/>
          <w:color w:val="auto"/>
        </w:rPr>
        <w:t>For the three and six months ended June 30, 1999, the Company's operating revenues increased $83.8 million or 2.6% and $185.0 million or 3.0%, respectively, as compared to the corresponding 1998 period. The following table presents the operating revenues by reportable segment for the respective quarters (dollars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400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rPr>
              <w:t>THREE MONTHS ENDED JUNE 30,</w:t>
            </w:r>
          </w:p>
        </w:tc>
        <w:tc>
          <w:tcPr>
            <w:tcW w:w="3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 JUNE 30,</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1999</w:t>
            </w:r>
          </w:p>
        </w:tc>
        <w:tc>
          <w:tcPr>
            <w:tcW w:w="7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NASW.....................</w:t>
            </w:r>
          </w:p>
        </w:tc>
        <w:tc>
          <w:tcPr>
            <w:tcW w:w="12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$2,701.2</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$2,626.8</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80.8%</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$5,212.7</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81.4%</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$5,023.6</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80.8%</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WM International.........</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386.7</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757.8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Non-solid waste..........</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246.7</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247.7</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434.7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451.7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$3,334.6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$3,250.7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$6,405.2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$6,220.1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ind w:right="2420" w:firstLine="527"/>
        <w:spacing w:after="0" w:line="275" w:lineRule="auto"/>
        <w:rPr>
          <w:sz w:val="20"/>
          <w:szCs w:val="20"/>
          <w:color w:val="auto"/>
        </w:rPr>
      </w:pPr>
      <w:r>
        <w:rPr>
          <w:rFonts w:ascii="Courier New" w:cs="Courier New" w:eastAsia="Courier New" w:hAnsi="Courier New"/>
          <w:sz w:val="16"/>
          <w:szCs w:val="16"/>
          <w:color w:val="auto"/>
        </w:rPr>
        <w:t>The increase in the Company's operating revenues for the three and six months ended June 30, 1999 as compared to the 1998 periods is primarily due to NASW operations. The following table presents the Company's mix of operating revenues from NASW for the respective periods (dollars in millions):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400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rPr>
              <w:t>THREE MONTHS ENDED JUNE 30,</w:t>
            </w:r>
          </w:p>
        </w:tc>
        <w:tc>
          <w:tcPr>
            <w:tcW w:w="3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SIX MONTHS ENDED JUNE 30,</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1999</w:t>
            </w:r>
          </w:p>
        </w:tc>
        <w:tc>
          <w:tcPr>
            <w:tcW w:w="7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7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jc w:val="right"/>
              <w:ind w:right="2112"/>
              <w:spacing w:after="0"/>
              <w:rPr>
                <w:sz w:val="20"/>
                <w:szCs w:val="20"/>
                <w:color w:val="auto"/>
              </w:rPr>
            </w:pPr>
            <w:r>
              <w:rPr>
                <w:rFonts w:ascii="Courier New" w:cs="Courier New" w:eastAsia="Courier New" w:hAnsi="Courier New"/>
                <w:sz w:val="18"/>
                <w:szCs w:val="18"/>
                <w:color w:val="auto"/>
                <w:w w:val="96"/>
              </w:rPr>
              <w:t>NASW:</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Collection.............</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$1,895.7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$1,748.5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$3,685.0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$3,383.8</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Disposal...............</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851.3</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822.6</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1,609.9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1,497.6</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Transfer...............</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314.8</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282.0</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580.4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520.5</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Recycling and other....</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157.9</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187.0</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301.1</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363.5</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3,219.7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3,040.1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6,176.4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5,765.4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203"/>
        </w:trPr>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Intercompany.............</w:t>
            </w:r>
          </w:p>
        </w:tc>
        <w:tc>
          <w:tcPr>
            <w:tcW w:w="12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(518.5)</w:t>
            </w:r>
          </w:p>
        </w:tc>
        <w:tc>
          <w:tcPr>
            <w:tcW w:w="7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(413.3)</w:t>
            </w:r>
          </w:p>
        </w:tc>
        <w:tc>
          <w:tcPr>
            <w:tcW w:w="7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(963.7)</w:t>
            </w:r>
          </w:p>
        </w:tc>
        <w:tc>
          <w:tcPr>
            <w:tcW w:w="8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(741.8)</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Operating revenues.......</w:t>
            </w: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$2,701.2</w:t>
            </w:r>
          </w:p>
        </w:tc>
        <w:tc>
          <w:tcPr>
            <w:tcW w:w="7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$2,626.8</w:t>
            </w:r>
          </w:p>
        </w:tc>
        <w:tc>
          <w:tcPr>
            <w:tcW w:w="7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$5,212.7</w:t>
            </w:r>
          </w:p>
        </w:tc>
        <w:tc>
          <w:tcPr>
            <w:tcW w:w="8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$5,023.6</w:t>
            </w:r>
          </w:p>
        </w:tc>
        <w:tc>
          <w:tcPr>
            <w:tcW w:w="6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200" w:firstLine="527"/>
        <w:spacing w:after="0" w:line="269" w:lineRule="auto"/>
        <w:rPr>
          <w:sz w:val="20"/>
          <w:szCs w:val="20"/>
          <w:color w:val="auto"/>
        </w:rPr>
      </w:pPr>
      <w:r>
        <w:rPr>
          <w:rFonts w:ascii="Courier New" w:cs="Courier New" w:eastAsia="Courier New" w:hAnsi="Courier New"/>
          <w:sz w:val="16"/>
          <w:szCs w:val="16"/>
          <w:color w:val="auto"/>
        </w:rPr>
        <w:t>The increase in operating revenues for the three and six months ended June 30, 1999 for NASW operations, as compared to the respective prior year periods, is primarily attributable to the acquisition of solid waste businesses, partially offset by the divestiture of certain solid waste operations. Acquisitions of NASW businesses during 1999 and the full year effect of such acquisitions completed during 1998 accounted for an increase in operating revenues of approximately $180.1 million for the three months ended June 30, 1999 and $321.2 million for the six months ended June 30, 1999 as compared to the prior year periods. NASW operating revenues also increased from internal growth of comparable operations of 0.5% and 2.6% for the three and six months ended June 30, 1999, respectively, as compared to the prior year periods. Price increases were 3.1% for the three months ended June 30, 1999 as compared to the prior year period, however were offset by the effect of a resulting decline in volumes of 2.6% for that period. Internal growth for the six months ended June 30, 1999 was comprised of 2.4% price and 0.2% volume. For the three and six months ended June 30, 1999, NASW operating revenues decreased as a result of the divestiture of solid waste operations with operating revenues of $72.6 million and $167.4 million in the respective prior year periods. NASW comparable operating revenues for the three and six months ended June 30, 1999, were also reduced by approximately $17.4 million and $34.1 million, respectively, due to the renewal of a biosolids management contract, which now excludes a capital cost recovery element and by approximately $26.8 million and $48.8 million, respectively, from a change in presentation of certain revenue items. NASW operating revenues were not significantly impacted by currency translation</w:t>
      </w:r>
    </w:p>
    <w:p>
      <w:pPr>
        <w:sectPr>
          <w:pgSz w:w="11900" w:h="16838" w:orient="portrait"/>
          <w:cols w:equalWidth="0" w:num="1">
            <w:col w:w="10640"/>
          </w:cols>
          <w:pgMar w:left="240" w:top="312" w:right="1019" w:bottom="142"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fluctuations of the Canadian dollar.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WM International's operating revenues for the three and six months ended June 30, 1999 increased as a result of internal growth of 2.9% and 3.1%, respectively, and from acquisitions of solid waste operations 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6"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revenues of $23.0 million and $28.3 million, respectively, as compared to the corresponding prior year periods. Additionally, the WM International operating revenues increased by $4.6 million for both the three and six months ended June 30, 1999 as compared to respective prior year periods as a result of increased landfill disposal taxes in certain countries, which are passed through in disposal rates. These increases were offset by the disposition of operations with operating revenues of $16.9 million and $35.6 million in the three and six months ended June 30, 1998, respectively. Furthermore, foreign currency fluctuations of $10.9 million and $6.4 million decreased operating revenues for the three and six months ended June 30, 1999, respectively, as compared to the respective 1998 periods.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Operating revenues for Non-solid waste operations were comparable for the respective periods. The Company expects decreasing operating revenues from its Non-solid waste operations in future periods, as the Company has sold its industrial services and hazardous business units as discussed above and is actively marketing other Non-solid waste operations.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believes that its NASW operating revenues in the three and six months ended June 30, 1999 may have been detrimentally affected by volumes that were under expectations and difficulties in integration of the operations of the merged company, including the Company's information systems and work flow related thereto, which also resulted in increases in accounts receivable. The Company intends to continue to address these issues throughout the remainder of 1999 and expects to add resources toward that end. In addition, the Company believes that its internal growth may have been detrimentally affected by certain inflexibilities in its pricing strategy and lack of responsiveness of that strategy to localized competitive conditions, resulting in lost volumes. The Company intends to continue to review its pricing strategy to enhance its competitiveness in future periods.</w:t>
      </w:r>
    </w:p>
    <w:p>
      <w:pPr>
        <w:spacing w:after="0" w:line="207" w:lineRule="exact"/>
        <w:rPr>
          <w:sz w:val="20"/>
          <w:szCs w:val="20"/>
          <w:color w:val="auto"/>
        </w:rPr>
      </w:pPr>
    </w:p>
    <w:p>
      <w:pPr>
        <w:ind w:right="1779" w:firstLine="211"/>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Operating costs and expenses decreased $44.0 million or 2.3% and $168.5 million or 4.5% for the three and six months ended June 30, 1999, respectively, as compared to the corresponding periods of 1998. As a percentage of operating revenues, operating costs and expenses decreased from 58.8% to 56.0% for the three months ended June 30, 1998 and 1999, respectively, and decreased from</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59.7% to 55.3% for the six months ended June 30, 1998 and 1999, respectively. The Company realized reductions in costs and improvements in operating efficiencies from its acquisition program and the WM Holdings Merger. Additionally, the Company realized improvements in NASW due to the increased utilization of internal disposal capacity, which is measured as a percentage of total disposal costs, from 56.4% to 66.5% for the three months ended June 30, 1998 and 1999, respectively and from 56.2% to 65.0% for the six months ended June 30, 1998 and 1999, respectively.</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six months ended June 30, 1999, operating costs and expenses were favorably impacted by $58 million in the three months ended March 31, 1999 attributable to downward revisions in remediation liabilities relating to certain of the Company's operations. Of this amount, $23 million is attributable to revisions of reserves associated with the Company's Eastern Area of its NASW. The remaining $35 million is attributable to revisions of remediation liabilities associated with the Company's international operations. 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reserve requirements may result in upward or downward adjustments to income from operations in any given period.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and Administrative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General and administrative expenses decreased $95.0 million or 25.0% and $184.6 million or 25.3% for the three and six months ended June 30, 1999, respectively, as compared to the corresponding periods of 1998. As a percentage of operating revenues, the Company's general and administrative expense was 8.5% for both the three and six months ended June 30, 1999, respectively, as compared to 11.7% for the corresponding periods of 1998. The improvement in general and administrative expense as a percentage of revenues is</w:t>
      </w:r>
    </w:p>
    <w:p>
      <w:pPr>
        <w:sectPr>
          <w:pgSz w:w="11900" w:h="16838" w:orient="portrait"/>
          <w:cols w:equalWidth="0" w:num="1">
            <w:col w:w="10219"/>
          </w:cols>
          <w:pgMar w:left="240" w:top="312" w:right="1440" w:bottom="784"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2" w:right="1440" w:bottom="784"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primarily due to the Company's integration of acquisitions and mergers of solid waste businesses without a proportionate increase of costs.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Depreciation and amortization expense decreased $3.0 million, or 0.8% and $3.0 million or 0.4% for the three and six months ended June 30, 1999, respectively, as compared to the respective periods in 1998. As a percentage of operating revenues, depreciation and amortization expense was 11.5% and 11.6% for the three and six months ended June 30, 1999, respectively and 11.9% and 12.0% for the respective corresponding periods of 1998. The decrease in depreciation and amortization as a percentage of operating revenues is primarily due to the improved utilization of equipment through internal growth as well as the discontinuance of depreciation and amortization on non-revenue producing assets held for sale or abandoned in connection with the WM Holdings Merger and the Eastern Merger. Additionally, the Company's engineers have been studying the impact of accelerated biodegration in its landfills due to leachate recirculation and related organic reactions. At certain of the Company's landfills that operate in geological locations conducive to accelerated biodegration, landfill airspace rates have been adjusted to reflect longer estimated useful lives. This had the impact of reducing depreciation and amortization expense by approximately $6.0 million in the first quarter of 1999 and approximately $7.0 million in the second quarter of 1999 as compared to prior year periods. Offsetting these decreases is the increased utilization of internal disposal capacity which has the effect of increasing landfill amortization expense for every internalized ton disposed without an increase in net operating revenues.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Costs and Unusual Items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the WM Holdings Merger and the Eastern Merger, the Company incurred significant merger costs and unusual items in the third and fourth quarters of 1998 as described in the Company's 1998 Annual Report on Form 10-K. Additionally, the Company recorded $62.2 million and $79.7 million of merger costs for the three and six months ended June 30, 1999, respectively, and expects to record approximately $27.4 million throughout the remainder of 1999 for merger costs that are transitional in nature and not accruable until incurred or committed. The merger cost amount for the six months ended June 30, 1999 also includes cumulative offsetting adjustments totaling $15.6 million primarily to conform accounting methods of the Company's ash monofil landfills to that of the Company's solid waste landfills.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in the process of settling its obligations under the WM Holdings defined benefit plan which was terminated as of December 31, 1998. The actual cash cost of settling the plan can not be recorded until paid and is currently estimated to be approximately $215 million; an increase of approximately $90.0 million over the previous estimate. This increase is due to the availability of updated census data and revised actuarial assumptions in the formulation of the estimates. Due to the necessary review and approval process, management expects the payout to certain categories of participants to occur in 1999 with the remaining participants expected to be paid in 2000. For the six months ended June 30, 1999, unusual items included $6.5 million for past service costs related to the terminated plan. Also included in unusual items for the period is a provision of $13.3 million related to the reassessment of ultimate losses for certain legal issues and on-going legal costs of the WM Holdings class action securities matter.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payments of $153.9 million and $295.9 million were made by the Company during the three and six months ended June 30, 1999, respectively, related to merger costs recorded in 1998 for the WM Holdings Merger and the Eastern Merger. Future cash payments are expected to be approximately $700.0 million related to the merger costs and unusual items recorded or to be recorded in connection with the WM Holdings Merger and Eastern Merger. The total estimated future cash payments of approximately $700.0 million includes the aforementioned payout of the WM Holdings defined benefit plan.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To the extent the market value of the Company's common stock exceeded $54.34 per share, the Company was required to record additional charges to earnings until</w:t>
      </w:r>
    </w:p>
    <w:p>
      <w:pPr>
        <w:sectPr>
          <w:pgSz w:w="11900" w:h="16838" w:orient="portrait"/>
          <w:cols w:equalWidth="0" w:num="1">
            <w:col w:w="10219"/>
          </w:cols>
          <w:pgMar w:left="240" w:top="312" w:right="1440" w:bottom="581"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2" w:right="1440" w:bottom="581"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July 16, 1999, at which time all put rights expired. The expense related to these stock option put rights would have had no impact on stockholders' equity, as the offset was a direct increase to additional paid in capital, since these put rights were satisfied by the issuance of common stock. As the market value of the Company's common stock was less than $54.34 per share as of the date the put rights expired, there will be no charges to earnings in future periods related to the put rights.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Merger costs for the WM Holdings Merger and the Eastern Merger include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 The Company is unable to determine the earnings impact of the Eastern Merger or any synergies that may ultimately be achieved. During the second quarter of 1999, the Company resolved an outstanding contingency regarding its sale of assets to Republic Services, Inc. which reduced the loss on that sale by approximately $80 million. Offsetting this amount, the Company (i) consummated its sale of 51% of its high organic waste fuels blending and on-site industrial cleaning services which resulted in losses of approximately $5 million greater than previously estimated; (ii) increased its anticipated losses by approximately $14 million related to the assets required to be sold pursuant to the Eastern Merger; and (iii) identified other non-core operations for disposition that have a book value of approximately $36 million greater than the estimated proceeds.</w:t>
      </w:r>
    </w:p>
    <w:p>
      <w:pPr>
        <w:spacing w:after="0" w:line="21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For the three and six months ended June 30, 1998, respectively, the Company recorded $7.4 million and $15.0 million of merger costs related to other pooling of interests transactions consummated during the periods.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from Continuing Operations Held for Sale (Net of Minority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had operations that were previously classified as discontinued operations for accounting and financial reporting purposes that were subsequently reclassified to continuing operations as of December 31, 1997, as the dispositions were not completed within one year. The Company had divested of substantially all of such operations as of September 30,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from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Income from operations was $715.5 million and $1,475.6 million for the three and six months ended June 30, 1999, respectively, as compared to $569.2 million and $1,021.5 million for the corresponding periods of 1998. As a percentage of operating revenues, income from operations, exclusive of merger costs, unusual items and loss from continuing operations held for sale (net of minority interest) increased from 17.6% to 23.9% for the three months ended June 30, 1998 and 1999, respectively and 16.6% to 24.6% for the six months ended June 30, 1998 and 1999, respectively. The increase in operating margins as a percentage of operating revenues is primarily due to internal growth, tuck-in acquisitions, merger synergies, productivity enhancements, increased waste internalization and downward revisions in remediation liabilities of $58 million.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Income and Expenses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income and expenses consists of interest expense, interest income, other income and minority interest. Although the Company has experienced lower borrowing rates as compared to prior years, interest costs, which includes amounts capitalized, increased from 1998 to 1999 due to increases in the Company's outstanding indebtedness for each period. Capitalized interest was $11.3 million and $23.2 million for the three and six months ended June 30, 1999, respectively, and $8.6 million and $18.6 million for the corresponding periods of 1998. Included as other income for the six months ended June 30, 1998 is a gain of approximately $38.0 million from the sale of a waste-to-energy facility in Hamm, Germany in January 1998.</w:t>
      </w:r>
    </w:p>
    <w:p>
      <w:pPr>
        <w:sectPr>
          <w:pgSz w:w="11900" w:h="16838" w:orient="portrait"/>
          <w:cols w:equalWidth="0" w:num="1">
            <w:col w:w="10219"/>
          </w:cols>
          <w:pgMar w:left="240" w:top="312" w:right="1440" w:bottom="987"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2" w:right="1440" w:bottom="987"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1998, the Company acquired the outstanding minority interest in Wheelabrator Technologies, Inc., Waste Management International plc, and the operations in the United Kingdom which were 49% owned by Wessex Water Plc. As a result, the minority interest expense is lower in 1999 than the amount recognized in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a provision for income taxes of $227.6 million and $475.6 million for the three and six months ended June 30, 1999, respectively, and $184.4 million and $351.0 million for the corresponding periods of 1998. The difference in federal income taxes at the federal statutory rate and the provision for income taxes for the six months ended June 30, 1999 is primarily due to state and local income taxes and non-deductible costs related to acquired intangibles.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three and six months ended June 30, 1999, net income was $318.3 million and $665.0 million or $0.50 and $1.05 per share on a diluted basis, respectively, as compared to $242.9 million and $424.3 million or $0.41 and $0.72 per share on a diluted basis for the respective prior year periods. Excluding the net income effects of charges for merger costs, asset impairments and unusual items and income from continuing operations held for sale of $82.0 million and $99.5 million for the three and six months ended June 30, 1999, respectively, and $2.4 million and $12.4 million for the corresponding periods of 1998, diluted earnings per share were $0.58 and $1.14 for the three and six months ended June 30, 1999, respectively, and $0.41 and $0.75 for the corresponding periods of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operates in an industry that requires a high level of capital investment. The Company's capital requirements primarily stem from (i) its working capital needs for its ongoing operations, (ii) capital expenditures for cell construction and expansion of its disposal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 The Company had unused and available credit capacity under its domestic bank facilities of $2.3 billion and $1.6 billion at June 30, 1999 and August 11, 1999, respectively.</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June 30, 1999, the Company had a working capital deficit of $321.8 million (a ratio of current assets to current liabilities of 0.92:1) and a cash balance of $81.0 million which compares to a working capital deficit of $412.3 million (a current ratio of 0.90:1) and a cash balance of $86.9 million as of December 31, 1998. For the six months ended June 30, 1999, net cash provided by operating activities was $784.8 million, as compared to $738.9 million for the comparable prior year period and net cash used by financing activities was $42.0 million in 1999, as compared to amounts provided of $2.0 billion in 1998. In the six months ended June 30, 1999, cash used to acquire businesses for $644.5 million, capital expenditures of $614.1 million and net debt reduction of approximately $207.1 million were primarily financed by cash from operating activities and proceeds from sale of assets of $502.7 million. In the six months ended June 30, 1998, capital expenditures of $735.8 million and acquisitions of businesses and outstanding minority interests of $2.3 billion were primarily financed through net cash from operations, proceeds from sale of assets of $455.3 million and net cash from financing activities.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May 21, 1999, the Company completed a private placement of $1.15 billion of its senior notes, including $200 million principal amount of 6% senior notes due 2001 at an issue price of 99.966, $500 million principal amount of 6 7/8% senior notes due 2009 for an issue price of 99.674, $250 million principal amount of 7 3/8% senior notes due 2029 for an issue price of 99.595 and an additional $200 million principal amount of 6 1/2% senior notes due 2004 for an issue price of 99.721. The notes were not registered under the Securities Act</w:t>
      </w:r>
    </w:p>
    <w:p>
      <w:pPr>
        <w:sectPr>
          <w:pgSz w:w="11900" w:h="16838" w:orient="portrait"/>
          <w:cols w:equalWidth="0" w:num="1">
            <w:col w:w="10219"/>
          </w:cols>
          <w:pgMar w:left="240" w:top="312" w:right="1440" w:bottom="987"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2" w:right="1440" w:bottom="987"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1933, as amended (the "Securities Act"), and may only be resold pursuant to Rule 144A of the Securities Act.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the WM Holdings Merger was consummated in July 1998, the Company has undergone a massive conversion of its computer and financial reporting systems as part of the integration of the two companies. Moreover, the Company adopted a decentralized billing system for the merged entity (as opposed to the centralized system employed by WM Holdings prior to the WM Holdings Merger). The billing system conversion was substantially completed in May 1999. As a result of this system conversion, coupled with the significant merger integration process, the Company has seen its accounts receivable grow and its days sales outstanding ("DSOs") expand from 58 days at June 30, 1998 to 65 days at June 30, 1999. In addition, during the first six months of 1999 the Company paid approximately $295.9 million for costs directly or indirectly related to the WM Holdings Merger and Eastern Merger, the majority of which were accrued as liabilities as of December 31, 1998. Consequently, the Company's net cash provided by operating activities for the first half of 1999, was significantly impacted by these, and to a lesser extent, other working capital issues. Although there can be no assurance of improvement, the Company expects its DSOs to improve in the second half of 1999 and is making a concerted effort to enhance the receivable collection process. The Company expects to fund additional merger, pension and litigation obligations of approximately $700 million over the next 12 to 15 months.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acquired upon its acquisition of Browning-Ferris Industries, Inc. The purchase price for these assets is approximately $501 million in cash. This acquisition is contingent on customary conditions; however, it is expected to be consummated at or near the end of the third quarter of 1999.</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During the first six months of 1999, the Company generated free cash flow from operations ("FCF") of $170.7 million. The Company defines FCF as net cash provided by operating activities less capital expenditures. Through cash payments and the conversion of approximately $261 million of subordinated debt to equity, the Company reduced its total indebtedness for borrowed money during the first half of 1999 by approximately $396 million to about $11.3 billion at June 30, 1999. Regardless, in response to the Company's current quarter results and revision of its future earnings estimates, long term debt and commercial paper ratings were lowered by Moody's and Standard &amp; Poor's credit rating agencies. The ratings continue to be under review and further ratings deterioration may result. An objective of the Company's strategic initiative is to maintain its long-term investment grade characteristics. There can be no assurance that such characteristics can be maintained. In light of the decline in credit ratings, the Company has ceased the issuance of commercial paper at this time. The Company expects to use existing bank credit facilities to redeem outstanding commercial paper and to meet future liquidity requirements. The Company expects to incur higher borrowing costs for the foreseeable future as a result of these actions. The Company believes it has sufficient credit capacity and cash flow generating capability to provide for its expected obligations for the remainder of 1999 and in the future. However, the Company is analyzing certain liquidity financing arrangements and may decide to enter into one or more financing arrangements to provide added liquidity to the Company. However, there can be no assurance that the Company would be successful in obtaining such additional capital on acceptable terms. The Company is consulting with its financial advisors to determine the optimal approach for structuring its credit facilities in light of its announced strategic initiatives.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three-month period ended June 30, 1999. On July 29, 1999, the Company announced a further reduction in its expected earnings for that period. On August 3, 1999, the Company announced that its reported operating income for the three-month period ended March 31, 1999 may have included certain non-recurring pretax income items. Between July 8, 1999 and August 4, 1999, several lawsuits that purport to be based on one or more of these announcements have been filed against the Company and certain of its officers and directors in the United States District Court for the Southern District of Texas. Taken together, the plaintiffs in these lawsuits purport to assert claims on behalf of a class of purchasers of the Company's common stock between</w:t>
      </w:r>
    </w:p>
    <w:p>
      <w:pPr>
        <w:sectPr>
          <w:pgSz w:w="11900" w:h="16838" w:orient="portrait"/>
          <w:cols w:equalWidth="0" w:num="1">
            <w:col w:w="10219"/>
          </w:cols>
          <w:pgMar w:left="240" w:top="312" w:right="1440" w:bottom="784" w:gutter="0" w:footer="0" w:header="0"/>
        </w:sectPr>
      </w:pP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12" w:right="1440" w:bottom="784"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addition, two of the Company's shareholders have filed lawsuits against certain officers and directors of the Company in connection with the events surrounding the Company's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the Company against these individuals for alleged breaches of fiduciary duty resulting from their alleged stock sales during the three-month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who allegedly purchased the Company's common stock on June 30, 1999. The letter demands that the Administrative Committee of the Plan bring an action against the Company and certain selling officers and directors for losses allegedly sustained by the participants in their stock purchases. These Plan participants have indicated in the letter that, absent action by the Plan, they intend to sue the Company and the directors and officers on behalf of the Plan and its participants.</w:t>
      </w:r>
    </w:p>
    <w:p>
      <w:pPr>
        <w:spacing w:after="0" w:line="212"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In addition, the United States Securities and Exchange Commission ("SEC") has notified the Company of an informal inquiry into the period ended June 30, 1999, as well as certain sales of the Company's common stock that preceded the Company's July 6, 1999 earnings announcement.</w:t>
      </w:r>
    </w:p>
    <w:p>
      <w:pPr>
        <w:spacing w:after="0" w:line="207"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stock of the Company prior to the July 6, 1999 earnings forecast announcement.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the former chairman of the SEC and chairman of the Company's audit committee, is directing the review.</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received a Civil Investigative Demand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Department of Justice with certain documents to assist it in its inquiry.</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purports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seeks compensatory and punitive damages, costs, restitution with interest, and such other relief as the Court deems proper.</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may have on WM Holdings or the Company, nor is it possible to predict whether any other suits or claims may arise out of these matters in the future. However, it is reasonably possible that the outcome of any present or future litigation may have a</w:t>
      </w:r>
    </w:p>
    <w:p>
      <w:pPr>
        <w:sectPr>
          <w:pgSz w:w="11900" w:h="16838" w:orient="portrait"/>
          <w:cols w:equalWidth="0" w:num="1">
            <w:col w:w="10219"/>
          </w:cols>
          <w:pgMar w:left="240" w:top="312" w:right="1440" w:bottom="176"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12" w:right="1440" w:bottom="176"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material adverse impact on their respective financial conditions or results of operations in one or more future periods. The Company and WM Holdings intend to defend themselves vigorously in all the above matters.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Executive Committee of the Board of Directors of the Company has been formed consisting of Ralph V. Whitworth, Roderick M. Hills and Jerome P. York. The Board of Directors has appointed Mr. Whitworth, a managing member of Relational Investors LLC, as Chairman of the Executive Committee.</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Rodney R. Proto has relinquished his position as the Company's President and Chief Operating Officer and as a member of the Board of Directors. Earl E. DeFrates has resigned as Chief Financial Officer but will remain with the Company as Executive Vice President to assist senior management. Gregory T. Sangalis has resigned as the Company's General Counsel.</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Company's Board of Directors has appointed Ralph V. Whitworth its Chairman. The Company's former Chairman, John E. Drury, will remain a member of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initiated a search for a new Chief Executive Officer, Chief Financial Officer and General Counsel. Pending the conclusion of this search, the Company's Board of Directors has appointed Robert S. Miller as the Company's Chief Executive Officer and President. Mr. Miller served as Chairman of the Board of the Company from July 1998 until May 1999 and was a director of WM Holdings from October 1997 to July 1998. Mr. Miller serves as Vice Chairman of Morrison Knudsen Corporation, an engineering and construction firm. He also served as Chief Executive Officer of Federal-Mogul Corporation from September until November 1996 and as Chairman of Morrison Knudsen Corporation from April 1995 until September 1996. In addition, since 1993 he has served as Vice President and Treasurer of Moore Mill and Lumber, a privately held forest product firm, and from 1992 to 1993, he served as Senior Partner of James D. Wolfensohn, Inc., an investment banking firm. From 1979 to 1992, Mr. Miller was with Chrysler Corporation ("Chrysler"), an automobile and truck manufacturing firm, rising to become Vice-Chairman of the Board after serving as Chrysler's Chief Financial Officer. Mr. Miller is a director of Federal-Mogul Corporation, Morrison Knudsen Corporation, Pope &amp; Talbot, Inc., and Symantec Corporation.</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Board of Directors has initiated a strategic initiative aimed at increasing shareholder value. The Company has engaged Chase Securities, Inc. and Donaldson, Lufkin &amp; Jenrette Securities Corporation as financial advisors to assist the Company in this matter. The plan calls for disposition of some or all of the Company's International assets, a substantial majority of the Company's non-core assets, and certain non-strategic North American solid waste assets that account for 10% of the Company's operating revenues in that sector. The Company intends immediately to initiate the disposition of these assets, and plans to substantially complete these asset sales in the next 12 months, although there can be no assurance that these dispositions will be completed in the time frame contemplated. The Company expects to use the proceeds of these asset dispositions as they are realized to repay debt, repurchase shares and pursue tuck-in acquisitions.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 believes that inflation and changing prices have not had, and are not expected to have, any material adverse effect on the results of operations in the near future.</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12"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DATE CONVERSION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currently working to resolve the potential impact of the Year 2000 on the processing of date-sensitive data by the Company's computerized information systems. In 1997, the Company began to modify its North American computer information systems to ensure proper processing of transactions relating to the Year 2000 and beyond and completed the majority of the required modifications to its critical business systems in use in North America during 1998. The Company expects to have all of such modifications completed during the third quarter of 1999. For WM International, systems supplied by an outside vendor are used for critical operations. That vendor has supplied the Company with Year 2000 compliant versions, deployment of which is largely completed. The Company expects that the systems used by WM International will be fully Year 2000 compliant during the third quarter of 1999. The amounts charged to expense during the first and second quarters of 1999 related to the Year 2000 compliance modifications have not been material and any additional charges in 1999 are not expected to be material to the Company's financial position, results of operations or cash flows.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its critical business systems, the Company has addressed the issue of the Year 2000 impact on certain of its embedded technologies. Incinerators and monitoring wells both have computer chips embedded within them, and the Company is upgrading those chips to avoid any malfunctioning of the chips as a result of the Year 2000. The Company expects such upgrades to be complete by the end of 1999. The Company is also taking steps to resolve Year 2000 compliance issues that may be created by customers, suppliers and financial institutions with whom the Company does business. However, there can be no guarantee that the systems of other entities will be converted timely.</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in the process of establishing a worst case scenario and written contingency plan to address any issues that could arise should the Company or if any of its suppliers or customers not be prepared to accommodate Year 2000 issues timely. The Company believes that in an emergency it could revert to the use of manual systems that do not rely on computers and could perform the minimum functions required to provide information reporting to maintain satisfactory control of the business. Should the Company have to utilize manual systems, it is uncertain that it could maintain the same level of operations, and this could have a material adverse impact on the business. The Company intends to maintain constant supervision on this situation and will develop such additional contingency plans as are required by the changing environment.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1998, the FASB issued Statement of Financial Accounting Standards No. 133, Accounting for Derivative Instruments and Hedging Activities, ("SFAS No. 133"). SFAS No. 133 establishes accounting and reporting standards for derivatives used for hedging purposes. SFAS No. 133 requires that entities recognize all derivative financial instruments as either assets of liabilities in the statement of financial position and measure these instruments as fair value. SFAS No. 133 is effective for the Company in its first fiscal quarter in 2001. Management is currently assessing the impact that the adoption of SFAS No. 133 will have on the Company's consolidated financial statements.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previously disclosed litigation against WM Holdings, there are several other actions and claims that arise out of the same set of facts as those giving rise to the purported securities class actions concerning statements made in 1996 and 1997 about WM Holdings financial condition and results of operations. Such actions and claims have been brought by business owners who received WM Holdings common stock in the sales of their businesses to WM Holdings. These actions and claims, one of which purports to be class action, allege, among other things, breach of warranty or breach of contract based on WM Holdings' restatement of earnings in February 1998. In April 1999, courts having jurisdiction over two such actions, including the purported class action, granted summary judgement against WM Holdings and in favor of the individual plaintiffs who brought the respective claims on the issue of breach of contract. The extent of damages, if any, in either action has not yet been determined.</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The settlement agreement with the plaintiffs is still subject to the requirements of, notice to the class and final approval by the Court after a hearing. There can be no assurances that the Court will find the settlement to be fair to the class. Also, because otherwise eligible members of the class may opt out of the lawsuit, there can be no assurances that WM Holdings will not be a party to additional lawsuits or claims brought by open market purchasers of the Company's securities.</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June 1999, the Company was notified that the EPA is conducting a civil investigation of alleged CFC disposal violations by Waste Management of Massachusetts, Inc. ("WMMA")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consolidated financial statements.</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been advised by the United States Department of Justice that Laurel Ridge Landfill, Inc., a wholly owned subsidiary of the Company as a result of the Company's acquisition of United Waste Systems, Inc. ("United") in August 1997, allegedly committed certain violations of the Clean Water Act at the Laurel Ridge Landfill in Kentucky. The alleged activities occurred during a period prior to the Company's acquisition of United. In May 1999, the Company pleaded guilty to a criminal misdemeanor and, subject to court approval, agreed to pay a fine and in kind services. The Company believes that the ultimate outcome of this matter will not have a material adverse effect on the Company's consolidated financial statements.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1999, the Company was notified that All Waste Systems, Inc. ("All Waste") and two other indirect subsidiaries acquired in the Eastern Merger, as well as a current employee of the Company, were suspended from future contracting with any agency in the executive branch of the United States Government pending proceedings. The suspension and potential debarment are based on a September 1997 conviction of All Waste of mail fraud and other activities that occurred prior to the ownership of the entities by Eastern. In May 1999, the United States Government removed the three entities from the suspension and proposed debarment list due to a lack of nexus between the activities in question and the current ownership of the Company.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w:t>
      </w:r>
    </w:p>
    <w:p>
      <w:pPr>
        <w:sectPr>
          <w:pgSz w:w="11900" w:h="16838" w:orient="portrait"/>
          <w:cols w:equalWidth="0" w:num="1">
            <w:col w:w="10219"/>
          </w:cols>
          <w:pgMar w:left="240" w:top="312" w:right="1440" w:bottom="987"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12" w:right="1440" w:bottom="987"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three-month period ended June 30, 1999. On July 29, 1999, the Company announced a further reduction in its expected earnings for that period. On August 3, 1999, the Company announced that its reported operating income for the three-month period ended March 31, 1999 may have included certain non-recurring pretax income items. Between July 8, 1999 and August 4, 1999, several lawsuits that purport to be based on one or more of these announcements have been filed against the Company and certain of its officers and directors in the United States District Court for the Southern District of Texas.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addition, two of the Company's shareholders have filed lawsuits against certain officers and directors of the Company in connection with the events surrounding the Company's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the Company against these individuals for alleged breaches of fiduciary duty resulting from their alleged stock sales during the three-month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who purchased the Company's common stock on June 30, 1999. The letter demands that the Administrative Committee of the Plan bring an action against the Company and certain selling officers and directors for losses allegedly sustained by the participants in their stock purchases. These Plan participants have indicated in the letter that, absent action by the Plan, they intend to sue the Company and the directors and officers on behalf of the Plan and its participants.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209"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stock of the Company prior to the July 6, 1999 earnings forecast announcement.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the former chairman of the SEC and chairman of the Company's audit committee, is directing the review.</w:t>
      </w:r>
    </w:p>
    <w:p>
      <w:pPr>
        <w:spacing w:after="0" w:line="211"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The Company has received a CID from the Antitrust Division of the United States Department of Justice inquiring into the Company's non-hazardous solid waste operations in the State of Massachusetts. The CID purports to have been issued for the purpose of determining whether the Company has engaged in</w:t>
      </w:r>
    </w:p>
    <w:p>
      <w:pPr>
        <w:sectPr>
          <w:pgSz w:w="11900" w:h="16838" w:orient="portrait"/>
          <w:cols w:equalWidth="0" w:num="1">
            <w:col w:w="10219"/>
          </w:cols>
          <w:pgMar w:left="240" w:top="312" w:right="1440" w:bottom="379" w:gutter="0" w:footer="0" w:header="0"/>
        </w:sectPr>
      </w:pP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2" w:right="1440" w:bottom="379"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monopolization, illegal contracts in restraint of trade, or anticompetitive acquisitions of disposal and/or hauling assets. The CID requires the Company to provide the Department of Justice with certain documents to assist it in its inquiry.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purports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seeks compensatory and punitive damages, costs, restitution with interest, and such other relief as the Court deems proper.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or inquiries may have a material adverse impact on their respective financial conditions or results of operations in one or more future periods. The Company and WM Holdings intend to defend themselves vigorously in all the above matters.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June 30, 1999, there were four proceedings involving Company subsidiaries where the sanctions involved could potentially exceed $100,000. The Company believes that any such fines or penalties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civil litigation and governmental proceedings relating to the conduct of their business, some of which are addressed elsewhere in this report or in the Company's Quarterly Report on Form 10-Q for the quarterly period ended March 31, 1999 and Annual Report on Form 10-K for the year ended December 31, 1998, as filed with the Securities and Exchange Commission. While the outcome of any particular lawsuit or governmental investigation cannot be predicted with certainty, the Company believes that these matters will not have a material adverse effect on its consolidated financial statements.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 the Company's Annual Meeting of Stockholders held on May 14, 1999, a proposal to elect the nominees listed in the following table as Class I directors of the Company was submitted to a vote of the Company's stockholders. The following table also shows the results of voting as to each nominee: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ind w:left="2740"/>
              <w:spacing w:after="0"/>
              <w:rPr>
                <w:sz w:val="20"/>
                <w:szCs w:val="20"/>
                <w:color w:val="auto"/>
              </w:rPr>
            </w:pPr>
            <w:r>
              <w:rPr>
                <w:rFonts w:ascii="Courier New" w:cs="Courier New" w:eastAsia="Courier New" w:hAnsi="Courier New"/>
                <w:sz w:val="18"/>
                <w:szCs w:val="18"/>
                <w:color w:val="auto"/>
              </w:rPr>
              <w:t>NOMINEE</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VOTES FOR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203"/>
        </w:trPr>
        <w:tc>
          <w:tcPr>
            <w:tcW w:w="64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Pastora San Juan Cafferty...................................</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517,586,278</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2,324,725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Ralph F. Cox................................................</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517,604,832</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2,306,172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Richard J. Heckmann.........................................</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517,620,222</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2,290,782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Steven G. Rothmeier.........................................</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517,594,157</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2,316,847</w:t>
            </w:r>
          </w:p>
        </w:tc>
      </w:tr>
    </w:tbl>
    <w:p>
      <w:pPr>
        <w:spacing w:after="0" w:line="200" w:lineRule="exact"/>
        <w:rPr>
          <w:sz w:val="20"/>
          <w:szCs w:val="20"/>
          <w:color w:val="auto"/>
        </w:rPr>
      </w:pP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12" w:right="1440" w:bottom="581"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 the same meeting, a proposal to ratify the appointment of Arthur Andersen LLP as the Company's independent auditors for the fiscal year ending December 31, 1999 was submitted to a vote of the Company's stockholders. The proposal was adopted by the stockholders, receiving 518,353,020 votes for, 648,541 votes against and 909,443 votes withheld.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acquired upon its acquisition of Browning-Ferris Industries, Inc. The purchase price for these assets is approximately $501 million in cash. This acquisition is contingent on customary conditions; however, it is expected to be consummated at or near the end of the third quarter of 1999.</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NO. *</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18" w:lineRule="exact"/>
        <w:rPr>
          <w:sz w:val="20"/>
          <w:szCs w:val="20"/>
          <w:color w:val="auto"/>
        </w:rPr>
      </w:pPr>
    </w:p>
    <w:p>
      <w:pPr>
        <w:ind w:left="2640" w:hanging="1368"/>
        <w:spacing w:after="0"/>
        <w:tabs>
          <w:tab w:leader="none" w:pos="2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Restated Bylaws, as amended.</w:t>
      </w:r>
    </w:p>
    <w:tbl>
      <w:tblPr>
        <w:tblLayout w:type="fixed"/>
        <w:tblInd w:w="1060" w:type="dxa"/>
        <w:tblCellMar>
          <w:top w:w="0" w:type="dxa"/>
          <w:left w:w="0" w:type="dxa"/>
          <w:bottom w:w="0" w:type="dxa"/>
          <w:right w:w="0" w:type="dxa"/>
        </w:tblCellMar>
      </w:tblPr>
      <w:tr>
        <w:trPr>
          <w:trHeight w:val="203"/>
        </w:trPr>
        <w:tc>
          <w:tcPr>
            <w:tcW w:w="10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 Computation of Ratio of</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Earnings to Fixed Charges.</w:t>
            </w:r>
          </w:p>
        </w:tc>
      </w:tr>
      <w:tr>
        <w:trPr>
          <w:trHeight w:val="203"/>
        </w:trPr>
        <w:tc>
          <w:tcPr>
            <w:tcW w:w="10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rPr>
              <w:t>27</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Financial Data Schedule.</w:t>
            </w:r>
          </w:p>
        </w:tc>
        <w:tc>
          <w:tcPr>
            <w:tcW w:w="2740" w:type="dxa"/>
            <w:vAlign w:val="bottom"/>
          </w:tcPr>
          <w:p>
            <w:pPr>
              <w:spacing w:after="0"/>
              <w:rPr>
                <w:sz w:val="17"/>
                <w:szCs w:val="17"/>
                <w:color w:val="auto"/>
              </w:rPr>
            </w:pPr>
          </w:p>
        </w:tc>
      </w:tr>
      <w:tr>
        <w:trPr>
          <w:trHeight w:val="203"/>
        </w:trPr>
        <w:tc>
          <w:tcPr>
            <w:tcW w:w="10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27.1</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Financial Data</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1879" w:hanging="207"/>
        <w:spacing w:after="0" w:line="236"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the second quarter of 1999, the Company filed no reports on Form</w:t>
      </w:r>
    </w:p>
    <w:p>
      <w:pPr>
        <w:spacing w:after="0" w:line="238" w:lineRule="auto"/>
        <w:rPr>
          <w:sz w:val="20"/>
          <w:szCs w:val="20"/>
          <w:color w:val="auto"/>
        </w:rPr>
      </w:pPr>
      <w:r>
        <w:rPr>
          <w:rFonts w:ascii="Courier New" w:cs="Courier New" w:eastAsia="Courier New" w:hAnsi="Courier New"/>
          <w:sz w:val="18"/>
          <w:szCs w:val="18"/>
          <w:color w:val="auto"/>
        </w:rPr>
        <w:t>8-K.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 to sign in the dual responsibility on behalf of the Registrant and as Chief Accounting Officer.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E. SNYDER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Bruce E. Snyder</w:t>
      </w:r>
    </w:p>
    <w:p>
      <w:pPr>
        <w:ind w:left="5700"/>
        <w:spacing w:after="0" w:line="238" w:lineRule="auto"/>
        <w:rPr>
          <w:sz w:val="20"/>
          <w:szCs w:val="20"/>
          <w:color w:val="auto"/>
        </w:rPr>
      </w:pPr>
      <w:r>
        <w:rPr>
          <w:rFonts w:ascii="Courier New" w:cs="Courier New" w:eastAsia="Courier New" w:hAnsi="Courier New"/>
          <w:sz w:val="18"/>
          <w:szCs w:val="18"/>
          <w:color w:val="auto"/>
        </w:rPr>
        <w:t>Vice President and</w:t>
      </w:r>
    </w:p>
    <w:p>
      <w:pPr>
        <w:ind w:left="5380"/>
        <w:spacing w:after="0"/>
        <w:rPr>
          <w:sz w:val="20"/>
          <w:szCs w:val="20"/>
          <w:color w:val="auto"/>
        </w:rPr>
      </w:pPr>
      <w:r>
        <w:rPr>
          <w:rFonts w:ascii="Courier New" w:cs="Courier New" w:eastAsia="Courier New" w:hAnsi="Courier New"/>
          <w:sz w:val="18"/>
          <w:szCs w:val="18"/>
          <w:color w:val="auto"/>
        </w:rPr>
        <w:t>Chief Accounting Officer</w:t>
      </w:r>
    </w:p>
    <w:p>
      <w:pPr>
        <w:ind w:left="50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16,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18" w:lineRule="exact"/>
        <w:rPr>
          <w:sz w:val="20"/>
          <w:szCs w:val="20"/>
          <w:color w:val="auto"/>
        </w:rPr>
      </w:pPr>
    </w:p>
    <w:p>
      <w:pPr>
        <w:ind w:left="2640" w:hanging="1473"/>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Restated Bylaws, as amended.</w:t>
      </w:r>
    </w:p>
    <w:tbl>
      <w:tblPr>
        <w:tblLayout w:type="fixed"/>
        <w:tblInd w:w="1060" w:type="dxa"/>
        <w:tblCellMar>
          <w:top w:w="0" w:type="dxa"/>
          <w:left w:w="0" w:type="dxa"/>
          <w:bottom w:w="0" w:type="dxa"/>
          <w:right w:w="0" w:type="dxa"/>
        </w:tblCellMar>
      </w:tblP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 Computation of Ratio of</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Earnings to Fixed Charges.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Financial Data Schedule.</w:t>
            </w:r>
          </w:p>
        </w:tc>
        <w:tc>
          <w:tcPr>
            <w:tcW w:w="27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Financial Data</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999" w:hanging="212"/>
        <w:spacing w:after="0" w:line="236"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9"/>
          </w:cols>
          <w:pgMar w:left="240" w:top="312"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w:t>
      </w:r>
    </w:p>
    <w:p>
      <w:pPr>
        <w:ind w:left="3800"/>
        <w:spacing w:after="0"/>
        <w:rPr>
          <w:sz w:val="20"/>
          <w:szCs w:val="20"/>
          <w:color w:val="auto"/>
        </w:rPr>
      </w:pPr>
      <w:r>
        <w:rPr>
          <w:rFonts w:ascii="Courier New" w:cs="Courier New" w:eastAsia="Courier New" w:hAnsi="Courier New"/>
          <w:sz w:val="18"/>
          <w:szCs w:val="18"/>
          <w:color w:val="auto"/>
        </w:rPr>
        <w:t>BY-LAWS</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(f/k/a USA WASTE SERVICES, INC.)</w:t>
      </w:r>
    </w:p>
    <w:p>
      <w:pPr>
        <w:jc w:val="center"/>
        <w:ind w:right="1779"/>
        <w:spacing w:after="0"/>
        <w:rPr>
          <w:sz w:val="20"/>
          <w:szCs w:val="20"/>
          <w:color w:val="auto"/>
        </w:rPr>
      </w:pPr>
      <w:r>
        <w:rPr>
          <w:rFonts w:ascii="Courier New" w:cs="Courier New" w:eastAsia="Courier New" w:hAnsi="Courier New"/>
          <w:sz w:val="18"/>
          <w:szCs w:val="18"/>
          <w:color w:val="auto"/>
        </w:rPr>
        <w:t>AS OF MAY 14, 1999</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OFFICES</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6"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0" w:lineRule="exact"/>
        <w:rPr>
          <w:sz w:val="20"/>
          <w:szCs w:val="20"/>
          <w:color w:val="auto"/>
        </w:rPr>
      </w:pPr>
    </w:p>
    <w:p>
      <w:pPr>
        <w:spacing w:after="0" w:line="209" w:lineRule="exact"/>
        <w:rPr>
          <w:sz w:val="20"/>
          <w:szCs w:val="20"/>
          <w:color w:val="auto"/>
        </w:rPr>
      </w:pPr>
    </w:p>
    <w:p>
      <w:pPr>
        <w:ind w:right="2199" w:firstLine="1896"/>
        <w:spacing w:after="0" w:line="237" w:lineRule="auto"/>
        <w:rPr>
          <w:sz w:val="20"/>
          <w:szCs w:val="20"/>
          <w:color w:val="auto"/>
        </w:rPr>
      </w:pPr>
      <w:r>
        <w:rPr>
          <w:rFonts w:ascii="Courier New" w:cs="Courier New" w:eastAsia="Courier New" w:hAnsi="Courier New"/>
          <w:sz w:val="18"/>
          <w:szCs w:val="18"/>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w:t>
      </w:r>
    </w:p>
    <w:p>
      <w:pPr>
        <w:sectPr>
          <w:pgSz w:w="11900" w:h="16838" w:orient="portrait"/>
          <w:cols w:equalWidth="0" w:num="1">
            <w:col w:w="10219"/>
          </w:cols>
          <w:pgMar w:left="240" w:top="136"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meeting is to be held. The list shall also be produced and kept at the time and place of the meeting during the whole time thereof, and may be inspected by any stockholder who is present.</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21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212"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6"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88"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396"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20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1896"/>
        <w:spacing w:after="0" w:line="271" w:lineRule="auto"/>
        <w:rPr>
          <w:sz w:val="20"/>
          <w:szCs w:val="20"/>
          <w:color w:val="auto"/>
        </w:rPr>
      </w:pPr>
      <w:r>
        <w:rPr>
          <w:rFonts w:ascii="Courier New" w:cs="Courier New" w:eastAsia="Courier New" w:hAnsi="Courier New"/>
          <w:sz w:val="16"/>
          <w:szCs w:val="16"/>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0" w:lineRule="exact"/>
        <w:rPr>
          <w:sz w:val="20"/>
          <w:szCs w:val="20"/>
          <w:color w:val="auto"/>
        </w:rPr>
      </w:pPr>
    </w:p>
    <w:p>
      <w:pPr>
        <w:ind w:left="2320" w:hanging="416"/>
        <w:spacing w:after="0"/>
        <w:tabs>
          <w:tab w:leader="none" w:pos="2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only one votes, his act binds all;</w:t>
      </w:r>
    </w:p>
    <w:p>
      <w:pPr>
        <w:spacing w:after="0" w:line="206"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 voting</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binds all;</w:t>
      </w:r>
    </w:p>
    <w:p>
      <w:pPr>
        <w:spacing w:after="0" w:line="207" w:lineRule="exact"/>
        <w:rPr>
          <w:rFonts w:ascii="Courier New" w:cs="Courier New" w:eastAsia="Courier New" w:hAnsi="Courier New"/>
          <w:sz w:val="16"/>
          <w:szCs w:val="16"/>
          <w:color w:val="auto"/>
        </w:rPr>
      </w:pPr>
    </w:p>
    <w:p>
      <w:pPr>
        <w:ind w:left="960" w:right="1879" w:firstLine="944"/>
        <w:spacing w:after="0" w:line="270" w:lineRule="auto"/>
        <w:tabs>
          <w:tab w:leader="none" w:pos="232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8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216" w:lineRule="exact"/>
        <w:rPr>
          <w:sz w:val="20"/>
          <w:szCs w:val="20"/>
          <w:color w:val="auto"/>
        </w:rPr>
      </w:pPr>
    </w:p>
    <w:p>
      <w:pPr>
        <w:ind w:right="2739" w:firstLine="1896"/>
        <w:spacing w:after="0" w:line="236" w:lineRule="auto"/>
        <w:rPr>
          <w:sz w:val="20"/>
          <w:szCs w:val="20"/>
          <w:color w:val="auto"/>
        </w:rPr>
      </w:pPr>
      <w:r>
        <w:rPr>
          <w:rFonts w:ascii="Courier New" w:cs="Courier New" w:eastAsia="Courier New" w:hAnsi="Courier New"/>
          <w:sz w:val="18"/>
          <w:szCs w:val="18"/>
          <w:color w:val="auto"/>
        </w:rPr>
        <w:t>Unless otherwise provided in the Certificate of Incorporation, cumulative voting for the election of directors shall be prohibited.</w:t>
      </w:r>
    </w:p>
    <w:p>
      <w:pPr>
        <w:spacing w:after="0" w:line="209"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203" w:lineRule="exact"/>
        <w:rPr>
          <w:sz w:val="20"/>
          <w:szCs w:val="20"/>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Calling of meeting to order.</w:t>
      </w:r>
    </w:p>
    <w:p>
      <w:pPr>
        <w:spacing w:after="0" w:line="20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a chairman and the appointment of a secretary if necessary.</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of proof of the due calling of the meeting.</w:t>
      </w:r>
    </w:p>
    <w:p>
      <w:pPr>
        <w:spacing w:after="0" w:line="20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and examination of proxies and determination of a quorum.</w:t>
      </w:r>
    </w:p>
    <w:p>
      <w:pPr>
        <w:spacing w:after="0" w:line="208" w:lineRule="exact"/>
        <w:rPr>
          <w:rFonts w:ascii="Courier New" w:cs="Courier New" w:eastAsia="Courier New" w:hAnsi="Courier New"/>
          <w:sz w:val="18"/>
          <w:szCs w:val="18"/>
          <w:color w:val="auto"/>
        </w:rPr>
      </w:pPr>
    </w:p>
    <w:p>
      <w:pPr>
        <w:ind w:left="1900" w:right="2739" w:hanging="944"/>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Reading and settlement of the minutes of the previous meeting.</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of officers and committees.</w:t>
      </w:r>
    </w:p>
    <w:p>
      <w:pPr>
        <w:spacing w:after="0" w:line="20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directors if an annual meeting, or a meeting called for that purpose.</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Unfinished business.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business.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78" w:lineRule="exact"/>
        <w:rPr>
          <w:sz w:val="20"/>
          <w:szCs w:val="20"/>
          <w:color w:val="auto"/>
        </w:rPr>
      </w:pPr>
    </w:p>
    <w:p>
      <w:pPr>
        <w:ind w:right="1999" w:firstLine="1896"/>
        <w:spacing w:after="0" w:line="269" w:lineRule="auto"/>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fixed as aforesaid. With respect to a meeting of stockholders, the record date shall not be less than ten days before the date of such meeting.</w:t>
      </w:r>
    </w:p>
    <w:p>
      <w:pPr>
        <w:spacing w:after="0" w:line="208"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214"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212"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215"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207"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0" w:lineRule="exact"/>
        <w:rPr>
          <w:sz w:val="20"/>
          <w:szCs w:val="20"/>
          <w:color w:val="auto"/>
        </w:rPr>
      </w:pPr>
    </w:p>
    <w:p>
      <w:pPr>
        <w:spacing w:after="0" w:line="39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210"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210"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directors constituting the Board of Directors shall shorten the term of any incumbent director.</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211"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212"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207"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18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209"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COMMITTEES OF DIRECTORS</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4.1. Designation, Powers and Name.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or the resolution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4.2. Nominating and Governance Committee. The Nominating and Governance Committee of the Board of Directors (the "Nominating and Governance Committee") shall consist of not less than three directors, all of whom shall be "non-employee" (as hereinafter defined) directors of the Corporation, to be designated by the Board of Directors. The term "non-employee" director, as used in these by-laws, shall mean a director of the Corporation who is independent of management and free from any relationship with the Corporation or otherwise that, in the opinion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Board of Directors, would interfere in the exercise of independent judgment as a director, and is not an officer, employee, agent or affiliate (except as a director) of the Corporation. It is further presumed that no former officer or employee of the Corporation may qualify as a non-employee director; provided, however, that this presumption may be rebutted by the affirmative determination by the Board of Directors. The Nominating and Governance Committee shall have and may exercise all of the powers of the Board of Directors, except as may otherwise be prohibited by law or herein, with respect to (i) evaluating and recommending director candidates to the Board of Directors, (ii) assessing Board of Directors performance not less than every three years, (iii) reviewing individual director performance as issues arise and (iv) periodically reviewing the Corporation's corporate governance profile.</w:t>
      </w:r>
    </w:p>
    <w:p>
      <w:pPr>
        <w:spacing w:after="0" w:line="391" w:lineRule="exact"/>
        <w:rPr>
          <w:sz w:val="20"/>
          <w:szCs w:val="20"/>
          <w:color w:val="auto"/>
        </w:rPr>
      </w:pPr>
    </w:p>
    <w:p>
      <w:pPr>
        <w:ind w:right="2099" w:firstLine="1896"/>
        <w:spacing w:after="0" w:line="238" w:lineRule="auto"/>
        <w:rPr>
          <w:sz w:val="20"/>
          <w:szCs w:val="20"/>
          <w:color w:val="auto"/>
        </w:rPr>
      </w:pPr>
      <w:r>
        <w:rPr>
          <w:rFonts w:ascii="Courier New" w:cs="Courier New" w:eastAsia="Courier New" w:hAnsi="Courier New"/>
          <w:sz w:val="18"/>
          <w:szCs w:val="18"/>
          <w:color w:val="auto"/>
        </w:rPr>
        <w:t>SECTION 4.3. Compensation Committee. The Compensation Committee of the Board of Directors (the "Compensation Committee") shall consist of not less than three directors, all of whom shall be non-employee directors of the Corporation, to be designated by the Board of Directors.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208"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4.4. Audit Committee. The Audit Committee of the Board of Directors (the "Audit Committee") shall consist of not less than two directors, all of whom shall be non-employee directors of the Corporation, to be designated by the Board of Directors.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 (iv) 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 (v) 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39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4.6. Compensation. Members of special or standing committees may be allowed compensation for attending committee meetings, if the Board of Directors shall so determine.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SECTION 5.2. Written Waiver. Whenever any notice is required to be given under the provisions of the statutes, the Certificate of Incorporation or these by-laws, a waiver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200" w:lineRule="exact"/>
        <w:rPr>
          <w:sz w:val="20"/>
          <w:szCs w:val="20"/>
          <w:color w:val="auto"/>
        </w:rPr>
      </w:pPr>
    </w:p>
    <w:p>
      <w:pPr>
        <w:spacing w:after="0" w:line="21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395" w:lineRule="exact"/>
        <w:rPr>
          <w:sz w:val="20"/>
          <w:szCs w:val="20"/>
          <w:color w:val="auto"/>
        </w:rPr>
      </w:pPr>
    </w:p>
    <w:p>
      <w:pPr>
        <w:ind w:right="2099" w:firstLine="1896"/>
        <w:spacing w:after="0" w:line="275"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2"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any later time specified therein, and unless otherwise specified therein, the acceptance of such resignation shall not be necessary to make it effective.</w:t>
      </w:r>
    </w:p>
    <w:p>
      <w:pPr>
        <w:spacing w:after="0" w:line="170"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SECTION 6.4. Vacancies. Any vacancy occurring in any office of the Corporation by death, resignation, removal or otherwise, may be filled by the Board of Directors for the unexpired portion of the term.</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20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38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391"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214"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214"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210"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210"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9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CONTRACTS, CHECKS AND DEPOSITS</w:t>
      </w:r>
    </w:p>
    <w:p>
      <w:pPr>
        <w:spacing w:after="0" w:line="207"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210" w:lineRule="exact"/>
        <w:rPr>
          <w:sz w:val="20"/>
          <w:szCs w:val="20"/>
          <w:color w:val="auto"/>
        </w:rPr>
      </w:pPr>
    </w:p>
    <w:p>
      <w:pPr>
        <w:ind w:right="1879" w:firstLine="1896"/>
        <w:spacing w:after="0" w:line="273" w:lineRule="auto"/>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w:t>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may be endorsed for deposit to the credit of the Corporation with a duly authorized depositary by the Controller and/or such other officers or persons as the Board of Directors from time to time may designate.</w:t>
      </w:r>
    </w:p>
    <w:p>
      <w:pPr>
        <w:spacing w:after="0" w:line="20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de,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CERTIFICATES OF STOCK</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spacing w:after="0" w:line="394"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88"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38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210"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00" w:lineRule="exact"/>
        <w:rPr>
          <w:sz w:val="20"/>
          <w:szCs w:val="20"/>
          <w:color w:val="auto"/>
        </w:rPr>
      </w:pPr>
    </w:p>
    <w:p>
      <w:pPr>
        <w:spacing w:after="0" w:line="393"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207"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6"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84"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207"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207"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1</w:t>
      </w:r>
    </w:p>
    <w:p>
      <w:pPr>
        <w:ind w:left="7280"/>
        <w:spacing w:after="0" w:line="238" w:lineRule="auto"/>
        <w:rPr>
          <w:sz w:val="20"/>
          <w:szCs w:val="20"/>
          <w:color w:val="auto"/>
        </w:rPr>
      </w:pPr>
      <w:r>
        <w:rPr>
          <w:rFonts w:ascii="Courier New" w:cs="Courier New" w:eastAsia="Courier New" w:hAnsi="Courier New"/>
          <w:sz w:val="18"/>
          <w:szCs w:val="18"/>
          <w:color w:val="auto"/>
        </w:rPr>
        <w:t>EXHIBIT 12</w:t>
      </w: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6" w:lineRule="exact"/>
        <w:rPr>
          <w:sz w:val="20"/>
          <w:szCs w:val="20"/>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(IN THOUSANDS, EXCEPT RATIOS)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40" w:type="dxa"/>
            <w:vAlign w:val="bottom"/>
            <w:gridSpan w:val="4"/>
          </w:tcPr>
          <w:p>
            <w:pPr>
              <w:jc w:val="right"/>
              <w:ind w:right="612"/>
              <w:spacing w:after="0"/>
              <w:rPr>
                <w:sz w:val="20"/>
                <w:szCs w:val="20"/>
                <w:color w:val="auto"/>
              </w:rPr>
            </w:pPr>
            <w:r>
              <w:rPr>
                <w:rFonts w:ascii="Courier New" w:cs="Courier New" w:eastAsia="Courier New" w:hAnsi="Courier New"/>
                <w:sz w:val="18"/>
                <w:szCs w:val="18"/>
                <w:color w:val="auto"/>
              </w:rPr>
              <w:t>Six Months Ended June 30,</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4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1999</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Income before income taxes, extraordinary</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item and minority interests</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$1,153,573</w:t>
            </w:r>
          </w:p>
        </w:tc>
        <w:tc>
          <w:tcPr>
            <w:tcW w:w="88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817,346</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 deducted from income:</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361,068</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329,085</w:t>
            </w:r>
          </w:p>
        </w:tc>
        <w:tc>
          <w:tcPr>
            <w:tcW w:w="16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76,831</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27,318</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437,899</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356,403</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$1,591,472</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$1,173,749</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361,068</w:t>
            </w:r>
          </w:p>
        </w:tc>
        <w:tc>
          <w:tcPr>
            <w:tcW w:w="8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329,085</w:t>
            </w:r>
          </w:p>
        </w:tc>
        <w:tc>
          <w:tcPr>
            <w:tcW w:w="16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22,440</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18,561</w:t>
            </w:r>
          </w:p>
        </w:tc>
        <w:tc>
          <w:tcPr>
            <w:tcW w:w="16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76,831</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27,318</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460,339</w:t>
            </w:r>
          </w:p>
        </w:tc>
        <w:tc>
          <w:tcPr>
            <w:tcW w:w="88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374,964</w:t>
            </w:r>
          </w:p>
        </w:tc>
        <w:tc>
          <w:tcPr>
            <w:tcW w:w="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r>
        <w:trPr>
          <w:trHeight w:val="405"/>
        </w:trPr>
        <w:tc>
          <w:tcPr>
            <w:tcW w:w="5120" w:type="dxa"/>
            <w:vAlign w:val="bottom"/>
          </w:tcPr>
          <w:p>
            <w:pPr>
              <w:ind w:left="420"/>
              <w:spacing w:after="0"/>
              <w:rPr>
                <w:sz w:val="20"/>
                <w:szCs w:val="20"/>
                <w:color w:val="auto"/>
              </w:rPr>
            </w:pPr>
            <w:r>
              <w:rPr>
                <w:rFonts w:ascii="Courier New" w:cs="Courier New" w:eastAsia="Courier New" w:hAnsi="Courier New"/>
                <w:sz w:val="18"/>
                <w:szCs w:val="18"/>
                <w:color w:val="auto"/>
              </w:rPr>
              <w:t>Ratio of earnings to fixed charges</w:t>
            </w:r>
          </w:p>
        </w:tc>
        <w:tc>
          <w:tcPr>
            <w:tcW w:w="1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x</w:t>
            </w:r>
          </w:p>
        </w:tc>
        <w:tc>
          <w:tcPr>
            <w:tcW w:w="9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1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70" w:name="page71"/>
    <w:bookmarkEnd w:id="7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59"/>
        <w:spacing w:after="0" w:line="279"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WASTE MANAGEMENT, INC. FOR THE SIX MONTHS ENDED JUNE 30, 1999 AND IS QUALIFIED IN ITS ENTIRETY BY REFERENCE TO SUCH FINANCIAL STATEMENTS.</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DEC-31-1999</w:t>
      </w:r>
    </w:p>
    <w:p>
      <w:pPr>
        <w:ind w:left="3020"/>
        <w:spacing w:after="0"/>
        <w:rPr>
          <w:sz w:val="20"/>
          <w:szCs w:val="20"/>
          <w:color w:val="auto"/>
        </w:rPr>
      </w:pPr>
      <w:r>
        <w:rPr>
          <w:rFonts w:ascii="Courier New" w:cs="Courier New" w:eastAsia="Courier New" w:hAnsi="Courier New"/>
          <w:sz w:val="18"/>
          <w:szCs w:val="18"/>
          <w:color w:val="auto"/>
        </w:rPr>
        <w:t>JAN-01-1999</w:t>
      </w:r>
    </w:p>
    <w:p>
      <w:pPr>
        <w:ind w:left="3240"/>
        <w:spacing w:after="0" w:line="237" w:lineRule="auto"/>
        <w:rPr>
          <w:sz w:val="20"/>
          <w:szCs w:val="20"/>
          <w:color w:val="auto"/>
        </w:rPr>
      </w:pPr>
      <w:r>
        <w:rPr>
          <w:rFonts w:ascii="Courier New" w:cs="Courier New" w:eastAsia="Courier New" w:hAnsi="Courier New"/>
          <w:sz w:val="18"/>
          <w:szCs w:val="18"/>
          <w:color w:val="auto"/>
        </w:rPr>
        <w:t>JUN-30-1999</w:t>
      </w:r>
    </w:p>
    <w:p>
      <w:pPr>
        <w:ind w:left="4400"/>
        <w:spacing w:after="0" w:line="238" w:lineRule="auto"/>
        <w:rPr>
          <w:sz w:val="20"/>
          <w:szCs w:val="20"/>
          <w:color w:val="auto"/>
        </w:rPr>
      </w:pPr>
      <w:r>
        <w:rPr>
          <w:rFonts w:ascii="Courier New" w:cs="Courier New" w:eastAsia="Courier New" w:hAnsi="Courier New"/>
          <w:sz w:val="18"/>
          <w:szCs w:val="18"/>
          <w:color w:val="auto"/>
        </w:rPr>
        <w:t>80,999</w:t>
      </w:r>
    </w:p>
    <w:p>
      <w:pPr>
        <w:ind w:left="3860"/>
        <w:spacing w:after="0"/>
        <w:rPr>
          <w:sz w:val="20"/>
          <w:szCs w:val="20"/>
          <w:color w:val="auto"/>
        </w:rPr>
      </w:pPr>
      <w:r>
        <w:rPr>
          <w:rFonts w:ascii="Courier New" w:cs="Courier New" w:eastAsia="Courier New" w:hAnsi="Courier New"/>
          <w:sz w:val="18"/>
          <w:szCs w:val="18"/>
          <w:color w:val="auto"/>
        </w:rPr>
        <w:t>8,119</w:t>
      </w:r>
    </w:p>
    <w:p>
      <w:pPr>
        <w:ind w:left="3340"/>
        <w:spacing w:after="0" w:line="237" w:lineRule="auto"/>
        <w:rPr>
          <w:sz w:val="20"/>
          <w:szCs w:val="20"/>
          <w:color w:val="auto"/>
        </w:rPr>
      </w:pPr>
      <w:r>
        <w:rPr>
          <w:rFonts w:ascii="Courier New" w:cs="Courier New" w:eastAsia="Courier New" w:hAnsi="Courier New"/>
          <w:sz w:val="18"/>
          <w:szCs w:val="18"/>
          <w:color w:val="auto"/>
        </w:rPr>
        <w:t>2,783,054</w:t>
      </w:r>
    </w:p>
    <w:p>
      <w:pPr>
        <w:ind w:left="3660"/>
        <w:spacing w:after="0"/>
        <w:rPr>
          <w:sz w:val="20"/>
          <w:szCs w:val="20"/>
          <w:color w:val="auto"/>
        </w:rPr>
      </w:pPr>
      <w:r>
        <w:rPr>
          <w:rFonts w:ascii="Courier New" w:cs="Courier New" w:eastAsia="Courier New" w:hAnsi="Courier New"/>
          <w:sz w:val="18"/>
          <w:szCs w:val="18"/>
          <w:color w:val="auto"/>
        </w:rPr>
        <w:t>127,656</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3,506,258</w:t>
      </w:r>
    </w:p>
    <w:p>
      <w:pPr>
        <w:ind w:left="3980"/>
        <w:spacing w:after="0" w:line="237" w:lineRule="auto"/>
        <w:rPr>
          <w:sz w:val="20"/>
          <w:szCs w:val="20"/>
          <w:color w:val="auto"/>
        </w:rPr>
      </w:pPr>
      <w:r>
        <w:rPr>
          <w:rFonts w:ascii="Courier New" w:cs="Courier New" w:eastAsia="Courier New" w:hAnsi="Courier New"/>
          <w:sz w:val="18"/>
          <w:szCs w:val="18"/>
          <w:color w:val="auto"/>
        </w:rPr>
        <w:t>18,706,738</w:t>
      </w:r>
    </w:p>
    <w:p>
      <w:pPr>
        <w:ind w:left="3240"/>
        <w:spacing w:after="0" w:line="238" w:lineRule="auto"/>
        <w:rPr>
          <w:sz w:val="20"/>
          <w:szCs w:val="20"/>
          <w:color w:val="auto"/>
        </w:rPr>
      </w:pPr>
      <w:r>
        <w:rPr>
          <w:rFonts w:ascii="Courier New" w:cs="Courier New" w:eastAsia="Courier New" w:hAnsi="Courier New"/>
          <w:sz w:val="18"/>
          <w:szCs w:val="18"/>
          <w:color w:val="auto"/>
        </w:rPr>
        <w:t>6,852,427</w:t>
      </w:r>
    </w:p>
    <w:p>
      <w:pPr>
        <w:ind w:left="3120"/>
        <w:spacing w:after="0"/>
        <w:rPr>
          <w:sz w:val="20"/>
          <w:szCs w:val="20"/>
          <w:color w:val="auto"/>
        </w:rPr>
      </w:pPr>
      <w:r>
        <w:rPr>
          <w:rFonts w:ascii="Courier New" w:cs="Courier New" w:eastAsia="Courier New" w:hAnsi="Courier New"/>
          <w:sz w:val="18"/>
          <w:szCs w:val="18"/>
          <w:color w:val="auto"/>
        </w:rPr>
        <w:t>22,991,673</w:t>
      </w:r>
    </w:p>
    <w:p>
      <w:pPr>
        <w:ind w:left="2500"/>
        <w:spacing w:after="0" w:line="237" w:lineRule="auto"/>
        <w:rPr>
          <w:sz w:val="20"/>
          <w:szCs w:val="20"/>
          <w:color w:val="auto"/>
        </w:rPr>
      </w:pPr>
      <w:r>
        <w:rPr>
          <w:rFonts w:ascii="Courier New" w:cs="Courier New" w:eastAsia="Courier New" w:hAnsi="Courier New"/>
          <w:sz w:val="18"/>
          <w:szCs w:val="18"/>
          <w:color w:val="auto"/>
        </w:rPr>
        <w:t>3,828,059</w:t>
      </w:r>
    </w:p>
    <w:p>
      <w:pPr>
        <w:ind w:left="3860"/>
        <w:spacing w:after="0"/>
        <w:rPr>
          <w:sz w:val="20"/>
          <w:szCs w:val="20"/>
          <w:color w:val="auto"/>
        </w:rPr>
      </w:pPr>
      <w:r>
        <w:rPr>
          <w:rFonts w:ascii="Courier New" w:cs="Courier New" w:eastAsia="Courier New" w:hAnsi="Courier New"/>
          <w:sz w:val="18"/>
          <w:szCs w:val="18"/>
          <w:color w:val="auto"/>
        </w:rPr>
        <w:t>10,932,384</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6,251</w:t>
      </w:r>
    </w:p>
    <w:p>
      <w:pPr>
        <w:ind w:left="3660"/>
        <w:spacing w:after="0" w:line="238" w:lineRule="auto"/>
        <w:rPr>
          <w:sz w:val="20"/>
          <w:szCs w:val="20"/>
          <w:color w:val="auto"/>
        </w:rPr>
      </w:pPr>
      <w:r>
        <w:rPr>
          <w:rFonts w:ascii="Courier New" w:cs="Courier New" w:eastAsia="Courier New" w:hAnsi="Courier New"/>
          <w:sz w:val="18"/>
          <w:szCs w:val="18"/>
          <w:color w:val="auto"/>
        </w:rPr>
        <w:t>5,469,681</w:t>
      </w:r>
    </w:p>
    <w:p>
      <w:pPr>
        <w:ind w:left="1660"/>
        <w:spacing w:after="0"/>
        <w:rPr>
          <w:sz w:val="20"/>
          <w:szCs w:val="20"/>
          <w:color w:val="auto"/>
        </w:rPr>
      </w:pPr>
      <w:r>
        <w:rPr>
          <w:rFonts w:ascii="Courier New" w:cs="Courier New" w:eastAsia="Courier New" w:hAnsi="Courier New"/>
          <w:sz w:val="18"/>
          <w:szCs w:val="18"/>
          <w:color w:val="auto"/>
        </w:rPr>
        <w:t>22,991,673</w:t>
      </w:r>
    </w:p>
    <w:p>
      <w:pPr>
        <w:ind w:left="3980"/>
        <w:spacing w:after="0" w:line="237" w:lineRule="auto"/>
        <w:rPr>
          <w:sz w:val="20"/>
          <w:szCs w:val="20"/>
          <w:color w:val="auto"/>
        </w:rPr>
      </w:pPr>
      <w:r>
        <w:rPr>
          <w:rFonts w:ascii="Courier New" w:cs="Courier New" w:eastAsia="Courier New" w:hAnsi="Courier New"/>
          <w:sz w:val="18"/>
          <w:szCs w:val="18"/>
          <w:color w:val="auto"/>
        </w:rPr>
        <w:t>6,405,210</w:t>
      </w:r>
    </w:p>
    <w:p>
      <w:pPr>
        <w:ind w:left="3020"/>
        <w:spacing w:after="0"/>
        <w:rPr>
          <w:sz w:val="20"/>
          <w:szCs w:val="20"/>
          <w:color w:val="auto"/>
        </w:rPr>
      </w:pPr>
      <w:r>
        <w:rPr>
          <w:rFonts w:ascii="Courier New" w:cs="Courier New" w:eastAsia="Courier New" w:hAnsi="Courier New"/>
          <w:sz w:val="18"/>
          <w:szCs w:val="18"/>
          <w:color w:val="auto"/>
        </w:rPr>
        <w:t>6,405,210</w:t>
      </w:r>
    </w:p>
    <w:p>
      <w:pPr>
        <w:ind w:left="4180"/>
        <w:spacing w:after="0" w:line="237" w:lineRule="auto"/>
        <w:rPr>
          <w:sz w:val="20"/>
          <w:szCs w:val="20"/>
          <w:color w:val="auto"/>
        </w:rPr>
      </w:pPr>
      <w:r>
        <w:rPr>
          <w:rFonts w:ascii="Courier New" w:cs="Courier New" w:eastAsia="Courier New" w:hAnsi="Courier New"/>
          <w:sz w:val="18"/>
          <w:szCs w:val="18"/>
          <w:color w:val="auto"/>
        </w:rPr>
        <w:t>3,544,876</w:t>
      </w:r>
    </w:p>
    <w:p>
      <w:pPr>
        <w:ind w:left="3340"/>
        <w:spacing w:after="0"/>
        <w:rPr>
          <w:sz w:val="20"/>
          <w:szCs w:val="20"/>
          <w:color w:val="auto"/>
        </w:rPr>
      </w:pPr>
      <w:r>
        <w:rPr>
          <w:rFonts w:ascii="Courier New" w:cs="Courier New" w:eastAsia="Courier New" w:hAnsi="Courier New"/>
          <w:sz w:val="18"/>
          <w:szCs w:val="18"/>
          <w:color w:val="auto"/>
        </w:rPr>
        <w:t>4,929,628</w:t>
      </w:r>
    </w:p>
    <w:p>
      <w:pPr>
        <w:ind w:left="3340"/>
        <w:spacing w:after="0" w:line="237" w:lineRule="auto"/>
        <w:rPr>
          <w:sz w:val="20"/>
          <w:szCs w:val="20"/>
          <w:color w:val="auto"/>
        </w:rPr>
      </w:pPr>
      <w:r>
        <w:rPr>
          <w:rFonts w:ascii="Courier New" w:cs="Courier New" w:eastAsia="Courier New" w:hAnsi="Courier New"/>
          <w:sz w:val="18"/>
          <w:szCs w:val="18"/>
          <w:color w:val="auto"/>
        </w:rPr>
        <w:t>26,050</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361,068</w:t>
      </w:r>
    </w:p>
    <w:p>
      <w:pPr>
        <w:ind w:left="3120"/>
        <w:spacing w:after="0" w:line="238" w:lineRule="auto"/>
        <w:rPr>
          <w:sz w:val="20"/>
          <w:szCs w:val="20"/>
          <w:color w:val="auto"/>
        </w:rPr>
      </w:pPr>
      <w:r>
        <w:rPr>
          <w:rFonts w:ascii="Courier New" w:cs="Courier New" w:eastAsia="Courier New" w:hAnsi="Courier New"/>
          <w:sz w:val="18"/>
          <w:szCs w:val="18"/>
          <w:color w:val="auto"/>
        </w:rPr>
        <w:t>1,140,564</w:t>
      </w:r>
    </w:p>
    <w:p>
      <w:pPr>
        <w:ind w:left="3660"/>
        <w:spacing w:after="0"/>
        <w:rPr>
          <w:sz w:val="20"/>
          <w:szCs w:val="20"/>
          <w:color w:val="auto"/>
        </w:rPr>
      </w:pPr>
      <w:r>
        <w:rPr>
          <w:rFonts w:ascii="Courier New" w:cs="Courier New" w:eastAsia="Courier New" w:hAnsi="Courier New"/>
          <w:sz w:val="18"/>
          <w:szCs w:val="18"/>
          <w:color w:val="auto"/>
        </w:rPr>
        <w:t>475,614</w:t>
      </w:r>
    </w:p>
    <w:p>
      <w:pPr>
        <w:ind w:left="2920"/>
        <w:spacing w:after="0" w:line="237" w:lineRule="auto"/>
        <w:rPr>
          <w:sz w:val="20"/>
          <w:szCs w:val="20"/>
          <w:color w:val="auto"/>
        </w:rPr>
      </w:pPr>
      <w:r>
        <w:rPr>
          <w:rFonts w:ascii="Courier New" w:cs="Courier New" w:eastAsia="Courier New" w:hAnsi="Courier New"/>
          <w:sz w:val="18"/>
          <w:szCs w:val="18"/>
          <w:color w:val="auto"/>
        </w:rPr>
        <w:t>664,950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664,950</w:t>
      </w:r>
    </w:p>
    <w:p>
      <w:pPr>
        <w:ind w:left="4080"/>
        <w:spacing w:after="0" w:line="238" w:lineRule="auto"/>
        <w:rPr>
          <w:sz w:val="20"/>
          <w:szCs w:val="20"/>
          <w:color w:val="auto"/>
        </w:rPr>
      </w:pPr>
      <w:r>
        <w:rPr>
          <w:rFonts w:ascii="Courier New" w:cs="Courier New" w:eastAsia="Courier New" w:hAnsi="Courier New"/>
          <w:sz w:val="18"/>
          <w:szCs w:val="18"/>
          <w:color w:val="auto"/>
        </w:rPr>
        <w:t>1.10</w:t>
      </w:r>
    </w:p>
    <w:p>
      <w:pPr>
        <w:ind w:left="386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179"/>
          </w:cols>
          <w:pgMar w:left="280" w:top="541" w:right="1440" w:bottom="1440" w:gutter="0" w:footer="0" w:header="0"/>
        </w:sectPr>
      </w:pPr>
    </w:p>
    <w:bookmarkStart w:id="71" w:name="page72"/>
    <w:bookmarkEnd w:id="7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59"/>
        <w:spacing w:after="0" w:line="237" w:lineRule="auto"/>
        <w:rPr>
          <w:sz w:val="20"/>
          <w:szCs w:val="20"/>
          <w:color w:val="auto"/>
        </w:rPr>
      </w:pPr>
      <w:r>
        <w:rPr>
          <w:rFonts w:ascii="Courier New" w:cs="Courier New" w:eastAsia="Courier New" w:hAnsi="Courier New"/>
          <w:sz w:val="18"/>
          <w:szCs w:val="18"/>
          <w:color w:val="auto"/>
        </w:rPr>
        <w:t>THIS SCHEDULE CONTAINS RESTATED SUMMARY FINANCIAL INFORMATION EXTRACTED FROM THE FINANCIAL STATEMENTS OF WASTE MANAGEMENT, INC. FOR THE THREE MONTHS ENDED MARCH 31, 1999 AND IS QUALIFIED IN ITS ENTIRETY BY REFERENCE TO SUCH FINANCIAL STATEMENTS.</w:t>
      </w: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DEC-31-1998</w:t>
      </w:r>
    </w:p>
    <w:p>
      <w:pPr>
        <w:ind w:left="3020"/>
        <w:spacing w:after="0"/>
        <w:rPr>
          <w:sz w:val="20"/>
          <w:szCs w:val="20"/>
          <w:color w:val="auto"/>
        </w:rPr>
      </w:pPr>
      <w:r>
        <w:rPr>
          <w:rFonts w:ascii="Courier New" w:cs="Courier New" w:eastAsia="Courier New" w:hAnsi="Courier New"/>
          <w:sz w:val="18"/>
          <w:szCs w:val="18"/>
          <w:color w:val="auto"/>
        </w:rPr>
        <w:t>JAN-01-1999</w:t>
      </w:r>
    </w:p>
    <w:p>
      <w:pPr>
        <w:ind w:left="3240"/>
        <w:spacing w:after="0" w:line="237" w:lineRule="auto"/>
        <w:rPr>
          <w:sz w:val="20"/>
          <w:szCs w:val="20"/>
          <w:color w:val="auto"/>
        </w:rPr>
      </w:pPr>
      <w:r>
        <w:rPr>
          <w:rFonts w:ascii="Courier New" w:cs="Courier New" w:eastAsia="Courier New" w:hAnsi="Courier New"/>
          <w:sz w:val="18"/>
          <w:szCs w:val="18"/>
          <w:color w:val="auto"/>
        </w:rPr>
        <w:t>MAR-31-1999</w:t>
      </w:r>
    </w:p>
    <w:p>
      <w:pPr>
        <w:ind w:left="4400"/>
        <w:spacing w:after="0" w:line="238" w:lineRule="auto"/>
        <w:rPr>
          <w:sz w:val="20"/>
          <w:szCs w:val="20"/>
          <w:color w:val="auto"/>
        </w:rPr>
      </w:pPr>
      <w:r>
        <w:rPr>
          <w:rFonts w:ascii="Courier New" w:cs="Courier New" w:eastAsia="Courier New" w:hAnsi="Courier New"/>
          <w:sz w:val="18"/>
          <w:szCs w:val="18"/>
          <w:color w:val="auto"/>
        </w:rPr>
        <w:t>59,364</w:t>
      </w:r>
    </w:p>
    <w:p>
      <w:pPr>
        <w:ind w:left="3860"/>
        <w:spacing w:after="0"/>
        <w:rPr>
          <w:sz w:val="20"/>
          <w:szCs w:val="20"/>
          <w:color w:val="auto"/>
        </w:rPr>
      </w:pPr>
      <w:r>
        <w:rPr>
          <w:rFonts w:ascii="Courier New" w:cs="Courier New" w:eastAsia="Courier New" w:hAnsi="Courier New"/>
          <w:sz w:val="18"/>
          <w:szCs w:val="18"/>
          <w:color w:val="auto"/>
        </w:rPr>
        <w:t>8,270</w:t>
      </w:r>
    </w:p>
    <w:p>
      <w:pPr>
        <w:ind w:left="3340"/>
        <w:spacing w:after="0" w:line="237" w:lineRule="auto"/>
        <w:rPr>
          <w:sz w:val="20"/>
          <w:szCs w:val="20"/>
          <w:color w:val="auto"/>
        </w:rPr>
      </w:pPr>
      <w:r>
        <w:rPr>
          <w:rFonts w:ascii="Courier New" w:cs="Courier New" w:eastAsia="Courier New" w:hAnsi="Courier New"/>
          <w:sz w:val="18"/>
          <w:szCs w:val="18"/>
          <w:color w:val="auto"/>
        </w:rPr>
        <w:t>2,498,384</w:t>
      </w:r>
    </w:p>
    <w:p>
      <w:pPr>
        <w:ind w:left="3660"/>
        <w:spacing w:after="0"/>
        <w:rPr>
          <w:sz w:val="20"/>
          <w:szCs w:val="20"/>
          <w:color w:val="auto"/>
        </w:rPr>
      </w:pPr>
      <w:r>
        <w:rPr>
          <w:rFonts w:ascii="Courier New" w:cs="Courier New" w:eastAsia="Courier New" w:hAnsi="Courier New"/>
          <w:sz w:val="18"/>
          <w:szCs w:val="18"/>
          <w:color w:val="auto"/>
        </w:rPr>
        <w:t>124,984</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3,528,317</w:t>
      </w:r>
    </w:p>
    <w:p>
      <w:pPr>
        <w:ind w:left="3980"/>
        <w:spacing w:after="0" w:line="237" w:lineRule="auto"/>
        <w:rPr>
          <w:sz w:val="20"/>
          <w:szCs w:val="20"/>
          <w:color w:val="auto"/>
        </w:rPr>
      </w:pPr>
      <w:r>
        <w:rPr>
          <w:rFonts w:ascii="Courier New" w:cs="Courier New" w:eastAsia="Courier New" w:hAnsi="Courier New"/>
          <w:sz w:val="18"/>
          <w:szCs w:val="18"/>
          <w:color w:val="auto"/>
        </w:rPr>
        <w:t>18,424,652</w:t>
      </w:r>
    </w:p>
    <w:p>
      <w:pPr>
        <w:ind w:left="3240"/>
        <w:spacing w:after="0" w:line="238" w:lineRule="auto"/>
        <w:rPr>
          <w:sz w:val="20"/>
          <w:szCs w:val="20"/>
          <w:color w:val="auto"/>
        </w:rPr>
      </w:pPr>
      <w:r>
        <w:rPr>
          <w:rFonts w:ascii="Courier New" w:cs="Courier New" w:eastAsia="Courier New" w:hAnsi="Courier New"/>
          <w:sz w:val="18"/>
          <w:szCs w:val="18"/>
          <w:color w:val="auto"/>
        </w:rPr>
        <w:t>6,913,020</w:t>
      </w:r>
    </w:p>
    <w:p>
      <w:pPr>
        <w:ind w:left="3120"/>
        <w:spacing w:after="0"/>
        <w:rPr>
          <w:sz w:val="20"/>
          <w:szCs w:val="20"/>
          <w:color w:val="auto"/>
        </w:rPr>
      </w:pPr>
      <w:r>
        <w:rPr>
          <w:rFonts w:ascii="Courier New" w:cs="Courier New" w:eastAsia="Courier New" w:hAnsi="Courier New"/>
          <w:sz w:val="18"/>
          <w:szCs w:val="18"/>
          <w:color w:val="auto"/>
        </w:rPr>
        <w:t>22,582,969</w:t>
      </w:r>
    </w:p>
    <w:p>
      <w:pPr>
        <w:ind w:left="2500"/>
        <w:spacing w:after="0" w:line="237" w:lineRule="auto"/>
        <w:rPr>
          <w:sz w:val="20"/>
          <w:szCs w:val="20"/>
          <w:color w:val="auto"/>
        </w:rPr>
      </w:pPr>
      <w:r>
        <w:rPr>
          <w:rFonts w:ascii="Courier New" w:cs="Courier New" w:eastAsia="Courier New" w:hAnsi="Courier New"/>
          <w:sz w:val="18"/>
          <w:szCs w:val="18"/>
          <w:color w:val="auto"/>
        </w:rPr>
        <w:t>4,037,394</w:t>
      </w:r>
    </w:p>
    <w:p>
      <w:pPr>
        <w:ind w:left="3860"/>
        <w:spacing w:after="0"/>
        <w:rPr>
          <w:sz w:val="20"/>
          <w:szCs w:val="20"/>
          <w:color w:val="auto"/>
        </w:rPr>
      </w:pPr>
      <w:r>
        <w:rPr>
          <w:rFonts w:ascii="Courier New" w:cs="Courier New" w:eastAsia="Courier New" w:hAnsi="Courier New"/>
          <w:sz w:val="18"/>
          <w:szCs w:val="18"/>
          <w:color w:val="auto"/>
        </w:rPr>
        <w:t>10,981,152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6,139</w:t>
      </w:r>
    </w:p>
    <w:p>
      <w:pPr>
        <w:ind w:left="3660"/>
        <w:spacing w:after="0" w:line="238" w:lineRule="auto"/>
        <w:rPr>
          <w:sz w:val="20"/>
          <w:szCs w:val="20"/>
          <w:color w:val="auto"/>
        </w:rPr>
      </w:pPr>
      <w:r>
        <w:rPr>
          <w:rFonts w:ascii="Courier New" w:cs="Courier New" w:eastAsia="Courier New" w:hAnsi="Courier New"/>
          <w:sz w:val="18"/>
          <w:szCs w:val="18"/>
          <w:color w:val="auto"/>
        </w:rPr>
        <w:t>4,806,976</w:t>
      </w:r>
    </w:p>
    <w:p>
      <w:pPr>
        <w:ind w:left="1660"/>
        <w:spacing w:after="0"/>
        <w:rPr>
          <w:sz w:val="20"/>
          <w:szCs w:val="20"/>
          <w:color w:val="auto"/>
        </w:rPr>
      </w:pPr>
      <w:r>
        <w:rPr>
          <w:rFonts w:ascii="Courier New" w:cs="Courier New" w:eastAsia="Courier New" w:hAnsi="Courier New"/>
          <w:sz w:val="18"/>
          <w:szCs w:val="18"/>
          <w:color w:val="auto"/>
        </w:rPr>
        <w:t>22,582,969</w:t>
      </w:r>
    </w:p>
    <w:p>
      <w:pPr>
        <w:ind w:left="3980"/>
        <w:spacing w:after="0" w:line="237" w:lineRule="auto"/>
        <w:rPr>
          <w:sz w:val="20"/>
          <w:szCs w:val="20"/>
          <w:color w:val="auto"/>
        </w:rPr>
      </w:pPr>
      <w:r>
        <w:rPr>
          <w:rFonts w:ascii="Courier New" w:cs="Courier New" w:eastAsia="Courier New" w:hAnsi="Courier New"/>
          <w:sz w:val="18"/>
          <w:szCs w:val="18"/>
          <w:color w:val="auto"/>
        </w:rPr>
        <w:t>3,070,635</w:t>
      </w:r>
    </w:p>
    <w:p>
      <w:pPr>
        <w:ind w:left="3020"/>
        <w:spacing w:after="0"/>
        <w:rPr>
          <w:sz w:val="20"/>
          <w:szCs w:val="20"/>
          <w:color w:val="auto"/>
        </w:rPr>
      </w:pPr>
      <w:r>
        <w:rPr>
          <w:rFonts w:ascii="Courier New" w:cs="Courier New" w:eastAsia="Courier New" w:hAnsi="Courier New"/>
          <w:sz w:val="18"/>
          <w:szCs w:val="18"/>
          <w:color w:val="auto"/>
        </w:rPr>
        <w:t>3,070,635</w:t>
      </w:r>
    </w:p>
    <w:p>
      <w:pPr>
        <w:ind w:left="4180"/>
        <w:spacing w:after="0" w:line="237" w:lineRule="auto"/>
        <w:rPr>
          <w:sz w:val="20"/>
          <w:szCs w:val="20"/>
          <w:color w:val="auto"/>
        </w:rPr>
      </w:pPr>
      <w:r>
        <w:rPr>
          <w:rFonts w:ascii="Courier New" w:cs="Courier New" w:eastAsia="Courier New" w:hAnsi="Courier New"/>
          <w:sz w:val="18"/>
          <w:szCs w:val="18"/>
          <w:color w:val="auto"/>
        </w:rPr>
        <w:t>1,676,783</w:t>
      </w:r>
    </w:p>
    <w:p>
      <w:pPr>
        <w:ind w:left="3340"/>
        <w:spacing w:after="0"/>
        <w:rPr>
          <w:sz w:val="20"/>
          <w:szCs w:val="20"/>
          <w:color w:val="auto"/>
        </w:rPr>
      </w:pPr>
      <w:r>
        <w:rPr>
          <w:rFonts w:ascii="Courier New" w:cs="Courier New" w:eastAsia="Courier New" w:hAnsi="Courier New"/>
          <w:sz w:val="18"/>
          <w:szCs w:val="18"/>
          <w:color w:val="auto"/>
        </w:rPr>
        <w:t>2,310,537</w:t>
      </w:r>
    </w:p>
    <w:p>
      <w:pPr>
        <w:ind w:left="3340"/>
        <w:spacing w:after="0" w:line="237" w:lineRule="auto"/>
        <w:rPr>
          <w:sz w:val="20"/>
          <w:szCs w:val="20"/>
          <w:color w:val="auto"/>
        </w:rPr>
      </w:pPr>
      <w:r>
        <w:rPr>
          <w:rFonts w:ascii="Courier New" w:cs="Courier New" w:eastAsia="Courier New" w:hAnsi="Courier New"/>
          <w:sz w:val="18"/>
          <w:szCs w:val="18"/>
          <w:color w:val="auto"/>
        </w:rPr>
        <w:t>10,719</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176,157</w:t>
      </w:r>
    </w:p>
    <w:p>
      <w:pPr>
        <w:ind w:left="3340"/>
        <w:spacing w:after="0" w:line="238" w:lineRule="auto"/>
        <w:rPr>
          <w:sz w:val="20"/>
          <w:szCs w:val="20"/>
          <w:color w:val="auto"/>
        </w:rPr>
      </w:pPr>
      <w:r>
        <w:rPr>
          <w:rFonts w:ascii="Courier New" w:cs="Courier New" w:eastAsia="Courier New" w:hAnsi="Courier New"/>
          <w:sz w:val="18"/>
          <w:szCs w:val="18"/>
          <w:color w:val="auto"/>
        </w:rPr>
        <w:t>594,660</w:t>
      </w:r>
    </w:p>
    <w:p>
      <w:pPr>
        <w:ind w:left="3660"/>
        <w:spacing w:after="0"/>
        <w:rPr>
          <w:sz w:val="20"/>
          <w:szCs w:val="20"/>
          <w:color w:val="auto"/>
        </w:rPr>
      </w:pPr>
      <w:r>
        <w:rPr>
          <w:rFonts w:ascii="Courier New" w:cs="Courier New" w:eastAsia="Courier New" w:hAnsi="Courier New"/>
          <w:sz w:val="18"/>
          <w:szCs w:val="18"/>
          <w:color w:val="auto"/>
        </w:rPr>
        <w:t>247,972</w:t>
      </w:r>
    </w:p>
    <w:p>
      <w:pPr>
        <w:ind w:left="2920"/>
        <w:spacing w:after="0" w:line="237" w:lineRule="auto"/>
        <w:rPr>
          <w:sz w:val="20"/>
          <w:szCs w:val="20"/>
          <w:color w:val="auto"/>
        </w:rPr>
      </w:pPr>
      <w:r>
        <w:rPr>
          <w:rFonts w:ascii="Courier New" w:cs="Courier New" w:eastAsia="Courier New" w:hAnsi="Courier New"/>
          <w:sz w:val="18"/>
          <w:szCs w:val="18"/>
          <w:color w:val="auto"/>
        </w:rPr>
        <w:t>346,688</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346,688</w:t>
      </w:r>
    </w:p>
    <w:p>
      <w:pPr>
        <w:ind w:left="4080"/>
        <w:spacing w:after="0" w:line="238" w:lineRule="auto"/>
        <w:rPr>
          <w:sz w:val="20"/>
          <w:szCs w:val="20"/>
          <w:color w:val="auto"/>
        </w:rPr>
      </w:pPr>
      <w:r>
        <w:rPr>
          <w:rFonts w:ascii="Courier New" w:cs="Courier New" w:eastAsia="Courier New" w:hAnsi="Courier New"/>
          <w:sz w:val="18"/>
          <w:szCs w:val="18"/>
          <w:color w:val="auto"/>
        </w:rPr>
        <w:t>0.58</w:t>
      </w:r>
    </w:p>
    <w:p>
      <w:pPr>
        <w:ind w:left="3860"/>
        <w:spacing w:after="0"/>
        <w:rPr>
          <w:sz w:val="20"/>
          <w:szCs w:val="20"/>
          <w:color w:val="auto"/>
        </w:rPr>
      </w:pPr>
      <w:r>
        <w:rPr>
          <w:rFonts w:ascii="Courier New" w:cs="Courier New" w:eastAsia="Courier New" w:hAnsi="Courier New"/>
          <w:sz w:val="18"/>
          <w:szCs w:val="18"/>
          <w:color w:val="auto"/>
        </w:rPr>
        <w:t>0.55</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
      <w:numFmt w:val="bullet"/>
      <w:start w:val="1"/>
    </w:lvl>
    <w:lvl w:ilvl="1">
      <w:lvlJc w:val="left"/>
      <w:lvlText w:val="(%2)"/>
      <w:numFmt w:val="lowerLetter"/>
      <w:start w:val="2"/>
    </w:lvl>
  </w:abstractNum>
  <w:abstractNum w:abstractNumId="10">
    <w:nsid w:val="140E0F76"/>
    <w:multiLevelType w:val="hybridMultilevel"/>
    <w:lvl w:ilvl="0">
      <w:lvlJc w:val="left"/>
      <w:lvlText w:val="3"/>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2019-12-12T07:42:33Z</dcterms:created>
  <dcterms:modified xsi:type="dcterms:W3CDTF">2019-12-12T07:42:33Z</dcterms:modified>
</cp:coreProperties>
</file>