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Waste Management,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94106L109</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Check appropriate box to designate the rule pursuant to which this Schedule is filed:</w:t>
      </w:r>
    </w:p>
    <w:p>
      <w:pPr>
        <w:spacing w:after="0" w:line="208" w:lineRule="exact"/>
        <w:rPr>
          <w:sz w:val="24"/>
          <w:szCs w:val="24"/>
          <w:color w:val="auto"/>
        </w:rPr>
      </w:pPr>
    </w:p>
    <w:p>
      <w:pPr>
        <w:jc w:val="both"/>
        <w:ind w:left="540" w:right="7899" w:hanging="5"/>
        <w:spacing w:after="0" w:line="536" w:lineRule="auto"/>
        <w:tabs>
          <w:tab w:leader="none" w:pos="96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Page 1 of 4 Pages</w:t>
      </w:r>
    </w:p>
    <w:p>
      <w:pPr>
        <w:sectPr>
          <w:pgSz w:w="11900" w:h="16838" w:orient="portrait"/>
          <w:cols w:equalWidth="0" w:num="1">
            <w:col w:w="10219"/>
          </w:cols>
          <w:pgMar w:left="24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160" w:type="dxa"/>
            <w:vAlign w:val="bottom"/>
          </w:tcPr>
          <w:p>
            <w:pPr>
              <w:jc w:val="right"/>
              <w:ind w:right="632"/>
              <w:spacing w:after="0"/>
              <w:rPr>
                <w:sz w:val="20"/>
                <w:szCs w:val="20"/>
                <w:color w:val="auto"/>
              </w:rPr>
            </w:pPr>
            <w:r>
              <w:rPr>
                <w:rFonts w:ascii="Courier New" w:cs="Courier New" w:eastAsia="Courier New" w:hAnsi="Courier New"/>
                <w:sz w:val="18"/>
                <w:szCs w:val="18"/>
                <w:color w:val="auto"/>
                <w:w w:val="97"/>
              </w:rPr>
              <w:t>- ---------------------</w:t>
            </w:r>
          </w:p>
        </w:tc>
        <w:tc>
          <w:tcPr>
            <w:tcW w:w="1060" w:type="dxa"/>
            <w:vAlign w:val="bottom"/>
          </w:tcPr>
          <w:p>
            <w:pPr>
              <w:spacing w:after="0"/>
              <w:rPr>
                <w:sz w:val="17"/>
                <w:szCs w:val="17"/>
                <w:color w:val="auto"/>
              </w:rPr>
            </w:pPr>
          </w:p>
        </w:tc>
      </w:tr>
      <w:tr>
        <w:trPr>
          <w:trHeight w:val="203"/>
        </w:trPr>
        <w:tc>
          <w:tcPr>
            <w:tcW w:w="3160" w:type="dxa"/>
            <w:vAlign w:val="bottom"/>
          </w:tcPr>
          <w:p>
            <w:pPr>
              <w:jc w:val="center"/>
              <w:ind w:right="632"/>
              <w:spacing w:after="0" w:line="203" w:lineRule="exact"/>
              <w:rPr>
                <w:sz w:val="20"/>
                <w:szCs w:val="20"/>
                <w:color w:val="auto"/>
              </w:rPr>
            </w:pPr>
            <w:r>
              <w:rPr>
                <w:rFonts w:ascii="Courier New" w:cs="Courier New" w:eastAsia="Courier New" w:hAnsi="Courier New"/>
                <w:sz w:val="18"/>
                <w:szCs w:val="18"/>
                <w:color w:val="auto"/>
                <w:w w:val="97"/>
              </w:rPr>
              <w:t>CUSIP No. 94106L109</w:t>
            </w:r>
          </w:p>
        </w:tc>
        <w:tc>
          <w:tcPr>
            <w:tcW w:w="1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2"/>
              </w:rPr>
              <w:t>13G</w:t>
            </w:r>
          </w:p>
        </w:tc>
      </w:tr>
    </w:tbl>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ind w:left="640" w:hanging="527"/>
        <w:spacing w:after="0" w:line="238" w:lineRule="auto"/>
        <w:tabs>
          <w:tab w:leader="none" w:pos="6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7" w:lineRule="exact"/>
        <w:rPr>
          <w:rFonts w:ascii="Courier New" w:cs="Courier New" w:eastAsia="Courier New" w:hAnsi="Courier New"/>
          <w:sz w:val="18"/>
          <w:szCs w:val="18"/>
          <w:color w:val="auto"/>
        </w:rPr>
      </w:pPr>
    </w:p>
    <w:p>
      <w:pPr>
        <w:ind w:left="640" w:right="5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Barrow, Hanley, Mewhinney &amp; Strauss, Inc. 752403190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 (See Instructions)</w:t>
      </w:r>
    </w:p>
    <w:tbl>
      <w:tblPr>
        <w:tblLayout w:type="fixed"/>
        <w:tblInd w:w="120" w:type="dxa"/>
        <w:tblCellMar>
          <w:top w:w="0" w:type="dxa"/>
          <w:left w:w="0" w:type="dxa"/>
          <w:bottom w:w="0" w:type="dxa"/>
          <w:right w:w="0" w:type="dxa"/>
        </w:tblCellMar>
      </w:tblPr>
      <w:tr>
        <w:trPr>
          <w:trHeight w:val="203"/>
        </w:trPr>
        <w:tc>
          <w:tcPr>
            <w:tcW w:w="3420" w:type="dxa"/>
            <w:vAlign w:val="bottom"/>
          </w:tcPr>
          <w:p>
            <w:pPr>
              <w:jc w:val="right"/>
              <w:ind w:right="3132"/>
              <w:spacing w:after="0"/>
              <w:rPr>
                <w:sz w:val="20"/>
                <w:szCs w:val="20"/>
                <w:color w:val="auto"/>
              </w:rPr>
            </w:pPr>
            <w:r>
              <w:rPr>
                <w:rFonts w:ascii="Courier New" w:cs="Courier New" w:eastAsia="Courier New" w:hAnsi="Courier New"/>
                <w:sz w:val="18"/>
                <w:szCs w:val="18"/>
                <w:color w:val="auto"/>
                <w:w w:val="83"/>
              </w:rPr>
              <w:t>2.</w:t>
            </w:r>
          </w:p>
        </w:tc>
        <w:tc>
          <w:tcPr>
            <w:tcW w:w="3580" w:type="dxa"/>
            <w:vAlign w:val="bottom"/>
          </w:tcPr>
          <w:p>
            <w:pPr>
              <w:ind w:left="320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3420" w:type="dxa"/>
            <w:vAlign w:val="bottom"/>
          </w:tcPr>
          <w:p>
            <w:pPr>
              <w:spacing w:after="0"/>
              <w:rPr>
                <w:sz w:val="17"/>
                <w:szCs w:val="17"/>
                <w:color w:val="auto"/>
              </w:rPr>
            </w:pPr>
          </w:p>
        </w:tc>
        <w:tc>
          <w:tcPr>
            <w:tcW w:w="3580" w:type="dxa"/>
            <w:vAlign w:val="bottom"/>
          </w:tcPr>
          <w:p>
            <w:pPr>
              <w:ind w:left="320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 Nevada corporation</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p>
      <w:pPr>
        <w:ind w:left="2220"/>
        <w:spacing w:after="0"/>
        <w:rPr>
          <w:sz w:val="20"/>
          <w:szCs w:val="20"/>
          <w:color w:val="auto"/>
        </w:rPr>
      </w:pPr>
      <w:r>
        <w:rPr>
          <w:rFonts w:ascii="Courier New" w:cs="Courier New" w:eastAsia="Courier New" w:hAnsi="Courier New"/>
          <w:sz w:val="18"/>
          <w:szCs w:val="18"/>
          <w:color w:val="auto"/>
        </w:rPr>
        <w:t>5.</w:t>
      </w:r>
    </w:p>
    <w:p>
      <w:pPr>
        <w:ind w:left="540"/>
        <w:spacing w:after="0" w:line="237" w:lineRule="auto"/>
        <w:rPr>
          <w:sz w:val="20"/>
          <w:szCs w:val="20"/>
          <w:color w:val="auto"/>
        </w:rPr>
      </w:pPr>
      <w:r>
        <w:rPr>
          <w:rFonts w:ascii="Courier New" w:cs="Courier New" w:eastAsia="Courier New" w:hAnsi="Courier New"/>
          <w:sz w:val="18"/>
          <w:szCs w:val="18"/>
          <w:color w:val="auto"/>
        </w:rPr>
        <w:t>NUMBER OF</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0"/>
          <w:szCs w:val="20"/>
          <w:color w:val="auto"/>
        </w:rPr>
      </w:pPr>
      <w:r>
        <w:rPr>
          <w:sz w:val="20"/>
          <w:szCs w:val="20"/>
          <w:color w:val="auto"/>
        </w:rPr>
        <w:br w:type="column"/>
      </w:r>
    </w:p>
    <w:p>
      <w:pPr>
        <w:ind w:left="860"/>
        <w:spacing w:after="0" w:line="238" w:lineRule="auto"/>
        <w:rPr>
          <w:sz w:val="20"/>
          <w:szCs w:val="20"/>
          <w:color w:val="auto"/>
        </w:rPr>
      </w:pPr>
      <w:r>
        <w:rPr>
          <w:rFonts w:ascii="Courier New" w:cs="Courier New" w:eastAsia="Courier New" w:hAnsi="Courier New"/>
          <w:sz w:val="18"/>
          <w:szCs w:val="18"/>
          <w:color w:val="auto"/>
        </w:rPr>
        <w:t>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SHARED VOTING POWER</w:t>
      </w:r>
    </w:p>
    <w:p>
      <w:pPr>
        <w:spacing w:after="0" w:line="1" w:lineRule="exact"/>
        <w:rPr>
          <w:sz w:val="20"/>
          <w:szCs w:val="20"/>
          <w:color w:val="auto"/>
        </w:rPr>
      </w:pPr>
    </w:p>
    <w:p>
      <w:pPr>
        <w:sectPr>
          <w:pgSz w:w="11900" w:h="16838" w:orient="portrait"/>
          <w:cols w:equalWidth="0" w:num="2">
            <w:col w:w="1280" w:space="720"/>
            <w:col w:w="8219"/>
          </w:cols>
          <w:pgMar w:left="240" w:top="717" w:right="1440" w:bottom="1440" w:gutter="0" w:footer="0" w:header="0"/>
          <w:type w:val="continuous"/>
        </w:sectPr>
      </w:pPr>
    </w:p>
    <w:p>
      <w:pPr>
        <w:spacing w:after="0" w:line="3"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ectPr>
          <w:pgSz w:w="11900" w:h="16838" w:orient="portrait"/>
          <w:cols w:equalWidth="0" w:num="2">
            <w:col w:w="1580" w:space="640"/>
            <w:col w:w="7999"/>
          </w:cols>
          <w:pgMar w:left="240" w:top="717" w:right="1440" w:bottom="1440" w:gutter="0" w:footer="0" w:header="0"/>
          <w:type w:val="continuous"/>
        </w:sectPr>
      </w:pPr>
    </w:p>
    <w:p>
      <w:pPr>
        <w:spacing w:after="0" w:line="7"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6"/>
          <w:szCs w:val="16"/>
          <w:color w:val="auto"/>
        </w:rPr>
        <w:t>OWNED BY</w:t>
      </w:r>
    </w:p>
    <w:p>
      <w:pPr>
        <w:spacing w:after="0" w:line="218"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8"/>
          <w:szCs w:val="18"/>
          <w:color w:val="auto"/>
        </w:rPr>
        <w:t>EACH</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SOLE DISPOSITIVE POWER</w:t>
      </w:r>
    </w:p>
    <w:p>
      <w:pPr>
        <w:spacing w:after="0" w:line="1" w:lineRule="exact"/>
        <w:rPr>
          <w:sz w:val="20"/>
          <w:szCs w:val="20"/>
          <w:color w:val="auto"/>
        </w:rPr>
      </w:pPr>
    </w:p>
    <w:p>
      <w:pPr>
        <w:sectPr>
          <w:pgSz w:w="11900" w:h="16838" w:orient="portrait"/>
          <w:cols w:equalWidth="0" w:num="2">
            <w:col w:w="1380" w:space="620"/>
            <w:col w:w="8219"/>
          </w:cols>
          <w:pgMar w:left="240" w:top="717" w:right="1440" w:bottom="1440" w:gutter="0" w:footer="0" w:header="0"/>
          <w:type w:val="continuous"/>
        </w:sectPr>
      </w:pPr>
    </w:p>
    <w:p>
      <w:pPr>
        <w:ind w:left="2220"/>
        <w:spacing w:after="0" w:line="238" w:lineRule="auto"/>
        <w:rPr>
          <w:sz w:val="20"/>
          <w:szCs w:val="20"/>
          <w:color w:val="auto"/>
        </w:rPr>
      </w:pPr>
      <w:r>
        <w:rPr>
          <w:rFonts w:ascii="Courier New" w:cs="Courier New" w:eastAsia="Courier New" w:hAnsi="Courier New"/>
          <w:sz w:val="18"/>
          <w:szCs w:val="18"/>
          <w:color w:val="auto"/>
        </w:rPr>
        <w:t>7.</w:t>
      </w:r>
    </w:p>
    <w:p>
      <w:pPr>
        <w:ind w:left="420"/>
        <w:spacing w:after="0"/>
        <w:rPr>
          <w:sz w:val="20"/>
          <w:szCs w:val="20"/>
          <w:color w:val="auto"/>
        </w:rPr>
      </w:pPr>
      <w:r>
        <w:rPr>
          <w:rFonts w:ascii="Courier New" w:cs="Courier New" w:eastAsia="Courier New" w:hAnsi="Courier New"/>
          <w:sz w:val="18"/>
          <w:szCs w:val="18"/>
          <w:color w:val="auto"/>
        </w:rPr>
        <w:t>REPORTING</w:t>
      </w:r>
    </w:p>
    <w:p>
      <w:pPr>
        <w:sectPr>
          <w:pgSz w:w="11900" w:h="16838" w:orient="portrait"/>
          <w:cols w:equalWidth="0" w:num="1">
            <w:col w:w="10219"/>
          </w:cols>
          <w:pgMar w:left="240" w:top="717" w:right="1440" w:bottom="1440" w:gutter="0" w:footer="0" w:header="0"/>
          <w:type w:val="continuous"/>
        </w:sect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PERSON</w:t>
      </w:r>
    </w:p>
    <w:p>
      <w:pPr>
        <w:spacing w:after="0" w:line="20" w:lineRule="exact"/>
        <w:rPr>
          <w:sz w:val="20"/>
          <w:szCs w:val="20"/>
          <w:color w:val="auto"/>
        </w:rPr>
      </w:pPr>
      <w:r>
        <w:rPr>
          <w:sz w:val="20"/>
          <w:szCs w:val="20"/>
          <w:color w:val="auto"/>
        </w:rPr>
        <w:br w:type="column"/>
      </w:r>
    </w:p>
    <w:p>
      <w:pPr>
        <w:ind w:left="860"/>
        <w:spacing w:after="0" w:line="237" w:lineRule="auto"/>
        <w:rPr>
          <w:sz w:val="20"/>
          <w:szCs w:val="20"/>
          <w:color w:val="auto"/>
        </w:rPr>
      </w:pPr>
      <w:r>
        <w:rPr>
          <w:rFonts w:ascii="Courier New" w:cs="Courier New" w:eastAsia="Courier New" w:hAnsi="Courier New"/>
          <w:sz w:val="18"/>
          <w:szCs w:val="18"/>
          <w:color w:val="auto"/>
        </w:rPr>
        <w:t>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SHARED DISPOSITIVE POWER</w:t>
      </w:r>
    </w:p>
    <w:p>
      <w:pPr>
        <w:spacing w:after="0" w:line="1" w:lineRule="exact"/>
        <w:rPr>
          <w:sz w:val="20"/>
          <w:szCs w:val="20"/>
          <w:color w:val="auto"/>
        </w:rPr>
      </w:pPr>
    </w:p>
    <w:p>
      <w:pPr>
        <w:sectPr>
          <w:pgSz w:w="11900" w:h="16838" w:orient="portrait"/>
          <w:cols w:equalWidth="0" w:num="2">
            <w:col w:w="1280" w:space="720"/>
            <w:col w:w="8219"/>
          </w:cols>
          <w:pgMar w:left="240" w:top="717" w:right="1440" w:bottom="1440" w:gutter="0" w:footer="0" w:header="0"/>
          <w:type w:val="continuous"/>
        </w:sectPr>
      </w:pPr>
    </w:p>
    <w:p>
      <w:pPr>
        <w:spacing w:after="0" w:line="3"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WITH</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8.</w:t>
      </w:r>
    </w:p>
    <w:p>
      <w:pPr>
        <w:spacing w:after="0" w:line="1" w:lineRule="exact"/>
        <w:rPr>
          <w:sz w:val="20"/>
          <w:szCs w:val="20"/>
          <w:color w:val="auto"/>
        </w:rPr>
      </w:pPr>
    </w:p>
    <w:p>
      <w:pPr>
        <w:sectPr>
          <w:pgSz w:w="11900" w:h="16838" w:orient="portrait"/>
          <w:cols w:equalWidth="0" w:num="2">
            <w:col w:w="1500" w:space="720"/>
            <w:col w:w="7999"/>
          </w:cols>
          <w:pgMar w:left="240" w:top="717" w:right="1440" w:bottom="1440" w:gutter="0" w:footer="0" w:header="0"/>
          <w:type w:val="continuous"/>
        </w:sect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740"/>
        <w:spacing w:after="0"/>
        <w:rPr>
          <w:sz w:val="20"/>
          <w:szCs w:val="20"/>
          <w:color w:val="auto"/>
        </w:rPr>
      </w:pPr>
      <w:r>
        <w:rPr>
          <w:rFonts w:ascii="Courier New" w:cs="Courier New" w:eastAsia="Courier New" w:hAnsi="Courier New"/>
          <w:sz w:val="18"/>
          <w:szCs w:val="18"/>
          <w:color w:val="auto"/>
        </w:rPr>
        <w:t>shares</w:t>
      </w:r>
    </w:p>
    <w:p>
      <w:pPr>
        <w:spacing w:after="0" w:line="3"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IF THE AGGREGATE AMOUNT IN ROW (9) EXCLUDES CERTAIN SHARES</w:t>
      </w:r>
    </w:p>
    <w:p>
      <w:pPr>
        <w:spacing w:after="0"/>
        <w:tabs>
          <w:tab w:leader="none" w:pos="6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(See Instructions)</w:t>
      </w:r>
    </w:p>
    <w:p>
      <w:pPr>
        <w:ind w:left="7180"/>
        <w:spacing w:after="0" w:line="237"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4 Pages</w:t>
      </w:r>
    </w:p>
    <w:p>
      <w:pPr>
        <w:sectPr>
          <w:pgSz w:w="11900" w:h="16838" w:orient="portrait"/>
          <w:cols w:equalWidth="0" w:num="1">
            <w:col w:w="10219"/>
          </w:cols>
          <w:pgMar w:left="240" w:top="717"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58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1(b) Address of Issuer's Principal Executive Offices:</w:t>
      </w:r>
    </w:p>
    <w:p>
      <w:pPr>
        <w:ind w:left="1580"/>
        <w:spacing w:after="0" w:line="238" w:lineRule="auto"/>
        <w:rPr>
          <w:sz w:val="20"/>
          <w:szCs w:val="20"/>
          <w:color w:val="auto"/>
        </w:rPr>
      </w:pPr>
      <w:r>
        <w:rPr>
          <w:rFonts w:ascii="Courier New" w:cs="Courier New" w:eastAsia="Courier New" w:hAnsi="Courier New"/>
          <w:sz w:val="18"/>
          <w:szCs w:val="18"/>
          <w:color w:val="auto"/>
        </w:rPr>
        <w:t>1001 Fannin Street</w:t>
      </w:r>
    </w:p>
    <w:p>
      <w:pPr>
        <w:ind w:left="1580"/>
        <w:spacing w:after="0"/>
        <w:rPr>
          <w:sz w:val="20"/>
          <w:szCs w:val="20"/>
          <w:color w:val="auto"/>
        </w:rPr>
      </w:pPr>
      <w:r>
        <w:rPr>
          <w:rFonts w:ascii="Courier New" w:cs="Courier New" w:eastAsia="Courier New" w:hAnsi="Courier New"/>
          <w:sz w:val="18"/>
          <w:szCs w:val="18"/>
          <w:color w:val="auto"/>
        </w:rPr>
        <w:t>Suite 4000</w:t>
      </w:r>
    </w:p>
    <w:p>
      <w:pPr>
        <w:ind w:left="1580"/>
        <w:spacing w:after="0" w:line="237" w:lineRule="auto"/>
        <w:rPr>
          <w:sz w:val="20"/>
          <w:szCs w:val="20"/>
          <w:color w:val="auto"/>
        </w:rPr>
      </w:pPr>
      <w:r>
        <w:rPr>
          <w:rFonts w:ascii="Courier New" w:cs="Courier New" w:eastAsia="Courier New" w:hAnsi="Courier New"/>
          <w:sz w:val="18"/>
          <w:szCs w:val="18"/>
          <w:color w:val="auto"/>
        </w:rPr>
        <w:t>Houston, TX 77002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ind w:left="1580"/>
        <w:spacing w:after="0" w:line="238" w:lineRule="auto"/>
        <w:rPr>
          <w:sz w:val="20"/>
          <w:szCs w:val="20"/>
          <w:color w:val="auto"/>
        </w:rPr>
      </w:pPr>
      <w:r>
        <w:rPr>
          <w:rFonts w:ascii="Courier New" w:cs="Courier New" w:eastAsia="Courier New" w:hAnsi="Courier New"/>
          <w:sz w:val="18"/>
          <w:szCs w:val="18"/>
          <w:color w:val="auto"/>
        </w:rPr>
        <w:t>Barrow, Hanley, Mewhinney &amp; Strauss, Inc.</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2(b) Address of Principal Business Office or, if none, Residence:</w:t>
      </w:r>
    </w:p>
    <w:p>
      <w:pPr>
        <w:ind w:left="1580"/>
        <w:spacing w:after="0" w:line="238" w:lineRule="auto"/>
        <w:rPr>
          <w:sz w:val="20"/>
          <w:szCs w:val="20"/>
          <w:color w:val="auto"/>
        </w:rPr>
      </w:pPr>
      <w:r>
        <w:rPr>
          <w:rFonts w:ascii="Courier New" w:cs="Courier New" w:eastAsia="Courier New" w:hAnsi="Courier New"/>
          <w:sz w:val="18"/>
          <w:szCs w:val="18"/>
          <w:color w:val="auto"/>
        </w:rPr>
        <w:t>One McKinney Plaza</w:t>
      </w:r>
    </w:p>
    <w:p>
      <w:pPr>
        <w:ind w:left="1580"/>
        <w:spacing w:after="0"/>
        <w:rPr>
          <w:sz w:val="20"/>
          <w:szCs w:val="20"/>
          <w:color w:val="auto"/>
        </w:rPr>
      </w:pPr>
      <w:r>
        <w:rPr>
          <w:rFonts w:ascii="Courier New" w:cs="Courier New" w:eastAsia="Courier New" w:hAnsi="Courier New"/>
          <w:sz w:val="18"/>
          <w:szCs w:val="18"/>
          <w:color w:val="auto"/>
        </w:rPr>
        <w:t>3232 McKinney Avenue, 15th Floor</w:t>
      </w:r>
    </w:p>
    <w:p>
      <w:pPr>
        <w:ind w:left="1580"/>
        <w:spacing w:after="0" w:line="237" w:lineRule="auto"/>
        <w:rPr>
          <w:sz w:val="20"/>
          <w:szCs w:val="20"/>
          <w:color w:val="auto"/>
        </w:rPr>
      </w:pPr>
      <w:r>
        <w:rPr>
          <w:rFonts w:ascii="Courier New" w:cs="Courier New" w:eastAsia="Courier New" w:hAnsi="Courier New"/>
          <w:sz w:val="18"/>
          <w:szCs w:val="18"/>
          <w:color w:val="auto"/>
        </w:rPr>
        <w:t>Dallas, TX 75204-2429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2(c) Citizenship:</w:t>
      </w:r>
    </w:p>
    <w:p>
      <w:pPr>
        <w:ind w:left="1580"/>
        <w:spacing w:after="0" w:line="238" w:lineRule="auto"/>
        <w:rPr>
          <w:sz w:val="20"/>
          <w:szCs w:val="20"/>
          <w:color w:val="auto"/>
        </w:rPr>
      </w:pPr>
      <w:r>
        <w:rPr>
          <w:rFonts w:ascii="Courier New" w:cs="Courier New" w:eastAsia="Courier New" w:hAnsi="Courier New"/>
          <w:sz w:val="18"/>
          <w:szCs w:val="18"/>
          <w:color w:val="auto"/>
        </w:rPr>
        <w:t>A Nevada corporation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2(d) Title of Class of Securities:</w:t>
      </w:r>
    </w:p>
    <w:p>
      <w:pPr>
        <w:ind w:left="158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2(e) CUSIP Number:</w:t>
      </w:r>
    </w:p>
    <w:p>
      <w:pPr>
        <w:ind w:left="158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207" w:lineRule="exact"/>
        <w:rPr>
          <w:sz w:val="20"/>
          <w:szCs w:val="20"/>
          <w:color w:val="auto"/>
        </w:rPr>
      </w:pPr>
    </w:p>
    <w:p>
      <w:pPr>
        <w:jc w:val="both"/>
        <w:ind w:left="1060" w:right="2099" w:hanging="1579"/>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Rules 13d-1(b), or 13d-2(b): The reporting person is an Investment Adviser registered under Section 203 of the Investment Advisers Act of 1940.</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420"/>
        <w:spacing w:after="0"/>
        <w:tabs>
          <w:tab w:leader="none" w:pos="1040" w:val="left"/>
        </w:tabs>
        <w:rPr>
          <w:sz w:val="20"/>
          <w:szCs w:val="20"/>
          <w:color w:val="auto"/>
        </w:rPr>
      </w:pPr>
      <w:r>
        <w:rPr>
          <w:rFonts w:ascii="Courier New" w:cs="Courier New" w:eastAsia="Courier New" w:hAnsi="Courier New"/>
          <w:sz w:val="18"/>
          <w:szCs w:val="18"/>
          <w:color w:val="auto"/>
        </w:rPr>
        <w:t>4(a)</w:t>
      </w:r>
      <w:r>
        <w:rPr>
          <w:sz w:val="20"/>
          <w:szCs w:val="20"/>
          <w:color w:val="auto"/>
        </w:rPr>
        <w:tab/>
      </w:r>
      <w:r>
        <w:rPr>
          <w:rFonts w:ascii="Courier New" w:cs="Courier New" w:eastAsia="Courier New" w:hAnsi="Courier New"/>
          <w:sz w:val="16"/>
          <w:szCs w:val="16"/>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shares</w:t>
      </w:r>
    </w:p>
    <w:p>
      <w:pPr>
        <w:spacing w:after="0" w:line="202" w:lineRule="exact"/>
        <w:rPr>
          <w:sz w:val="20"/>
          <w:szCs w:val="20"/>
          <w:color w:val="auto"/>
        </w:rPr>
      </w:pPr>
    </w:p>
    <w:p>
      <w:pPr>
        <w:ind w:left="420"/>
        <w:spacing w:after="0"/>
        <w:tabs>
          <w:tab w:leader="none" w:pos="1040" w:val="left"/>
        </w:tabs>
        <w:rPr>
          <w:sz w:val="20"/>
          <w:szCs w:val="20"/>
          <w:color w:val="auto"/>
        </w:rPr>
      </w:pPr>
      <w:r>
        <w:rPr>
          <w:rFonts w:ascii="Courier New" w:cs="Courier New" w:eastAsia="Courier New" w:hAnsi="Courier New"/>
          <w:sz w:val="18"/>
          <w:szCs w:val="18"/>
          <w:color w:val="auto"/>
        </w:rPr>
        <w:t>4(b)</w:t>
      </w:r>
      <w:r>
        <w:rPr>
          <w:sz w:val="20"/>
          <w:szCs w:val="20"/>
          <w:color w:val="auto"/>
        </w:rPr>
        <w:tab/>
      </w:r>
      <w:r>
        <w:rPr>
          <w:rFonts w:ascii="Courier New" w:cs="Courier New" w:eastAsia="Courier New" w:hAnsi="Courier New"/>
          <w:sz w:val="16"/>
          <w:szCs w:val="16"/>
          <w:color w:val="auto"/>
        </w:rPr>
        <w:t>Percent of Class:</w:t>
      </w:r>
    </w:p>
    <w:p>
      <w:pPr>
        <w:spacing w:after="0" w:line="200" w:lineRule="exact"/>
        <w:rPr>
          <w:sz w:val="20"/>
          <w:szCs w:val="20"/>
          <w:color w:val="auto"/>
        </w:rPr>
      </w:pPr>
    </w:p>
    <w:p>
      <w:pPr>
        <w:spacing w:after="0" w:line="204" w:lineRule="exact"/>
        <w:rPr>
          <w:sz w:val="20"/>
          <w:szCs w:val="20"/>
          <w:color w:val="auto"/>
        </w:rPr>
      </w:pPr>
    </w:p>
    <w:p>
      <w:pPr>
        <w:ind w:left="420"/>
        <w:spacing w:after="0"/>
        <w:tabs>
          <w:tab w:leader="none" w:pos="1040" w:val="left"/>
        </w:tabs>
        <w:rPr>
          <w:sz w:val="20"/>
          <w:szCs w:val="20"/>
          <w:color w:val="auto"/>
        </w:rPr>
      </w:pPr>
      <w:r>
        <w:rPr>
          <w:rFonts w:ascii="Courier New" w:cs="Courier New" w:eastAsia="Courier New" w:hAnsi="Courier New"/>
          <w:sz w:val="18"/>
          <w:szCs w:val="18"/>
          <w:color w:val="auto"/>
        </w:rPr>
        <w:t>4(c)</w:t>
      </w:r>
      <w:r>
        <w:rPr>
          <w:sz w:val="20"/>
          <w:szCs w:val="20"/>
          <w:color w:val="auto"/>
        </w:rPr>
        <w:tab/>
      </w:r>
      <w:r>
        <w:rPr>
          <w:rFonts w:ascii="Courier New" w:cs="Courier New" w:eastAsia="Courier New" w:hAnsi="Courier New"/>
          <w:sz w:val="16"/>
          <w:szCs w:val="16"/>
          <w:color w:val="auto"/>
        </w:rPr>
        <w:t>Number of shares as to which person has:</w:t>
      </w:r>
    </w:p>
    <w:p>
      <w:pPr>
        <w:spacing w:after="0" w:line="207" w:lineRule="exact"/>
        <w:rPr>
          <w:sz w:val="20"/>
          <w:szCs w:val="20"/>
          <w:color w:val="auto"/>
        </w:rPr>
      </w:pPr>
    </w:p>
    <w:p>
      <w:pPr>
        <w:ind w:left="1700" w:right="4319" w:hanging="639"/>
        <w:spacing w:after="0" w:line="235" w:lineRule="auto"/>
        <w:tabs>
          <w:tab w:leader="none" w:pos="159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shares</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4 Pages</w:t>
      </w:r>
    </w:p>
    <w:p>
      <w:pPr>
        <w:sectPr>
          <w:pgSz w:w="11900" w:h="16838" w:orient="portrait"/>
          <w:cols w:equalWidth="0" w:num="1">
            <w:col w:w="10219"/>
          </w:cols>
          <w:pgMar w:left="240" w:top="717" w:right="1440" w:bottom="1440" w:gutter="0" w:footer="0" w:header="0"/>
        </w:sectPr>
      </w:pPr>
    </w:p>
    <w:bookmarkStart w:id="3" w:name="page4"/>
    <w:bookmarkEnd w:id="3"/>
    <w:p>
      <w:pPr>
        <w:ind w:left="2000" w:right="4099" w:hanging="1044"/>
        <w:spacing w:after="0" w:line="235" w:lineRule="auto"/>
        <w:tabs>
          <w:tab w:leader="none" w:pos="157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shares</w:t>
      </w:r>
    </w:p>
    <w:p>
      <w:pPr>
        <w:spacing w:after="0" w:line="208" w:lineRule="exact"/>
        <w:rPr>
          <w:rFonts w:ascii="Courier New" w:cs="Courier New" w:eastAsia="Courier New" w:hAnsi="Courier New"/>
          <w:sz w:val="18"/>
          <w:szCs w:val="18"/>
          <w:color w:val="auto"/>
        </w:rPr>
      </w:pPr>
    </w:p>
    <w:p>
      <w:pPr>
        <w:ind w:left="2000" w:right="2939" w:hanging="1044"/>
        <w:spacing w:after="0" w:line="235" w:lineRule="auto"/>
        <w:tabs>
          <w:tab w:leader="none" w:pos="157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shares</w:t>
      </w:r>
    </w:p>
    <w:p>
      <w:pPr>
        <w:spacing w:after="0" w:line="202"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4"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The right to receive or the power to direct the receipt of dividends from, or the proceeds from the sale of, the common stock is held by certain clients of the reporting person, none of which has such right or power with respect to five percent or more of the common stock.</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w:t>
      </w:r>
    </w:p>
    <w:p>
      <w:pPr>
        <w:ind w:left="960"/>
        <w:spacing w:after="0" w:line="238" w:lineRule="auto"/>
        <w:rPr>
          <w:sz w:val="20"/>
          <w:szCs w:val="20"/>
          <w:color w:val="auto"/>
        </w:rPr>
      </w:pPr>
      <w:r>
        <w:rPr>
          <w:rFonts w:ascii="Courier New" w:cs="Courier New" w:eastAsia="Courier New" w:hAnsi="Courier New"/>
          <w:sz w:val="18"/>
          <w:szCs w:val="18"/>
          <w:color w:val="auto"/>
        </w:rPr>
        <w:t>Security Being Reported on by the Parent Holding Company:</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1779"/>
        <w:spacing w:after="0" w:line="272" w:lineRule="auto"/>
        <w:rPr>
          <w:sz w:val="20"/>
          <w:szCs w:val="20"/>
          <w:color w:val="auto"/>
        </w:rPr>
      </w:pPr>
      <w:r>
        <w:rPr>
          <w:rFonts w:ascii="Courier New" w:cs="Courier New" w:eastAsia="Courier New" w:hAnsi="Courier New"/>
          <w:sz w:val="16"/>
          <w:szCs w:val="16"/>
          <w:color w:val="auto"/>
        </w:rPr>
        <w:t>By signing below the undersigned certifies that, to the best of its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the undersigned certifies that the information set forth in this statement is true, complete and correct.</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BARROW, HANLEY, MEWHINNEY &amp;</w:t>
      </w:r>
    </w:p>
    <w:p>
      <w:pPr>
        <w:ind w:left="4640"/>
        <w:spacing w:after="0" w:line="238" w:lineRule="auto"/>
        <w:rPr>
          <w:sz w:val="20"/>
          <w:szCs w:val="20"/>
          <w:color w:val="auto"/>
        </w:rPr>
      </w:pPr>
      <w:r>
        <w:rPr>
          <w:rFonts w:ascii="Courier New" w:cs="Courier New" w:eastAsia="Courier New" w:hAnsi="Courier New"/>
          <w:sz w:val="18"/>
          <w:szCs w:val="18"/>
          <w:color w:val="auto"/>
        </w:rPr>
        <w:t>STRAUSS, INC.</w:t>
      </w:r>
    </w:p>
    <w:p>
      <w:pPr>
        <w:spacing w:after="0" w:line="200" w:lineRule="exact"/>
        <w:rPr>
          <w:sz w:val="20"/>
          <w:szCs w:val="20"/>
          <w:color w:val="auto"/>
        </w:rPr>
      </w:pPr>
    </w:p>
    <w:p>
      <w:pPr>
        <w:spacing w:after="0" w:line="204"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James P. Barrow</w:t>
      </w:r>
    </w:p>
    <w:p>
      <w:pPr>
        <w:ind w:left="5160"/>
        <w:spacing w:after="0" w:line="238" w:lineRule="auto"/>
        <w:rPr>
          <w:sz w:val="20"/>
          <w:szCs w:val="20"/>
          <w:color w:val="auto"/>
        </w:rPr>
      </w:pPr>
      <w:r>
        <w:rPr>
          <w:rFonts w:ascii="Courier New" w:cs="Courier New" w:eastAsia="Courier New" w:hAnsi="Courier New"/>
          <w:sz w:val="18"/>
          <w:szCs w:val="18"/>
          <w:color w:val="auto"/>
        </w:rPr>
        <w:t>Name: James P. Barrow</w:t>
      </w:r>
    </w:p>
    <w:p>
      <w:pPr>
        <w:ind w:left="51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2002</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4 Pages</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upperLetter"/>
      <w:start w:val="24"/>
    </w:lvl>
  </w:abstractNum>
  <w:abstractNum w:abstractNumId="4">
    <w:nsid w:val="515F007C"/>
    <w:multiLevelType w:val="hybridMultilevel"/>
    <w:lvl w:ilvl="0">
      <w:lvlJc w:val="left"/>
      <w:lvlText w:val="-"/>
      <w:numFmt w:val="bullet"/>
      <w:start w:val="1"/>
    </w:lvl>
    <w:lvl w:ilvl="1">
      <w:lvlJc w:val="left"/>
      <w:lvlText w:val="%2."/>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lowerRoman"/>
      <w:start w:val="1"/>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2019-12-20T01:19:48Z</dcterms:created>
  <dcterms:modified xsi:type="dcterms:W3CDTF">2019-12-20T01:19:48Z</dcterms:modified>
</cp:coreProperties>
</file>