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4, 2017</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44" w:right="35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00"/>
          </w:cols>
          <w:pgMar w:left="240" w:top="544" w:right="359" w:bottom="0" w:gutter="0" w:footer="0" w:header="0"/>
          <w:type w:val="continuous"/>
        </w:sectPr>
      </w:pPr>
    </w:p>
    <w:p>
      <w:pPr>
        <w:spacing w:after="0" w:line="230"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40" w:space="720"/>
            <w:col w:w="2540"/>
          </w:cols>
          <w:pgMar w:left="240" w:top="544" w:right="359" w:bottom="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520" w:firstLine="878"/>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100" w:firstLine="648"/>
        <w:spacing w:after="0" w:line="259" w:lineRule="auto"/>
        <w:rPr>
          <w:sz w:val="20"/>
          <w:szCs w:val="20"/>
          <w:color w:val="auto"/>
        </w:rPr>
      </w:pPr>
      <w:r>
        <w:rPr>
          <w:rFonts w:ascii="Arial" w:cs="Arial" w:eastAsia="Arial" w:hAnsi="Arial"/>
          <w:sz w:val="18"/>
          <w:szCs w:val="18"/>
          <w:color w:val="auto"/>
        </w:rPr>
        <w:t>On August 4, 2017, Mr. Darren K. Shade gave notice of his decision to resign from his position as Vice President and Chief Accounting Officer of Waste Management, Inc. (the “Company”). Following Mr. Shade’s departure on August 18, 2017, Ms. Devina A. Rankin, Senior Vice President, Chief Financial Officer &amp; Treasurer of the Company, will also lead the accounting organization until Mr. Shade’s successor is identified to ensure an orderly transition of responsibilities.</w:t>
      </w:r>
    </w:p>
    <w:p>
      <w:pPr>
        <w:spacing w:after="0" w:line="18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7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WASTE MANAGEMENT, INC.</w:t>
      </w:r>
    </w:p>
    <w:p>
      <w:pPr>
        <w:sectPr>
          <w:pgSz w:w="11900" w:h="16838" w:orient="portrait"/>
          <w:cols w:equalWidth="0" w:num="1">
            <w:col w:w="11300"/>
          </w:cols>
          <w:pgMar w:left="240" w:top="544"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40"/>
              <w:spacing w:after="0"/>
              <w:rPr>
                <w:sz w:val="20"/>
                <w:szCs w:val="20"/>
                <w:color w:val="auto"/>
              </w:rPr>
            </w:pPr>
            <w:r>
              <w:rPr>
                <w:rFonts w:ascii="Arial" w:cs="Arial" w:eastAsia="Arial" w:hAnsi="Arial"/>
                <w:sz w:val="18"/>
                <w:szCs w:val="18"/>
                <w:color w:val="auto"/>
              </w:rPr>
              <w:t>August 4, 2017</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0"/>
                <w:szCs w:val="20"/>
                <w:color w:val="auto"/>
              </w:rPr>
            </w:pPr>
          </w:p>
        </w:tc>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8"/>
                <w:szCs w:val="18"/>
                <w:i w:val="1"/>
                <w:iCs w:val="1"/>
                <w:color w:val="auto"/>
              </w:rPr>
              <w:t>/s/ Charles C. Boettcher</w:t>
            </w:r>
          </w:p>
        </w:tc>
        <w:tc>
          <w:tcPr>
            <w:tcW w:w="40" w:type="dxa"/>
            <w:vAlign w:val="bottom"/>
          </w:tcPr>
          <w:p>
            <w:pPr>
              <w:spacing w:after="0"/>
              <w:rPr>
                <w:sz w:val="20"/>
                <w:szCs w:val="20"/>
                <w:color w:val="auto"/>
              </w:rPr>
            </w:pPr>
          </w:p>
        </w:tc>
      </w:tr>
      <w:tr>
        <w:trPr>
          <w:trHeight w:val="195"/>
        </w:trPr>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40" w:type="dxa"/>
            <w:vAlign w:val="bottom"/>
            <w:gridSpan w:val="2"/>
          </w:tcPr>
          <w:p>
            <w:pPr>
              <w:ind w:left="120"/>
              <w:spacing w:after="0"/>
              <w:rPr>
                <w:sz w:val="20"/>
                <w:szCs w:val="20"/>
                <w:color w:val="auto"/>
              </w:rPr>
            </w:pPr>
            <w:r>
              <w:rPr>
                <w:rFonts w:ascii="Arial" w:cs="Arial" w:eastAsia="Arial" w:hAnsi="Arial"/>
                <w:sz w:val="18"/>
                <w:szCs w:val="18"/>
                <w:color w:val="auto"/>
              </w:rPr>
              <w:t>Senior Vice President, Chief Legal Officer &amp;</w:t>
            </w:r>
          </w:p>
        </w:tc>
        <w:tc>
          <w:tcPr>
            <w:tcW w:w="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40" w:type="dxa"/>
            <w:vAlign w:val="bottom"/>
            <w:gridSpan w:val="2"/>
          </w:tcPr>
          <w:p>
            <w:pPr>
              <w:ind w:left="120"/>
              <w:spacing w:after="0"/>
              <w:rPr>
                <w:sz w:val="20"/>
                <w:szCs w:val="20"/>
                <w:color w:val="auto"/>
              </w:rPr>
            </w:pPr>
            <w:r>
              <w:rPr>
                <w:rFonts w:ascii="Arial" w:cs="Arial" w:eastAsia="Arial" w:hAnsi="Arial"/>
                <w:sz w:val="18"/>
                <w:szCs w:val="18"/>
                <w:color w:val="auto"/>
              </w:rPr>
              <w:t>Chief Compliance Officer</w:t>
            </w:r>
          </w:p>
        </w:tc>
        <w:tc>
          <w:tcPr>
            <w:tcW w:w="4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2019-12-05T15:30:58Z</dcterms:created>
  <dcterms:modified xsi:type="dcterms:W3CDTF">2019-12-05T15:30:58Z</dcterms:modified>
</cp:coreProperties>
</file>