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94106K101</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Check appropriate box to designate the rule pursuant to which this Schedule is filed:</w:t>
      </w:r>
    </w:p>
    <w:p>
      <w:pPr>
        <w:spacing w:after="0" w:line="208" w:lineRule="exact"/>
        <w:rPr>
          <w:sz w:val="24"/>
          <w:szCs w:val="24"/>
          <w:color w:val="auto"/>
        </w:rPr>
      </w:pPr>
    </w:p>
    <w:p>
      <w:pPr>
        <w:jc w:val="both"/>
        <w:ind w:left="540" w:right="7819" w:hanging="6"/>
        <w:spacing w:after="0" w:line="536"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 ---------------------</w:t>
            </w:r>
          </w:p>
        </w:tc>
        <w:tc>
          <w:tcPr>
            <w:tcW w:w="1060" w:type="dxa"/>
            <w:vAlign w:val="bottom"/>
          </w:tcPr>
          <w:p>
            <w:pPr>
              <w:spacing w:after="0"/>
              <w:rPr>
                <w:sz w:val="17"/>
                <w:szCs w:val="17"/>
                <w:color w:val="auto"/>
              </w:rPr>
            </w:pPr>
          </w:p>
        </w:tc>
      </w:tr>
      <w:tr>
        <w:trPr>
          <w:trHeight w:val="203"/>
        </w:trPr>
        <w:tc>
          <w:tcPr>
            <w:tcW w:w="31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7"/>
              </w:rPr>
              <w:t>CUSIP No. 94106K101</w:t>
            </w:r>
          </w:p>
        </w:tc>
        <w:tc>
          <w:tcPr>
            <w:tcW w:w="1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rFonts w:ascii="Courier New" w:cs="Courier New" w:eastAsia="Courier New" w:hAnsi="Courier New"/>
          <w:sz w:val="18"/>
          <w:szCs w:val="18"/>
          <w:color w:val="auto"/>
        </w:rPr>
      </w:pPr>
    </w:p>
    <w:p>
      <w:pPr>
        <w:ind w:left="640" w:right="51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Barrow, Hanley, Mewhinney &amp; Strauss, Inc. 752403190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Nevada corporation</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9,767,833 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25,737,236 shares</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35,505,069 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line="238" w:lineRule="auto"/>
        <w:rPr>
          <w:sz w:val="20"/>
          <w:szCs w:val="20"/>
          <w:color w:val="auto"/>
        </w:rPr>
      </w:pPr>
      <w:r>
        <w:rPr>
          <w:rFonts w:ascii="Courier New" w:cs="Courier New" w:eastAsia="Courier New" w:hAnsi="Courier New"/>
          <w:sz w:val="18"/>
          <w:szCs w:val="18"/>
          <w:color w:val="auto"/>
        </w:rPr>
        <w:t>35,505,069 shares</w:t>
      </w:r>
    </w:p>
    <w:p>
      <w:pPr>
        <w:spacing w:after="0" w:line="5"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ind w:left="640"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3"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5.8%</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139"/>
          </w:cols>
          <w:pgMar w:left="32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1(a)</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Waste Management, Inc.</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1(b)</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1001 Fannin Street</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Suite 4000</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2(a)</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Barrow, Hanley, Mewhinney &amp; Strauss, Inc.</w:t>
            </w:r>
          </w:p>
        </w:tc>
      </w:tr>
      <w:tr>
        <w:trPr>
          <w:trHeight w:val="608"/>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2(b)</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One McKinney Plaza</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3232 McKinney Avenue, 15th Floor</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Dallas, TX 75204-2429</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2(c)</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 Nevada corporation</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2(d)</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2(e)</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94106K101</w:t>
            </w:r>
          </w:p>
        </w:tc>
      </w:tr>
      <w:tr>
        <w:trPr>
          <w:trHeight w:val="405"/>
        </w:trPr>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Item 3</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w w:val="97"/>
              </w:rPr>
              <w:t>If this statement is filed pursuant to Rules 13d-1(b), or 13d-2(b):</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The reporting person is an Investment Adviser registered under</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Section 203 of the Investment Advisers Act of 1940.</w:t>
            </w:r>
          </w:p>
        </w:tc>
      </w:tr>
      <w:tr>
        <w:trPr>
          <w:trHeight w:val="405"/>
        </w:trPr>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Item 4</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r>
      <w:tr>
        <w:trPr>
          <w:trHeight w:val="405"/>
        </w:trPr>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4(a)</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Amount beneficially owned:</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35,505,069 shares</w:t>
            </w:r>
          </w:p>
        </w:tc>
      </w:tr>
      <w:tr>
        <w:trPr>
          <w:trHeight w:val="405"/>
        </w:trPr>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4(b)</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5.8%</w:t>
            </w:r>
          </w:p>
        </w:tc>
      </w:tr>
      <w:tr>
        <w:trPr>
          <w:trHeight w:val="405"/>
        </w:trPr>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4(c)</w:t>
            </w: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Number of shares as to which person has:</w:t>
            </w:r>
          </w:p>
        </w:tc>
      </w:tr>
      <w:tr>
        <w:trPr>
          <w:trHeight w:val="405"/>
        </w:trPr>
        <w:tc>
          <w:tcPr>
            <w:tcW w:w="1000" w:type="dxa"/>
            <w:vAlign w:val="bottom"/>
          </w:tcPr>
          <w:p>
            <w:pPr>
              <w:spacing w:after="0"/>
              <w:rPr>
                <w:sz w:val="24"/>
                <w:szCs w:val="2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8"/>
                <w:szCs w:val="18"/>
                <w:color w:val="auto"/>
              </w:rPr>
              <w:t>(i)  Sole power to vote or to direct the vote:</w:t>
            </w:r>
          </w:p>
        </w:tc>
      </w:tr>
      <w:tr>
        <w:trPr>
          <w:trHeight w:val="203"/>
        </w:trPr>
        <w:tc>
          <w:tcPr>
            <w:tcW w:w="1000" w:type="dxa"/>
            <w:vAlign w:val="bottom"/>
          </w:tcPr>
          <w:p>
            <w:pPr>
              <w:spacing w:after="0"/>
              <w:rPr>
                <w:sz w:val="17"/>
                <w:szCs w:val="17"/>
                <w:color w:val="auto"/>
              </w:rPr>
            </w:pPr>
          </w:p>
        </w:tc>
        <w:tc>
          <w:tcPr>
            <w:tcW w:w="7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9,767,833 shares</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139"/>
          </w:cols>
          <w:pgMar w:left="320" w:top="717" w:right="1440" w:bottom="1440" w:gutter="0" w:footer="0" w:header="0"/>
        </w:sectPr>
      </w:pPr>
    </w:p>
    <w:bookmarkStart w:id="3" w:name="page4"/>
    <w:bookmarkEnd w:id="3"/>
    <w:p>
      <w:pPr>
        <w:ind w:left="1900" w:right="4019" w:hanging="944"/>
        <w:spacing w:after="0" w:line="235" w:lineRule="auto"/>
        <w:tabs>
          <w:tab w:leader="none" w:pos="158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25,737,236 shares</w:t>
      </w:r>
    </w:p>
    <w:p>
      <w:pPr>
        <w:spacing w:after="0" w:line="208" w:lineRule="exact"/>
        <w:rPr>
          <w:rFonts w:ascii="Courier New" w:cs="Courier New" w:eastAsia="Courier New" w:hAnsi="Courier New"/>
          <w:sz w:val="18"/>
          <w:szCs w:val="18"/>
          <w:color w:val="auto"/>
        </w:rPr>
      </w:pPr>
    </w:p>
    <w:p>
      <w:pPr>
        <w:ind w:left="1900" w:right="2859" w:hanging="944"/>
        <w:spacing w:after="0" w:line="235" w:lineRule="auto"/>
        <w:tabs>
          <w:tab w:leader="none" w:pos="158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35,505,069 shares</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9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900" w:right="1699"/>
        <w:spacing w:after="0" w:line="237" w:lineRule="auto"/>
        <w:rPr>
          <w:sz w:val="20"/>
          <w:szCs w:val="20"/>
          <w:color w:val="auto"/>
        </w:rPr>
      </w:pPr>
      <w:r>
        <w:rPr>
          <w:rFonts w:ascii="Courier New" w:cs="Courier New" w:eastAsia="Courier New" w:hAnsi="Courier New"/>
          <w:sz w:val="18"/>
          <w:szCs w:val="18"/>
          <w:color w:val="auto"/>
        </w:rPr>
        <w:t>The right to receive or the power to direct the receipt of dividends from, or the proceeds from the sale of, the common stock is held by certain clients of the reporting person, none of which has such right or power with respect to five percent or more of the common stock.</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1699"/>
        <w:spacing w:after="0" w:line="272"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5"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certifies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BARROW, HANLEY, MEWHINNEY &amp;</w:t>
      </w:r>
    </w:p>
    <w:p>
      <w:pPr>
        <w:ind w:left="4640"/>
        <w:spacing w:after="0" w:line="238" w:lineRule="auto"/>
        <w:rPr>
          <w:sz w:val="20"/>
          <w:szCs w:val="20"/>
          <w:color w:val="auto"/>
        </w:rPr>
      </w:pPr>
      <w:r>
        <w:rPr>
          <w:rFonts w:ascii="Courier New" w:cs="Courier New" w:eastAsia="Courier New" w:hAnsi="Courier New"/>
          <w:sz w:val="18"/>
          <w:szCs w:val="18"/>
          <w:color w:val="auto"/>
        </w:rPr>
        <w:t>STRAUSS, INC.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Bryant M. Hanley, Jr.</w:t>
      </w:r>
    </w:p>
    <w:p>
      <w:pPr>
        <w:ind w:left="5160"/>
        <w:spacing w:after="0" w:line="238" w:lineRule="auto"/>
        <w:rPr>
          <w:sz w:val="20"/>
          <w:szCs w:val="20"/>
          <w:color w:val="auto"/>
        </w:rPr>
      </w:pPr>
      <w:r>
        <w:rPr>
          <w:rFonts w:ascii="Courier New" w:cs="Courier New" w:eastAsia="Courier New" w:hAnsi="Courier New"/>
          <w:sz w:val="18"/>
          <w:szCs w:val="18"/>
          <w:color w:val="auto"/>
        </w:rPr>
        <w:t>Name: Bryant M. Hanley, Jr.</w:t>
      </w:r>
    </w:p>
    <w:p>
      <w:pPr>
        <w:ind w:left="51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2000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139"/>
      </w:cols>
      <w:pgMar w:left="32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24"/>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2020-10-06T12:31:20Z</dcterms:created>
  <dcterms:modified xsi:type="dcterms:W3CDTF">2020-10-06T12:31:20Z</dcterms:modified>
</cp:coreProperties>
</file>