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333-80063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w:t>
      </w:r>
    </w:p>
    <w:p>
      <w:pPr>
        <w:spacing w:after="0"/>
        <w:rPr>
          <w:sz w:val="20"/>
          <w:szCs w:val="20"/>
          <w:color w:val="auto"/>
        </w:rPr>
      </w:pPr>
      <w:r>
        <w:rPr>
          <w:rFonts w:ascii="Courier New" w:cs="Courier New" w:eastAsia="Courier New" w:hAnsi="Courier New"/>
          <w:sz w:val="18"/>
          <w:szCs w:val="18"/>
          <w:color w:val="auto"/>
        </w:rPr>
        <w:t>FEBRUARY 14, 2000)</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149,628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November 12, 2001, the last reported sale price of the common stock on the New York Stock Exchange was $27.26 per share.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issue the shares directly to certain persons in order to settle litigation. The shares will be issued to those persons based upon an agreed dollar value of shares in relation to the closing price of our common stock on the New York Stock Exchange on a specific trading date. We will not receive any proceeds from the issuance of these shares.</w:t>
      </w:r>
    </w:p>
    <w:p>
      <w:pPr>
        <w:spacing w:after="0" w:line="209" w:lineRule="exact"/>
        <w:rPr>
          <w:sz w:val="24"/>
          <w:szCs w:val="24"/>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INVESTING IN THE COMMON STOCK INVOLVES RISKS THAT ARE DESCRIBED IN THE "RISK FACTORS" SECTION BEGINNING ON PAGE 4 OF THE ACCOMPANYING PROSPECTUS.</w:t>
      </w:r>
    </w:p>
    <w:p>
      <w:pPr>
        <w:spacing w:after="0" w:line="170"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NOVEMBER 14, 2001.</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November 13, 2001</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2019-12-11T20:35:20Z</dcterms:created>
  <dcterms:modified xsi:type="dcterms:W3CDTF">2019-12-11T20:35:20Z</dcterms:modified>
</cp:coreProperties>
</file>