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43">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4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333-231027</w:t>
      </w: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64" w:lineRule="exact"/>
        <w:rPr>
          <w:sz w:val="24"/>
          <w:szCs w:val="24"/>
          <w:color w:val="auto"/>
        </w:rPr>
      </w:pPr>
    </w:p>
    <w:tbl>
      <w:tblPr>
        <w:tblLayout w:type="fixed"/>
        <w:tblInd w:w="16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20" w:type="dxa"/>
            <w:vAlign w:val="bottom"/>
            <w:tcBorders>
              <w:top w:val="single" w:sz="8" w:color="auto"/>
              <w:bottom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4220" w:type="dxa"/>
            <w:vAlign w:val="bottom"/>
          </w:tcPr>
          <w:p>
            <w:pPr>
              <w:jc w:val="center"/>
              <w:ind w:left="646"/>
              <w:spacing w:after="0" w:line="113" w:lineRule="exact"/>
              <w:rPr>
                <w:sz w:val="20"/>
                <w:szCs w:val="20"/>
                <w:color w:val="auto"/>
              </w:rPr>
            </w:pPr>
            <w:r>
              <w:rPr>
                <w:rFonts w:ascii="Times New Roman" w:cs="Times New Roman" w:eastAsia="Times New Roman" w:hAnsi="Times New Roman"/>
                <w:sz w:val="13"/>
                <w:szCs w:val="13"/>
                <w:b w:val="1"/>
                <w:bCs w:val="1"/>
                <w:color w:val="auto"/>
              </w:rPr>
              <w:t>Title of Each Class of</w:t>
            </w:r>
          </w:p>
        </w:tc>
        <w:tc>
          <w:tcPr>
            <w:tcW w:w="2360" w:type="dxa"/>
            <w:vAlign w:val="bottom"/>
          </w:tcPr>
          <w:p>
            <w:pPr>
              <w:jc w:val="center"/>
              <w:ind w:left="616"/>
              <w:spacing w:after="0" w:line="113"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280" w:type="dxa"/>
            <w:vAlign w:val="bottom"/>
          </w:tcPr>
          <w:p>
            <w:pPr>
              <w:ind w:left="280"/>
              <w:spacing w:after="0" w:line="113" w:lineRule="exact"/>
              <w:rPr>
                <w:sz w:val="20"/>
                <w:szCs w:val="20"/>
                <w:color w:val="auto"/>
              </w:rPr>
            </w:pPr>
            <w:r>
              <w:rPr>
                <w:rFonts w:ascii="Times New Roman" w:cs="Times New Roman" w:eastAsia="Times New Roman" w:hAnsi="Times New Roman"/>
                <w:sz w:val="13"/>
                <w:szCs w:val="13"/>
                <w:b w:val="1"/>
                <w:bCs w:val="1"/>
                <w:color w:val="auto"/>
              </w:rPr>
              <w:t>Registration</w:t>
            </w:r>
          </w:p>
        </w:tc>
      </w:tr>
      <w:tr>
        <w:trPr>
          <w:trHeight w:val="186"/>
        </w:trPr>
        <w:tc>
          <w:tcPr>
            <w:tcW w:w="20" w:type="dxa"/>
            <w:vAlign w:val="bottom"/>
          </w:tcPr>
          <w:p>
            <w:pPr>
              <w:spacing w:after="0"/>
              <w:rPr>
                <w:sz w:val="16"/>
                <w:szCs w:val="16"/>
                <w:color w:val="auto"/>
              </w:rPr>
            </w:pPr>
          </w:p>
        </w:tc>
        <w:tc>
          <w:tcPr>
            <w:tcW w:w="4220" w:type="dxa"/>
            <w:vAlign w:val="bottom"/>
            <w:tcBorders>
              <w:bottom w:val="single" w:sz="8" w:color="auto"/>
            </w:tcBorders>
          </w:tcPr>
          <w:p>
            <w:pPr>
              <w:jc w:val="center"/>
              <w:ind w:left="626"/>
              <w:spacing w:after="0"/>
              <w:rPr>
                <w:sz w:val="20"/>
                <w:szCs w:val="20"/>
                <w:color w:val="auto"/>
              </w:rPr>
            </w:pPr>
            <w:r>
              <w:rPr>
                <w:rFonts w:ascii="Times New Roman" w:cs="Times New Roman" w:eastAsia="Times New Roman" w:hAnsi="Times New Roman"/>
                <w:sz w:val="13"/>
                <w:szCs w:val="13"/>
                <w:b w:val="1"/>
                <w:bCs w:val="1"/>
                <w:color w:val="auto"/>
              </w:rPr>
              <w:t>Securities to be Registered</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Fee(1)</w:t>
            </w:r>
          </w:p>
        </w:tc>
      </w:tr>
      <w:tr>
        <w:trPr>
          <w:trHeight w:val="237"/>
        </w:trPr>
        <w:tc>
          <w:tcPr>
            <w:tcW w:w="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0.750% Senior Notes due 2025</w:t>
            </w:r>
          </w:p>
        </w:tc>
        <w:tc>
          <w:tcPr>
            <w:tcW w:w="236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8"/>
                <w:szCs w:val="18"/>
                <w:color w:val="auto"/>
                <w:w w:val="96"/>
              </w:rPr>
              <w:t>$500,000,000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$54,550</w:t>
            </w:r>
          </w:p>
        </w:tc>
      </w:tr>
      <w:tr>
        <w:trPr>
          <w:trHeight w:val="236"/>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Guarantee of 2025 Notes(2)</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1.150% Senior Notes due 2028</w:t>
            </w:r>
          </w:p>
        </w:tc>
        <w:tc>
          <w:tcPr>
            <w:tcW w:w="236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8"/>
                <w:szCs w:val="18"/>
                <w:color w:val="auto"/>
                <w:w w:val="96"/>
              </w:rPr>
              <w:t>$500,000,000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$54,550</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Guarantee of 2028 Notes(2)</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1.500% Senior Notes due 2031</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7"/>
              </w:rPr>
              <w:t>$1,000,000,000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$109,100</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Guarantee of 2031 Notes(2)</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2.500% Senior Notes due 2050</w:t>
            </w:r>
          </w:p>
        </w:tc>
        <w:tc>
          <w:tcPr>
            <w:tcW w:w="236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8"/>
                <w:szCs w:val="18"/>
                <w:color w:val="auto"/>
                <w:w w:val="96"/>
              </w:rPr>
              <w:t>$500,000,000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$54,550</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Guarantee of 2050 Notes(2)</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7"/>
              </w:rPr>
              <w:t>$2,500,000,000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$272,750</w:t>
            </w: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of the Securities Act of 1933, as amended.</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no separate fee for the guarantee is payable.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Prospectus Supplement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 Prospectus dated April 25, 2019)</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150495</wp:posOffset>
            </wp:positionV>
            <wp:extent cx="2760345" cy="1028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034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$500,000,000 0.750% Senior Notes due 2025</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$500,000,000 1.150% Senior Notes due 2028</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$1,000,000,000 1.500% Senior Notes due 2031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$500,000,000 2.500%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132715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335"/>
        <w:spacing w:after="0" w:line="248" w:lineRule="auto"/>
        <w:rPr>
          <w:sz w:val="20"/>
          <w:szCs w:val="20"/>
          <w:color w:val="auto"/>
        </w:rPr>
      </w:pPr>
      <w:r>
        <w:rPr>
          <w:rFonts w:ascii="Times New Roman" w:cs="Times New Roman" w:eastAsia="Times New Roman" w:hAnsi="Times New Roman"/>
          <w:sz w:val="13"/>
          <w:szCs w:val="13"/>
          <w:color w:val="auto"/>
        </w:rPr>
        <w:t>We are offering $2,500,000,000 of our senior notes, consisting of $500,000,000 of our 0.750% senior notes due 2025 (the "2025 notes"), $500,000,000 of our 1.150% senior notes due 2028 (the "2028 notes"), $1,000,000,000 of our 1.500% senior notes due 2031 (the "2031 notes") and $500,000,000 of our 2.500% senior notes due 2050 (the "2050 notes" and, collectively with the 2025 notes, the 2028 notes and the 2031 notes, the "notes"). Interest on the 2025 notes and the 2050 notes will accrue from November 17, 2020 and will be payable on May 15 and November 15 of each year, beginning May 15, 2021. Interest on the 2028 notes and the 2031 notes will accrue from November 17, 2020 and will be payable on March 15 and September 15 of each year, beginning March 15, 2021. The 2025 notes will mature on November 15, 2025, the 2028 notes will mature on March 15, 2028, the 2031 notes will mature on March 15, 2031 and the 2050 notes will mature on November 15, 2050.</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The notes of each series will be the senior obligations of Waste Management, Inc. and will be fully and unconditionally guaranteed by our wholly owned subsidiary, Waste Management Holdings,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notes will rank equally with all of our other senior indebtedness. The indenture under which we are issuing the notes does not restrict our ability to incur additional senior indebtedness.</w:t>
      </w:r>
    </w:p>
    <w:p>
      <w:pPr>
        <w:spacing w:after="0" w:line="201" w:lineRule="exact"/>
        <w:rPr>
          <w:sz w:val="20"/>
          <w:szCs w:val="20"/>
          <w:color w:val="auto"/>
        </w:rPr>
      </w:pPr>
    </w:p>
    <w:p>
      <w:pPr>
        <w:ind w:right="240" w:firstLine="335"/>
        <w:spacing w:after="0" w:line="278" w:lineRule="auto"/>
        <w:rPr>
          <w:sz w:val="20"/>
          <w:szCs w:val="20"/>
          <w:color w:val="auto"/>
        </w:rPr>
      </w:pPr>
      <w:r>
        <w:rPr>
          <w:rFonts w:ascii="Times New Roman" w:cs="Times New Roman" w:eastAsia="Times New Roman" w:hAnsi="Times New Roman"/>
          <w:sz w:val="13"/>
          <w:szCs w:val="13"/>
          <w:color w:val="auto"/>
        </w:rPr>
        <w:t>We may redeem each series of the notes, in whole or in part, at any time at the redemption prices described beginning on page S-13. If a change of control triggering event as described beginning on page S-16 occurs, we may be required to offer to purchase the notes of each series from holders.</w:t>
      </w:r>
    </w:p>
    <w:p>
      <w:pPr>
        <w:spacing w:after="0" w:line="161" w:lineRule="exact"/>
        <w:rPr>
          <w:sz w:val="20"/>
          <w:szCs w:val="20"/>
          <w:color w:val="auto"/>
        </w:rPr>
      </w:pPr>
    </w:p>
    <w:p>
      <w:pPr>
        <w:ind w:right="340" w:firstLine="337"/>
        <w:spacing w:after="0" w:line="279" w:lineRule="auto"/>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S-6 of this prospectus supplement and page 6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117475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20" w:firstLine="337"/>
        <w:spacing w:after="0" w:line="284"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111760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20" w:type="dxa"/>
        <w:tblCellMar>
          <w:top w:w="0" w:type="dxa"/>
          <w:left w:w="0" w:type="dxa"/>
          <w:bottom w:w="0" w:type="dxa"/>
          <w:right w:w="0" w:type="dxa"/>
        </w:tblCellMar>
      </w:tblPr>
      <w:tr>
        <w:trPr>
          <w:trHeight w:val="40"/>
        </w:trPr>
        <w:tc>
          <w:tcPr>
            <w:tcW w:w="214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r>
      <w:tr>
        <w:trPr>
          <w:trHeight w:val="129"/>
        </w:trPr>
        <w:tc>
          <w:tcPr>
            <w:tcW w:w="21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ind w:left="620"/>
              <w:spacing w:after="0" w:line="129" w:lineRule="exact"/>
              <w:rPr>
                <w:sz w:val="20"/>
                <w:szCs w:val="20"/>
                <w:color w:val="auto"/>
              </w:rPr>
            </w:pPr>
            <w:r>
              <w:rPr>
                <w:rFonts w:ascii="Times New Roman" w:cs="Times New Roman" w:eastAsia="Times New Roman" w:hAnsi="Times New Roman"/>
                <w:sz w:val="13"/>
                <w:szCs w:val="13"/>
                <w:b w:val="1"/>
                <w:bCs w:val="1"/>
                <w:color w:val="auto"/>
              </w:rPr>
              <w:t>2025 Notes</w:t>
            </w:r>
          </w:p>
        </w:tc>
        <w:tc>
          <w:tcPr>
            <w:tcW w:w="1980" w:type="dxa"/>
            <w:vAlign w:val="bottom"/>
            <w:tcBorders>
              <w:bottom w:val="single" w:sz="8" w:color="auto"/>
            </w:tcBorders>
            <w:gridSpan w:val="2"/>
          </w:tcPr>
          <w:p>
            <w:pPr>
              <w:ind w:left="680"/>
              <w:spacing w:after="0" w:line="129" w:lineRule="exact"/>
              <w:rPr>
                <w:sz w:val="20"/>
                <w:szCs w:val="20"/>
                <w:color w:val="auto"/>
              </w:rPr>
            </w:pPr>
            <w:r>
              <w:rPr>
                <w:rFonts w:ascii="Times New Roman" w:cs="Times New Roman" w:eastAsia="Times New Roman" w:hAnsi="Times New Roman"/>
                <w:sz w:val="13"/>
                <w:szCs w:val="13"/>
                <w:b w:val="1"/>
                <w:bCs w:val="1"/>
                <w:color w:val="auto"/>
              </w:rPr>
              <w:t>2028 Notes</w:t>
            </w:r>
          </w:p>
        </w:tc>
        <w:tc>
          <w:tcPr>
            <w:tcW w:w="2020" w:type="dxa"/>
            <w:vAlign w:val="bottom"/>
            <w:tcBorders>
              <w:bottom w:val="single" w:sz="8" w:color="auto"/>
            </w:tcBorders>
            <w:gridSpan w:val="2"/>
          </w:tcPr>
          <w:p>
            <w:pPr>
              <w:ind w:left="680"/>
              <w:spacing w:after="0" w:line="129" w:lineRule="exact"/>
              <w:rPr>
                <w:sz w:val="20"/>
                <w:szCs w:val="20"/>
                <w:color w:val="auto"/>
              </w:rPr>
            </w:pPr>
            <w:r>
              <w:rPr>
                <w:rFonts w:ascii="Times New Roman" w:cs="Times New Roman" w:eastAsia="Times New Roman" w:hAnsi="Times New Roman"/>
                <w:sz w:val="13"/>
                <w:szCs w:val="13"/>
                <w:b w:val="1"/>
                <w:bCs w:val="1"/>
                <w:color w:val="auto"/>
              </w:rPr>
              <w:t>2031 Notes</w:t>
            </w:r>
          </w:p>
        </w:tc>
        <w:tc>
          <w:tcPr>
            <w:tcW w:w="1940" w:type="dxa"/>
            <w:vAlign w:val="bottom"/>
            <w:tcBorders>
              <w:bottom w:val="single" w:sz="8" w:color="auto"/>
            </w:tcBorders>
            <w:gridSpan w:val="2"/>
          </w:tcPr>
          <w:p>
            <w:pPr>
              <w:ind w:left="680"/>
              <w:spacing w:after="0" w:line="129" w:lineRule="exact"/>
              <w:rPr>
                <w:sz w:val="20"/>
                <w:szCs w:val="20"/>
                <w:color w:val="auto"/>
              </w:rPr>
            </w:pPr>
            <w:r>
              <w:rPr>
                <w:rFonts w:ascii="Times New Roman" w:cs="Times New Roman" w:eastAsia="Times New Roman" w:hAnsi="Times New Roman"/>
                <w:sz w:val="13"/>
                <w:szCs w:val="13"/>
                <w:b w:val="1"/>
                <w:bCs w:val="1"/>
                <w:color w:val="auto"/>
              </w:rPr>
              <w:t>2050 Notes</w:t>
            </w:r>
          </w:p>
        </w:tc>
      </w:tr>
      <w:tr>
        <w:trPr>
          <w:trHeight w:val="210"/>
        </w:trPr>
        <w:tc>
          <w:tcPr>
            <w:tcW w:w="2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Public Offering Price(1)</w:t>
            </w: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99.829%</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$499,145,000</w:t>
            </w: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99.937%</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$499,685,000</w:t>
            </w: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99.763%</w:t>
            </w: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$997,630,000</w:t>
            </w: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98.998%</w:t>
            </w:r>
          </w:p>
        </w:tc>
        <w:tc>
          <w:tcPr>
            <w:tcW w:w="1040" w:type="dxa"/>
            <w:vAlign w:val="bottom"/>
            <w:tcBorders>
              <w:bottom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3"/>
                <w:szCs w:val="13"/>
                <w:color w:val="auto"/>
              </w:rPr>
              <w:t>$494,990,000</w:t>
            </w: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Underwriting Discount</w:t>
            </w: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0.350%</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$1,750,000</w:t>
            </w: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0.400%</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$2,000,000</w:t>
            </w: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0.450%</w:t>
            </w: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$4,500,000</w:t>
            </w: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9"/>
              </w:rPr>
              <w:t>0.875%</w:t>
            </w:r>
          </w:p>
        </w:tc>
        <w:tc>
          <w:tcPr>
            <w:tcW w:w="1040" w:type="dxa"/>
            <w:vAlign w:val="bottom"/>
            <w:tcBorders>
              <w:bottom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3"/>
                <w:szCs w:val="13"/>
                <w:color w:val="auto"/>
              </w:rPr>
              <w:t>$4,375,000</w:t>
            </w: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Proceeds to Us (excluding expenses)</w:t>
            </w: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99.479%</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$497,395,000</w:t>
            </w: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99.537%</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$497,685,000</w:t>
            </w: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99.313%</w:t>
            </w: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$993,130,000</w:t>
            </w: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98.123%</w:t>
            </w:r>
          </w:p>
        </w:tc>
        <w:tc>
          <w:tcPr>
            <w:tcW w:w="1040" w:type="dxa"/>
            <w:vAlign w:val="bottom"/>
            <w:tcBorders>
              <w:bottom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3"/>
                <w:szCs w:val="13"/>
                <w:color w:val="auto"/>
              </w:rPr>
              <w:t>$490,615,000</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Plus accrued interest from November 17, 2020, if delivery occurs after that date.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The notes will not be listed on any securities exchange. Currently, there is no public market for the notes.</w:t>
      </w:r>
    </w:p>
    <w:p>
      <w:pPr>
        <w:spacing w:after="0" w:line="215" w:lineRule="exact"/>
        <w:rPr>
          <w:sz w:val="20"/>
          <w:szCs w:val="20"/>
          <w:color w:val="auto"/>
        </w:rPr>
      </w:pPr>
    </w:p>
    <w:p>
      <w:pPr>
        <w:ind w:right="80" w:firstLine="335"/>
        <w:spacing w:after="0" w:line="278" w:lineRule="auto"/>
        <w:rPr>
          <w:sz w:val="20"/>
          <w:szCs w:val="20"/>
          <w:color w:val="auto"/>
        </w:rPr>
      </w:pPr>
      <w:r>
        <w:rPr>
          <w:rFonts w:ascii="Times New Roman" w:cs="Times New Roman" w:eastAsia="Times New Roman" w:hAnsi="Times New Roman"/>
          <w:sz w:val="13"/>
          <w:szCs w:val="13"/>
          <w:color w:val="auto"/>
        </w:rPr>
        <w:t>The underwriters expect to deliver the notes to investors on or about November 17, 2020 only in book-entry form through the facilities of The Depository Trust Company and its participants, including Clearstream Banking S.A. and Euroclear Bank SA/NV, as operator of the Euroclear System.</w:t>
      </w:r>
    </w:p>
    <w:p>
      <w:pPr>
        <w:spacing w:after="0" w:line="165" w:lineRule="exact"/>
        <w:rPr>
          <w:sz w:val="20"/>
          <w:szCs w:val="20"/>
          <w:color w:val="auto"/>
        </w:rPr>
      </w:pPr>
    </w:p>
    <w:tbl>
      <w:tblPr>
        <w:tblLayout w:type="fixed"/>
        <w:tblInd w:w="120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Joint Book-Running Managers</w:t>
            </w: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458"/>
        </w:trPr>
        <w:tc>
          <w:tcPr>
            <w:tcW w:w="3280" w:type="dxa"/>
            <w:vAlign w:val="bottom"/>
            <w:gridSpan w:val="2"/>
          </w:tcPr>
          <w:p>
            <w:pPr>
              <w:ind w:left="172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gridSpan w:val="2"/>
          </w:tcPr>
          <w:p>
            <w:pPr>
              <w:ind w:left="420"/>
              <w:spacing w:after="0"/>
              <w:rPr>
                <w:sz w:val="20"/>
                <w:szCs w:val="20"/>
                <w:color w:val="auto"/>
              </w:rPr>
            </w:pPr>
            <w:r>
              <w:rPr>
                <w:rFonts w:ascii="Times New Roman" w:cs="Times New Roman" w:eastAsia="Times New Roman" w:hAnsi="Times New Roman"/>
                <w:sz w:val="22"/>
                <w:szCs w:val="22"/>
                <w:b w:val="1"/>
                <w:bCs w:val="1"/>
                <w:color w:val="auto"/>
              </w:rPr>
              <w:t>Mizuho Securities</w:t>
            </w:r>
          </w:p>
        </w:tc>
      </w:tr>
      <w:tr>
        <w:trPr>
          <w:trHeight w:val="460"/>
        </w:trPr>
        <w:tc>
          <w:tcPr>
            <w:tcW w:w="2080" w:type="dxa"/>
            <w:vAlign w:val="bottom"/>
          </w:tcPr>
          <w:p>
            <w:pPr>
              <w:jc w:val="center"/>
              <w:ind w:left="468"/>
              <w:spacing w:after="0"/>
              <w:rPr>
                <w:sz w:val="20"/>
                <w:szCs w:val="20"/>
                <w:color w:val="auto"/>
              </w:rPr>
            </w:pPr>
            <w:r>
              <w:rPr>
                <w:rFonts w:ascii="Times New Roman" w:cs="Times New Roman" w:eastAsia="Times New Roman" w:hAnsi="Times New Roman"/>
                <w:sz w:val="22"/>
                <w:szCs w:val="22"/>
                <w:b w:val="1"/>
                <w:bCs w:val="1"/>
                <w:color w:val="auto"/>
                <w:w w:val="98"/>
              </w:rPr>
              <w:t>BofA Securities</w:t>
            </w:r>
          </w:p>
        </w:tc>
        <w:tc>
          <w:tcPr>
            <w:tcW w:w="1200" w:type="dxa"/>
            <w:vAlign w:val="bottom"/>
          </w:tcPr>
          <w:p>
            <w:pPr>
              <w:spacing w:after="0"/>
              <w:rPr>
                <w:sz w:val="24"/>
                <w:szCs w:val="24"/>
                <w:color w:val="auto"/>
              </w:rPr>
            </w:pPr>
          </w:p>
        </w:tc>
        <w:tc>
          <w:tcPr>
            <w:tcW w:w="1760" w:type="dxa"/>
            <w:vAlign w:val="bottom"/>
          </w:tcPr>
          <w:p>
            <w:pPr>
              <w:jc w:val="center"/>
              <w:ind w:left="435"/>
              <w:spacing w:after="0"/>
              <w:rPr>
                <w:sz w:val="20"/>
                <w:szCs w:val="20"/>
                <w:color w:val="auto"/>
              </w:rPr>
            </w:pPr>
            <w:r>
              <w:rPr>
                <w:rFonts w:ascii="Times New Roman" w:cs="Times New Roman" w:eastAsia="Times New Roman" w:hAnsi="Times New Roman"/>
                <w:sz w:val="22"/>
                <w:szCs w:val="22"/>
                <w:b w:val="1"/>
                <w:bCs w:val="1"/>
                <w:color w:val="auto"/>
                <w:w w:val="95"/>
              </w:rPr>
              <w:t>J.P. Morgan</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jc w:val="center"/>
              <w:ind w:right="287"/>
              <w:spacing w:after="0"/>
              <w:rPr>
                <w:sz w:val="20"/>
                <w:szCs w:val="20"/>
                <w:color w:val="auto"/>
              </w:rPr>
            </w:pPr>
            <w:r>
              <w:rPr>
                <w:rFonts w:ascii="Times New Roman" w:cs="Times New Roman" w:eastAsia="Times New Roman" w:hAnsi="Times New Roman"/>
                <w:sz w:val="22"/>
                <w:szCs w:val="22"/>
                <w:b w:val="1"/>
                <w:bCs w:val="1"/>
                <w:color w:val="auto"/>
                <w:w w:val="98"/>
              </w:rPr>
              <w:t>Scotiabank</w:t>
            </w:r>
          </w:p>
        </w:tc>
      </w:tr>
      <w:tr>
        <w:trPr>
          <w:trHeight w:val="216"/>
        </w:trPr>
        <w:tc>
          <w:tcPr>
            <w:tcW w:w="3280" w:type="dxa"/>
            <w:vAlign w:val="bottom"/>
            <w:gridSpan w:val="2"/>
          </w:tcPr>
          <w:p>
            <w:pPr>
              <w:jc w:val="center"/>
              <w:ind w:right="552"/>
              <w:spacing w:after="0"/>
              <w:rPr>
                <w:sz w:val="20"/>
                <w:szCs w:val="20"/>
                <w:color w:val="auto"/>
              </w:rPr>
            </w:pPr>
            <w:r>
              <w:rPr>
                <w:rFonts w:ascii="Times New Roman" w:cs="Times New Roman" w:eastAsia="Times New Roman" w:hAnsi="Times New Roman"/>
                <w:sz w:val="18"/>
                <w:szCs w:val="18"/>
                <w:color w:val="auto"/>
                <w:w w:val="97"/>
              </w:rPr>
              <w:t>(Active 2025 notes and</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(Active 2031 notes and</w:t>
            </w:r>
          </w:p>
        </w:tc>
        <w:tc>
          <w:tcPr>
            <w:tcW w:w="2840" w:type="dxa"/>
            <w:vAlign w:val="bottom"/>
            <w:gridSpan w:val="2"/>
          </w:tcPr>
          <w:p>
            <w:pPr>
              <w:jc w:val="center"/>
              <w:ind w:left="829"/>
              <w:spacing w:after="0"/>
              <w:rPr>
                <w:sz w:val="20"/>
                <w:szCs w:val="20"/>
                <w:color w:val="auto"/>
              </w:rPr>
            </w:pPr>
            <w:r>
              <w:rPr>
                <w:rFonts w:ascii="Times New Roman" w:cs="Times New Roman" w:eastAsia="Times New Roman" w:hAnsi="Times New Roman"/>
                <w:sz w:val="18"/>
                <w:szCs w:val="18"/>
                <w:color w:val="auto"/>
                <w:w w:val="97"/>
              </w:rPr>
              <w:t>(Active 2028 notes and</w:t>
            </w:r>
          </w:p>
        </w:tc>
      </w:tr>
      <w:tr>
        <w:trPr>
          <w:trHeight w:val="228"/>
        </w:trPr>
        <w:tc>
          <w:tcPr>
            <w:tcW w:w="2080" w:type="dxa"/>
            <w:vAlign w:val="bottom"/>
          </w:tcPr>
          <w:p>
            <w:pPr>
              <w:jc w:val="center"/>
              <w:ind w:left="488"/>
              <w:spacing w:after="0"/>
              <w:rPr>
                <w:sz w:val="20"/>
                <w:szCs w:val="20"/>
                <w:color w:val="auto"/>
              </w:rPr>
            </w:pPr>
            <w:r>
              <w:rPr>
                <w:rFonts w:ascii="Times New Roman" w:cs="Times New Roman" w:eastAsia="Times New Roman" w:hAnsi="Times New Roman"/>
                <w:sz w:val="18"/>
                <w:szCs w:val="18"/>
                <w:color w:val="auto"/>
                <w:w w:val="96"/>
              </w:rPr>
              <w:t>2031 notes)</w:t>
            </w:r>
          </w:p>
        </w:tc>
        <w:tc>
          <w:tcPr>
            <w:tcW w:w="1200" w:type="dxa"/>
            <w:vAlign w:val="bottom"/>
          </w:tcPr>
          <w:p>
            <w:pPr>
              <w:spacing w:after="0"/>
              <w:rPr>
                <w:sz w:val="19"/>
                <w:szCs w:val="19"/>
                <w:color w:val="auto"/>
              </w:rPr>
            </w:pPr>
          </w:p>
        </w:tc>
        <w:tc>
          <w:tcPr>
            <w:tcW w:w="17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6"/>
              </w:rPr>
              <w:t>2050 notes)</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jc w:val="center"/>
              <w:ind w:right="267"/>
              <w:spacing w:after="0"/>
              <w:rPr>
                <w:sz w:val="20"/>
                <w:szCs w:val="20"/>
                <w:color w:val="auto"/>
              </w:rPr>
            </w:pPr>
            <w:r>
              <w:rPr>
                <w:rFonts w:ascii="Times New Roman" w:cs="Times New Roman" w:eastAsia="Times New Roman" w:hAnsi="Times New Roman"/>
                <w:sz w:val="18"/>
                <w:szCs w:val="18"/>
                <w:color w:val="auto"/>
                <w:w w:val="96"/>
              </w:rPr>
              <w:t>2031 notes)</w:t>
            </w:r>
          </w:p>
        </w:tc>
      </w:tr>
      <w:tr>
        <w:trPr>
          <w:trHeight w:val="447"/>
        </w:trPr>
        <w:tc>
          <w:tcPr>
            <w:tcW w:w="2080" w:type="dxa"/>
            <w:vAlign w:val="bottom"/>
          </w:tcPr>
          <w:p>
            <w:pPr>
              <w:jc w:val="center"/>
              <w:ind w:left="468"/>
              <w:spacing w:after="0"/>
              <w:rPr>
                <w:sz w:val="20"/>
                <w:szCs w:val="20"/>
                <w:color w:val="auto"/>
              </w:rPr>
            </w:pPr>
            <w:r>
              <w:rPr>
                <w:rFonts w:ascii="Times New Roman" w:cs="Times New Roman" w:eastAsia="Times New Roman" w:hAnsi="Times New Roman"/>
                <w:sz w:val="18"/>
                <w:szCs w:val="18"/>
                <w:b w:val="1"/>
                <w:bCs w:val="1"/>
                <w:color w:val="auto"/>
                <w:w w:val="97"/>
              </w:rPr>
              <w:t>BNP PARIBAS</w:t>
            </w:r>
          </w:p>
        </w:tc>
        <w:tc>
          <w:tcPr>
            <w:tcW w:w="1200" w:type="dxa"/>
            <w:vAlign w:val="bottom"/>
          </w:tcPr>
          <w:p>
            <w:pPr>
              <w:spacing w:after="0"/>
              <w:rPr>
                <w:sz w:val="24"/>
                <w:szCs w:val="24"/>
                <w:color w:val="auto"/>
              </w:rPr>
            </w:pPr>
          </w:p>
        </w:tc>
        <w:tc>
          <w:tcPr>
            <w:tcW w:w="1760" w:type="dxa"/>
            <w:vAlign w:val="bottom"/>
          </w:tcPr>
          <w:p>
            <w:pPr>
              <w:jc w:val="center"/>
              <w:ind w:left="435"/>
              <w:spacing w:after="0"/>
              <w:rPr>
                <w:sz w:val="20"/>
                <w:szCs w:val="20"/>
                <w:color w:val="auto"/>
              </w:rPr>
            </w:pPr>
            <w:r>
              <w:rPr>
                <w:rFonts w:ascii="Times New Roman" w:cs="Times New Roman" w:eastAsia="Times New Roman" w:hAnsi="Times New Roman"/>
                <w:sz w:val="18"/>
                <w:szCs w:val="18"/>
                <w:b w:val="1"/>
                <w:bCs w:val="1"/>
                <w:color w:val="auto"/>
                <w:w w:val="95"/>
              </w:rPr>
              <w:t>Citigroup</w:t>
            </w:r>
          </w:p>
        </w:tc>
        <w:tc>
          <w:tcPr>
            <w:tcW w:w="600" w:type="dxa"/>
            <w:vAlign w:val="bottom"/>
          </w:tcPr>
          <w:p>
            <w:pPr>
              <w:spacing w:after="0"/>
              <w:rPr>
                <w:sz w:val="24"/>
                <w:szCs w:val="24"/>
                <w:color w:val="auto"/>
              </w:rPr>
            </w:pPr>
          </w:p>
        </w:tc>
        <w:tc>
          <w:tcPr>
            <w:tcW w:w="2840" w:type="dxa"/>
            <w:vAlign w:val="bottom"/>
            <w:gridSpan w:val="2"/>
          </w:tcPr>
          <w:p>
            <w:pPr>
              <w:jc w:val="center"/>
              <w:ind w:left="849"/>
              <w:spacing w:after="0"/>
              <w:rPr>
                <w:sz w:val="20"/>
                <w:szCs w:val="20"/>
                <w:color w:val="auto"/>
              </w:rPr>
            </w:pPr>
            <w:r>
              <w:rPr>
                <w:rFonts w:ascii="Times New Roman" w:cs="Times New Roman" w:eastAsia="Times New Roman" w:hAnsi="Times New Roman"/>
                <w:sz w:val="18"/>
                <w:szCs w:val="18"/>
                <w:b w:val="1"/>
                <w:bCs w:val="1"/>
                <w:color w:val="auto"/>
                <w:w w:val="97"/>
              </w:rPr>
              <w:t>Deutsche Bank Securities</w:t>
            </w:r>
          </w:p>
        </w:tc>
      </w:tr>
      <w:tr>
        <w:trPr>
          <w:trHeight w:val="228"/>
        </w:trPr>
        <w:tc>
          <w:tcPr>
            <w:tcW w:w="2080" w:type="dxa"/>
            <w:vAlign w:val="bottom"/>
          </w:tcPr>
          <w:p>
            <w:pPr>
              <w:jc w:val="center"/>
              <w:ind w:left="468"/>
              <w:spacing w:after="0"/>
              <w:rPr>
                <w:sz w:val="20"/>
                <w:szCs w:val="20"/>
                <w:color w:val="auto"/>
              </w:rPr>
            </w:pPr>
            <w:r>
              <w:rPr>
                <w:rFonts w:ascii="Times New Roman" w:cs="Times New Roman" w:eastAsia="Times New Roman" w:hAnsi="Times New Roman"/>
                <w:sz w:val="18"/>
                <w:szCs w:val="18"/>
                <w:color w:val="auto"/>
                <w:w w:val="97"/>
              </w:rPr>
              <w:t>(Active 2025 notes)</w:t>
            </w:r>
          </w:p>
        </w:tc>
        <w:tc>
          <w:tcPr>
            <w:tcW w:w="1200" w:type="dxa"/>
            <w:vAlign w:val="bottom"/>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(Active 2028 notes)</w:t>
            </w:r>
          </w:p>
        </w:tc>
        <w:tc>
          <w:tcPr>
            <w:tcW w:w="2840" w:type="dxa"/>
            <w:vAlign w:val="bottom"/>
            <w:gridSpan w:val="2"/>
          </w:tcPr>
          <w:p>
            <w:pPr>
              <w:jc w:val="center"/>
              <w:ind w:left="829"/>
              <w:spacing w:after="0"/>
              <w:rPr>
                <w:sz w:val="20"/>
                <w:szCs w:val="20"/>
                <w:color w:val="auto"/>
              </w:rPr>
            </w:pPr>
            <w:r>
              <w:rPr>
                <w:rFonts w:ascii="Times New Roman" w:cs="Times New Roman" w:eastAsia="Times New Roman" w:hAnsi="Times New Roman"/>
                <w:sz w:val="18"/>
                <w:szCs w:val="18"/>
                <w:color w:val="auto"/>
                <w:w w:val="97"/>
              </w:rPr>
              <w:t>(Active 2028 notes)</w:t>
            </w:r>
          </w:p>
        </w:tc>
      </w:tr>
      <w:tr>
        <w:trPr>
          <w:trHeight w:val="447"/>
        </w:trPr>
        <w:tc>
          <w:tcPr>
            <w:tcW w:w="2080" w:type="dxa"/>
            <w:vAlign w:val="bottom"/>
          </w:tcPr>
          <w:p>
            <w:pPr>
              <w:jc w:val="center"/>
              <w:ind w:left="488"/>
              <w:spacing w:after="0"/>
              <w:rPr>
                <w:sz w:val="20"/>
                <w:szCs w:val="20"/>
                <w:color w:val="auto"/>
              </w:rPr>
            </w:pPr>
            <w:r>
              <w:rPr>
                <w:rFonts w:ascii="Times New Roman" w:cs="Times New Roman" w:eastAsia="Times New Roman" w:hAnsi="Times New Roman"/>
                <w:sz w:val="18"/>
                <w:szCs w:val="18"/>
                <w:b w:val="1"/>
                <w:bCs w:val="1"/>
                <w:color w:val="auto"/>
                <w:w w:val="98"/>
              </w:rPr>
              <w:t>MUFG</w:t>
            </w:r>
          </w:p>
        </w:tc>
        <w:tc>
          <w:tcPr>
            <w:tcW w:w="1200" w:type="dxa"/>
            <w:vAlign w:val="bottom"/>
          </w:tcPr>
          <w:p>
            <w:pPr>
              <w:spacing w:after="0"/>
              <w:rPr>
                <w:sz w:val="24"/>
                <w:szCs w:val="24"/>
                <w:color w:val="auto"/>
              </w:rPr>
            </w:pPr>
          </w:p>
        </w:tc>
        <w:tc>
          <w:tcPr>
            <w:tcW w:w="1760" w:type="dxa"/>
            <w:vAlign w:val="bottom"/>
          </w:tcPr>
          <w:p>
            <w:pPr>
              <w:jc w:val="center"/>
              <w:ind w:left="435"/>
              <w:spacing w:after="0"/>
              <w:rPr>
                <w:sz w:val="20"/>
                <w:szCs w:val="20"/>
                <w:color w:val="auto"/>
              </w:rPr>
            </w:pPr>
            <w:r>
              <w:rPr>
                <w:rFonts w:ascii="Times New Roman" w:cs="Times New Roman" w:eastAsia="Times New Roman" w:hAnsi="Times New Roman"/>
                <w:sz w:val="18"/>
                <w:szCs w:val="18"/>
                <w:b w:val="1"/>
                <w:bCs w:val="1"/>
                <w:color w:val="auto"/>
                <w:w w:val="96"/>
              </w:rPr>
              <w:t>SMBC Nikko</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jc w:val="center"/>
              <w:ind w:right="287"/>
              <w:spacing w:after="0"/>
              <w:rPr>
                <w:sz w:val="20"/>
                <w:szCs w:val="20"/>
                <w:color w:val="auto"/>
              </w:rPr>
            </w:pPr>
            <w:r>
              <w:rPr>
                <w:rFonts w:ascii="Times New Roman" w:cs="Times New Roman" w:eastAsia="Times New Roman" w:hAnsi="Times New Roman"/>
                <w:sz w:val="18"/>
                <w:szCs w:val="18"/>
                <w:b w:val="1"/>
                <w:bCs w:val="1"/>
                <w:color w:val="auto"/>
                <w:w w:val="98"/>
              </w:rPr>
              <w:t>US Bancorp</w:t>
            </w:r>
          </w:p>
        </w:tc>
      </w:tr>
      <w:tr>
        <w:trPr>
          <w:trHeight w:val="228"/>
        </w:trPr>
        <w:tc>
          <w:tcPr>
            <w:tcW w:w="2080" w:type="dxa"/>
            <w:vAlign w:val="bottom"/>
          </w:tcPr>
          <w:p>
            <w:pPr>
              <w:jc w:val="center"/>
              <w:ind w:left="468"/>
              <w:spacing w:after="0"/>
              <w:rPr>
                <w:sz w:val="20"/>
                <w:szCs w:val="20"/>
                <w:color w:val="auto"/>
              </w:rPr>
            </w:pPr>
            <w:r>
              <w:rPr>
                <w:rFonts w:ascii="Times New Roman" w:cs="Times New Roman" w:eastAsia="Times New Roman" w:hAnsi="Times New Roman"/>
                <w:sz w:val="18"/>
                <w:szCs w:val="18"/>
                <w:color w:val="auto"/>
                <w:w w:val="97"/>
              </w:rPr>
              <w:t>(Active 2050 notes)</w:t>
            </w:r>
          </w:p>
        </w:tc>
        <w:tc>
          <w:tcPr>
            <w:tcW w:w="1200" w:type="dxa"/>
            <w:vAlign w:val="bottom"/>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(Active 2050 notes)</w:t>
            </w:r>
          </w:p>
        </w:tc>
        <w:tc>
          <w:tcPr>
            <w:tcW w:w="2840" w:type="dxa"/>
            <w:vAlign w:val="bottom"/>
            <w:gridSpan w:val="2"/>
          </w:tcPr>
          <w:p>
            <w:pPr>
              <w:jc w:val="center"/>
              <w:ind w:left="829"/>
              <w:spacing w:after="0"/>
              <w:rPr>
                <w:sz w:val="20"/>
                <w:szCs w:val="20"/>
                <w:color w:val="auto"/>
              </w:rPr>
            </w:pPr>
            <w:r>
              <w:rPr>
                <w:rFonts w:ascii="Times New Roman" w:cs="Times New Roman" w:eastAsia="Times New Roman" w:hAnsi="Times New Roman"/>
                <w:sz w:val="18"/>
                <w:szCs w:val="18"/>
                <w:color w:val="auto"/>
                <w:w w:val="97"/>
              </w:rPr>
              <w:t>(Active 2025 notes)</w:t>
            </w:r>
          </w:p>
        </w:tc>
      </w:tr>
      <w:tr>
        <w:trPr>
          <w:trHeight w:val="379"/>
        </w:trPr>
        <w:tc>
          <w:tcPr>
            <w:tcW w:w="2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tcPr>
          <w:p>
            <w:pPr>
              <w:jc w:val="center"/>
              <w:ind w:left="435"/>
              <w:spacing w:after="0"/>
              <w:rPr>
                <w:sz w:val="20"/>
                <w:szCs w:val="20"/>
                <w:color w:val="auto"/>
              </w:rPr>
            </w:pPr>
            <w:r>
              <w:rPr>
                <w:rFonts w:ascii="Times New Roman" w:cs="Times New Roman" w:eastAsia="Times New Roman" w:hAnsi="Times New Roman"/>
                <w:sz w:val="13"/>
                <w:szCs w:val="13"/>
                <w:i w:val="1"/>
                <w:iCs w:val="1"/>
                <w:color w:val="auto"/>
              </w:rPr>
              <w:t>Co-Managers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7"/>
        </w:trPr>
        <w:tc>
          <w:tcPr>
            <w:tcW w:w="328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Academy Securities</w:t>
            </w: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Loop Capital Markets</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MFR Securities, Inc.</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Mischler Financial Group, Inc.</w:t>
            </w: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Siebert Williams Shank</w:t>
            </w:r>
          </w:p>
        </w:tc>
        <w:tc>
          <w:tcPr>
            <w:tcW w:w="15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Stern</w:t>
            </w: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November 5, 2020</w:t>
      </w:r>
    </w:p>
    <w:p>
      <w:pPr>
        <w:sectPr>
          <w:pgSz w:w="11900" w:h="16838" w:orient="portrait"/>
          <w:cols w:equalWidth="0" w:num="1">
            <w:col w:w="11240"/>
          </w:cols>
          <w:pgMar w:left="320" w:top="125" w:right="339"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you with any information other than the information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date on the front cover of this prospectus supplement, or that the information we previously filed with the Securities and Exchange Commission, or SEC, and incorporated by reference in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135255</wp:posOffset>
            </wp:positionV>
            <wp:extent cx="1868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834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i w:val="1"/>
                <w:iCs w:val="1"/>
                <w:color w:val="auto"/>
                <w:w w:val="96"/>
              </w:rPr>
              <w:t>Table of Contents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3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4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5" w:lineRule="exact"/>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S-6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USE OF PROCEEDS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S-9</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CAPITALIZATION</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S-10</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DESCRIPTION OF NOTES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S-12</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CERTAIN U.S. FEDERAL TAX CONSIDERATIONS FOR NON-U.S. HOLDERS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S-24</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UNDERWRITING (CONFLICTS OF INTEREST)</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S-29</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LEGAL MATTERS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S-36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EXPERTS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S-36</w:t>
              </w:r>
            </w:hyperlink>
          </w:p>
        </w:tc>
        <w:tc>
          <w:tcPr>
            <w:tcW w:w="0" w:type="dxa"/>
            <w:vAlign w:val="bottom"/>
          </w:tcPr>
          <w:p>
            <w:pPr>
              <w:spacing w:after="0"/>
              <w:rPr>
                <w:sz w:val="1"/>
                <w:szCs w:val="1"/>
                <w:color w:val="auto"/>
              </w:rPr>
            </w:pPr>
          </w:p>
        </w:tc>
      </w:tr>
      <w:tr>
        <w:trPr>
          <w:trHeight w:val="228"/>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INCORPORATION OF CERTAIN DOCUMENTS BY REFERENCE</w:t>
              </w:r>
            </w:hyperlink>
          </w:p>
        </w:tc>
        <w:tc>
          <w:tcPr>
            <w:tcW w:w="40" w:type="dxa"/>
            <w:vAlign w:val="bottom"/>
          </w:tcPr>
          <w:p>
            <w:pPr>
              <w:spacing w:after="0"/>
              <w:rPr>
                <w:sz w:val="19"/>
                <w:szCs w:val="19"/>
                <w:color w:val="auto"/>
              </w:rPr>
            </w:pPr>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S-37</w:t>
              </w:r>
            </w:hyperlink>
          </w:p>
        </w:tc>
        <w:tc>
          <w:tcPr>
            <w:tcW w:w="0" w:type="dxa"/>
            <w:vAlign w:val="bottom"/>
          </w:tcPr>
          <w:p>
            <w:pPr>
              <w:spacing w:after="0"/>
              <w:rPr>
                <w:sz w:val="1"/>
                <w:szCs w:val="1"/>
                <w:color w:val="auto"/>
              </w:rPr>
            </w:pPr>
          </w:p>
        </w:tc>
      </w:tr>
      <w:tr>
        <w:trPr>
          <w:trHeight w:val="648"/>
        </w:trPr>
        <w:tc>
          <w:tcPr>
            <w:tcW w:w="834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5"/>
              </w:rPr>
              <w:t>Prospectus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3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FORWARD-LOOKING STATEMENTS</w:t>
              </w:r>
            </w:hyperlink>
          </w:p>
        </w:tc>
        <w:tc>
          <w:tcPr>
            <w:tcW w:w="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THIS PROSPECTUS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INCORPORATION OF CERTAIN DOCUMENTS BY REFERENCE</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WHERE YOU CAN FIND MORE INFORMATION</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THE COMPANY</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RISK FACTORS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USE OF PROCEEDS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DESCRIPTION OF THE DEBT SECURITIES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DESCRIPTION OF GUARANTEES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DESCRIPTION OF CAPITAL STOCK</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17</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DESCRIPTION OF OTHER SECURITIES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18</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PLAN OF DISTRIBUTION</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SELLING SECURITYHOLDERS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LEGAL MATTERS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w:t>
              </w:r>
            </w:hyperlink>
          </w:p>
        </w:tc>
        <w:tc>
          <w:tcPr>
            <w:tcW w:w="0" w:type="dxa"/>
            <w:vAlign w:val="bottom"/>
          </w:tcPr>
          <w:p>
            <w:pPr>
              <w:spacing w:after="0"/>
              <w:rPr>
                <w:sz w:val="1"/>
                <w:szCs w:val="1"/>
                <w:color w:val="auto"/>
              </w:rPr>
            </w:pPr>
          </w:p>
        </w:tc>
      </w:tr>
      <w:tr>
        <w:trPr>
          <w:trHeight w:val="228"/>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EXPERTS</w:t>
              </w:r>
            </w:hyperlink>
          </w:p>
        </w:tc>
        <w:tc>
          <w:tcPr>
            <w:tcW w:w="480" w:type="dxa"/>
            <w:vAlign w:val="bottom"/>
            <w:gridSpan w:val="3"/>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w:t>
              </w:r>
            </w:hyperlink>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136130" cy="7162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left="240" w:right="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88" w:lineRule="exact"/>
        <w:rPr>
          <w:sz w:val="20"/>
          <w:szCs w:val="20"/>
          <w:color w:val="auto"/>
        </w:rPr>
      </w:pPr>
    </w:p>
    <w:p>
      <w:pPr>
        <w:ind w:left="240" w:right="2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3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7" w:lineRule="exact"/>
        <w:rPr>
          <w:sz w:val="20"/>
          <w:szCs w:val="20"/>
          <w:color w:val="auto"/>
        </w:rPr>
      </w:pPr>
    </w:p>
    <w:p>
      <w:pPr>
        <w:ind w:left="240" w:right="20" w:firstLine="348"/>
        <w:spacing w:after="0" w:line="256"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92" w:lineRule="exact"/>
        <w:rPr>
          <w:sz w:val="20"/>
          <w:szCs w:val="20"/>
          <w:color w:val="auto"/>
        </w:rPr>
      </w:pPr>
    </w:p>
    <w:p>
      <w:pPr>
        <w:ind w:left="240" w:right="40" w:firstLine="351"/>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227" w:lineRule="exact"/>
        <w:rPr>
          <w:sz w:val="20"/>
          <w:szCs w:val="20"/>
          <w:color w:val="auto"/>
        </w:rPr>
      </w:pPr>
    </w:p>
    <w:p>
      <w:pPr>
        <w:ind w:left="240" w:right="380" w:firstLine="348"/>
        <w:spacing w:after="0" w:line="275" w:lineRule="auto"/>
        <w:rPr>
          <w:sz w:val="20"/>
          <w:szCs w:val="20"/>
          <w:color w:val="auto"/>
        </w:rPr>
      </w:pPr>
      <w:r>
        <w:rPr>
          <w:rFonts w:ascii="Times New Roman" w:cs="Times New Roman" w:eastAsia="Times New Roman" w:hAnsi="Times New Roman"/>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Acquisition of Advanced Disposal</w:t>
      </w:r>
    </w:p>
    <w:p>
      <w:pPr>
        <w:spacing w:after="0" w:line="227" w:lineRule="exact"/>
        <w:rPr>
          <w:sz w:val="20"/>
          <w:szCs w:val="20"/>
          <w:color w:val="auto"/>
        </w:rPr>
      </w:pPr>
    </w:p>
    <w:p>
      <w:pPr>
        <w:jc w:val="both"/>
        <w:ind w:left="240" w:firstLine="351"/>
        <w:spacing w:after="0" w:line="287" w:lineRule="auto"/>
        <w:rPr>
          <w:sz w:val="20"/>
          <w:szCs w:val="20"/>
          <w:color w:val="auto"/>
        </w:rPr>
      </w:pPr>
      <w:r>
        <w:rPr>
          <w:rFonts w:ascii="Times New Roman" w:cs="Times New Roman" w:eastAsia="Times New Roman" w:hAnsi="Times New Roman"/>
          <w:sz w:val="16"/>
          <w:szCs w:val="16"/>
          <w:color w:val="auto"/>
        </w:rPr>
        <w:t>On October 30, 2020, we completed the acquisition of Advanced Disposal Services, Inc. ("Advanced Disposal") pursuant to an Agreement and Plan of Merger entered into with Advanced Disposal and Everglades Merger Sub Inc., our indirect wholly owned subsidiary, dated as of April 14, 2019 and as amended June 24, 2020 (the "Merger"). We used proceeds from borrowings under our $3.0 billion, 364-day, U.S. revolving credit facility (our</w:t>
      </w:r>
    </w:p>
    <w:p>
      <w:pPr>
        <w:ind w:left="240" w:right="40"/>
        <w:spacing w:after="0" w:line="302" w:lineRule="auto"/>
        <w:rPr>
          <w:sz w:val="20"/>
          <w:szCs w:val="20"/>
          <w:color w:val="auto"/>
        </w:rPr>
      </w:pPr>
      <w:r>
        <w:rPr>
          <w:rFonts w:ascii="Times New Roman" w:cs="Times New Roman" w:eastAsia="Times New Roman" w:hAnsi="Times New Roman"/>
          <w:sz w:val="16"/>
          <w:szCs w:val="16"/>
          <w:color w:val="auto"/>
        </w:rPr>
        <w:t>"$3.0 billion revolving credit facility") and our commercial paper program, which is fully supported by our $3.5 billion long-term U.S. and Canadian revolving credit facility (our "$3.5 billion revolving credit facility"), to pay the consideration for the Merger and related fees and expenses, including the repayment of certain Advanced Disposal debt in connection with the closing of the Merger (the "Merger Closing Payments").</w:t>
      </w:r>
    </w:p>
    <w:p>
      <w:pPr>
        <w:spacing w:after="0" w:line="157" w:lineRule="exact"/>
        <w:rPr>
          <w:sz w:val="20"/>
          <w:szCs w:val="20"/>
          <w:color w:val="auto"/>
        </w:rPr>
      </w:pPr>
    </w:p>
    <w:p>
      <w:pPr>
        <w:ind w:left="240" w:right="280" w:firstLine="351"/>
        <w:spacing w:after="0" w:line="262" w:lineRule="auto"/>
        <w:rPr>
          <w:sz w:val="20"/>
          <w:szCs w:val="20"/>
          <w:color w:val="auto"/>
        </w:rPr>
      </w:pPr>
      <w:r>
        <w:rPr>
          <w:rFonts w:ascii="Times New Roman" w:cs="Times New Roman" w:eastAsia="Times New Roman" w:hAnsi="Times New Roman"/>
          <w:sz w:val="18"/>
          <w:szCs w:val="18"/>
          <w:color w:val="auto"/>
        </w:rPr>
        <w:t>Following the U.S. Department of Justice's review of the transaction, and substantially concurrently with the closing of the Merger, we and Advanced Disposal also completed the sale of certain of our and its respective solid waste collection, intermediary waste delivery and terminal waste delivery assets in selected portions of the United States to an affiliate of GFL Environmental Inc. (the "GFL Divestitures").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136130" cy="6339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ind w:left="240" w:right="4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Issuer</w:t>
            </w: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Offered</w:t>
            </w: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$2,500,000,000 aggregate principal amount of notes, consisting of the following series:</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$500,000,000 aggregate principal amount of 0.750% Senior Notes due 2025</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$500,000,000 aggregate principal amount of 1.150% Senior Notes due 2028</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$1,000,000,000 aggregate principal amount of 1.500% Senior Notes due 2031</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$500,000,000 aggregate principal amount of 2.500% Senior Notes due 2050</w:t>
            </w:r>
          </w:p>
        </w:tc>
      </w:tr>
      <w:tr>
        <w:trPr>
          <w:trHeight w:val="420"/>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Subsidiary Guarantees</w:t>
            </w: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WM Holdings will fully and unconditionally guarantee, on a senior unsecured basis, the full and prompt</w:t>
            </w:r>
          </w:p>
        </w:tc>
      </w:tr>
      <w:tr>
        <w:trPr>
          <w:trHeight w:val="216"/>
        </w:trPr>
        <w:tc>
          <w:tcPr>
            <w:tcW w:w="2620" w:type="dxa"/>
            <w:vAlign w:val="bottom"/>
          </w:tcPr>
          <w:p>
            <w:pPr>
              <w:spacing w:after="0"/>
              <w:rPr>
                <w:sz w:val="18"/>
                <w:szCs w:val="18"/>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 of the principal and any premium and interest on the notes of each series, when and as they become</w:t>
            </w:r>
          </w:p>
        </w:tc>
      </w:tr>
      <w:tr>
        <w:trPr>
          <w:trHeight w:val="228"/>
        </w:trPr>
        <w:tc>
          <w:tcPr>
            <w:tcW w:w="2620" w:type="dxa"/>
            <w:vAlign w:val="bottom"/>
          </w:tcPr>
          <w:p>
            <w:pPr>
              <w:spacing w:after="0"/>
              <w:rPr>
                <w:sz w:val="19"/>
                <w:szCs w:val="19"/>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and payable, whether at maturity or otherwise.</w:t>
            </w:r>
          </w:p>
        </w:tc>
      </w:tr>
      <w:tr>
        <w:trPr>
          <w:trHeight w:val="432"/>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 Date</w:t>
            </w: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2025 notes—November 15, 2025</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2028 notes—March 15, 2028</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2031 notes—March 15, 2031</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2050 notes—November 15, 2050</w:t>
            </w:r>
          </w:p>
        </w:tc>
      </w:tr>
      <w:tr>
        <w:trPr>
          <w:trHeight w:val="432"/>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w:t>
            </w: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2025 notes—0.750% per year</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2028 notes—1.150% per year</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2031 notes—1.500% per year</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2050 notes—2.500% per year</w:t>
            </w:r>
          </w:p>
        </w:tc>
      </w:tr>
      <w:tr>
        <w:trPr>
          <w:trHeight w:val="432"/>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Payment Dates</w:t>
            </w: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the 2025 notes and the 2050 notes, May 15 and November 15 of each year, beginning May 15, 2021.</w:t>
            </w:r>
          </w:p>
        </w:tc>
      </w:tr>
      <w:tr>
        <w:trPr>
          <w:trHeight w:val="432"/>
        </w:trPr>
        <w:tc>
          <w:tcPr>
            <w:tcW w:w="2620" w:type="dxa"/>
            <w:vAlign w:val="bottom"/>
          </w:tcPr>
          <w:p>
            <w:pPr>
              <w:spacing w:after="0"/>
              <w:rPr>
                <w:sz w:val="24"/>
                <w:szCs w:val="24"/>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the 2028 notes and the 2031 notes, March 15 and September 15 of each year, beginning March 15, 2021.</w:t>
            </w:r>
          </w:p>
        </w:tc>
      </w:tr>
      <w:tr>
        <w:trPr>
          <w:trHeight w:val="444"/>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r>
      <w:tr>
        <w:trPr>
          <w:trHeight w:val="427"/>
        </w:trPr>
        <w:tc>
          <w:tcPr>
            <w:tcW w:w="262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S-2</w:t>
            </w:r>
          </w:p>
        </w:tc>
      </w:tr>
      <w:tr>
        <w:trPr>
          <w:trHeight w:val="228"/>
        </w:trPr>
        <w:tc>
          <w:tcPr>
            <w:tcW w:w="262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26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Optional Redemption</w:t>
            </w:r>
          </w:p>
        </w:tc>
        <w:tc>
          <w:tcPr>
            <w:tcW w:w="858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We may elect to redeem and repay any or all of the notes at any time in minimum principal amounts of</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$2,000 or any integral multiple of $1,000 in excess thereof. If we elect to redeem and repay (i) the 2025</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notes before October 15, 2025 (one month prior to the maturity date of the 2025 notes), (ii) the 2028 notes</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before January 15, 2028 (two months prior to the maturity date of the 2028 notes), (iii) the 2031 notes before</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December 15, 2030 (three months prior to the maturity date of the 2031 notes) or (iv) the 2050 notes before</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May 15, 2050 (six months prior to the maturity date of the 2050 notes), we will pay an amount equal to the</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greater of 100% of the principal amount of the notes of such series redeemed and repaid, or the sum of the</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present values of the remaining scheduled payments of principal and interest on the notes of such series to</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be redeemed and repaid that would be due if such series of notes matured on the applicable par call date</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(exclusive of interest accrued to the date of redemption). If we elect to redeem and repay the notes of any</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series on or after the applicable par call date, we will pay an amount equal to 100% of the principal amount</w:t>
            </w:r>
          </w:p>
        </w:tc>
      </w:tr>
      <w:tr>
        <w:trPr>
          <w:trHeight w:val="228"/>
        </w:trPr>
        <w:tc>
          <w:tcPr>
            <w:tcW w:w="266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of the notes redeemed and repaid.</w:t>
            </w:r>
          </w:p>
        </w:tc>
      </w:tr>
      <w:tr>
        <w:trPr>
          <w:trHeight w:val="420"/>
        </w:trPr>
        <w:tc>
          <w:tcPr>
            <w:tcW w:w="266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We will pay accrued interest on the notes redeemed to the redemption date. See "Description of Notes—</w:t>
            </w:r>
          </w:p>
        </w:tc>
      </w:tr>
      <w:tr>
        <w:trPr>
          <w:trHeight w:val="228"/>
        </w:trPr>
        <w:tc>
          <w:tcPr>
            <w:tcW w:w="266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Optional Redemption" in this prospectus supplement.</w:t>
            </w:r>
          </w:p>
        </w:tc>
      </w:tr>
      <w:tr>
        <w:trPr>
          <w:trHeight w:val="420"/>
        </w:trPr>
        <w:tc>
          <w:tcPr>
            <w:tcW w:w="26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Change of Control Offer</w:t>
            </w: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If a change of control triggering event occurs, holders of the notes of each series may require us to purchase</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all or a portion of such holders' notes at a price equal to 101% of the principal amount, plus accrued interest,</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if any, to the date of purchase. See "Description of Notes—Change of Control Offer" in this prospectus</w:t>
            </w:r>
          </w:p>
        </w:tc>
      </w:tr>
      <w:tr>
        <w:trPr>
          <w:trHeight w:val="228"/>
        </w:trPr>
        <w:tc>
          <w:tcPr>
            <w:tcW w:w="266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supplement.</w:t>
            </w:r>
          </w:p>
        </w:tc>
      </w:tr>
      <w:tr>
        <w:trPr>
          <w:trHeight w:val="420"/>
        </w:trPr>
        <w:tc>
          <w:tcPr>
            <w:tcW w:w="26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Ranking</w:t>
            </w: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notes and the guarantees will constitute the senior unsecured debt of Waste Management, Inc. and WM</w:t>
            </w:r>
          </w:p>
        </w:tc>
      </w:tr>
      <w:tr>
        <w:trPr>
          <w:trHeight w:val="216"/>
        </w:trPr>
        <w:tc>
          <w:tcPr>
            <w:tcW w:w="2660" w:type="dxa"/>
            <w:vAlign w:val="bottom"/>
            <w:tcBorders>
              <w:left w:val="single" w:sz="8" w:color="auto"/>
            </w:tcBorders>
          </w:tcPr>
          <w:p>
            <w:pPr>
              <w:spacing w:after="0"/>
              <w:rPr>
                <w:sz w:val="18"/>
                <w:szCs w:val="18"/>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Holdings, respectively, and will rank equally with all of our and its other existing and future senior</w:t>
            </w:r>
          </w:p>
        </w:tc>
      </w:tr>
      <w:tr>
        <w:trPr>
          <w:trHeight w:val="228"/>
        </w:trPr>
        <w:tc>
          <w:tcPr>
            <w:tcW w:w="266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obligations from time to time outstanding.</w:t>
            </w:r>
          </w:p>
        </w:tc>
      </w:tr>
      <w:tr>
        <w:trPr>
          <w:trHeight w:val="420"/>
        </w:trPr>
        <w:tc>
          <w:tcPr>
            <w:tcW w:w="26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Covenants</w:t>
            </w: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We will issue the notes under an indenture containing covenants for your benefit. These covenants restrict</w:t>
            </w:r>
          </w:p>
        </w:tc>
      </w:tr>
      <w:tr>
        <w:trPr>
          <w:trHeight w:val="228"/>
        </w:trPr>
        <w:tc>
          <w:tcPr>
            <w:tcW w:w="2660" w:type="dxa"/>
            <w:vAlign w:val="bottom"/>
            <w:tcBorders>
              <w:left w:val="single" w:sz="8" w:color="auto"/>
            </w:tcBorders>
          </w:tcPr>
          <w:p>
            <w:pPr>
              <w:spacing w:after="0"/>
              <w:rPr>
                <w:sz w:val="19"/>
                <w:szCs w:val="19"/>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our ability, with certain exceptions, to:</w:t>
            </w:r>
          </w:p>
        </w:tc>
      </w:tr>
      <w:tr>
        <w:trPr>
          <w:trHeight w:val="432"/>
        </w:trPr>
        <w:tc>
          <w:tcPr>
            <w:tcW w:w="266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create, incur or assume debt secured by liens;</w:t>
            </w:r>
          </w:p>
        </w:tc>
      </w:tr>
      <w:tr>
        <w:trPr>
          <w:trHeight w:val="432"/>
        </w:trPr>
        <w:tc>
          <w:tcPr>
            <w:tcW w:w="266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engage in sale and leaseback transactions; and</w:t>
            </w:r>
          </w:p>
        </w:tc>
      </w:tr>
      <w:tr>
        <w:trPr>
          <w:trHeight w:val="432"/>
        </w:trPr>
        <w:tc>
          <w:tcPr>
            <w:tcW w:w="2660" w:type="dxa"/>
            <w:vAlign w:val="bottom"/>
            <w:tcBorders>
              <w:left w:val="single" w:sz="8" w:color="auto"/>
            </w:tcBorders>
          </w:tcPr>
          <w:p>
            <w:pPr>
              <w:spacing w:after="0"/>
              <w:rPr>
                <w:sz w:val="24"/>
                <w:szCs w:val="24"/>
                <w:color w:val="auto"/>
              </w:rPr>
            </w:pPr>
          </w:p>
        </w:tc>
        <w:tc>
          <w:tcPr>
            <w:tcW w:w="85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merge, consolidate or transfer all or substantially all of our assets.</w:t>
            </w:r>
          </w:p>
        </w:tc>
      </w:tr>
      <w:tr>
        <w:trPr>
          <w:trHeight w:val="444"/>
        </w:trPr>
        <w:tc>
          <w:tcPr>
            <w:tcW w:w="2660" w:type="dxa"/>
            <w:vAlign w:val="bottom"/>
            <w:tcBorders>
              <w:left w:val="single" w:sz="8" w:color="auto"/>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r>
      <w:tr>
        <w:trPr>
          <w:trHeight w:val="427"/>
        </w:trPr>
        <w:tc>
          <w:tcPr>
            <w:tcW w:w="2660" w:type="dxa"/>
            <w:vAlign w:val="bottom"/>
          </w:tcPr>
          <w:p>
            <w:pPr>
              <w:spacing w:after="0"/>
              <w:rPr>
                <w:sz w:val="24"/>
                <w:szCs w:val="24"/>
                <w:color w:val="auto"/>
              </w:rPr>
            </w:pPr>
          </w:p>
        </w:tc>
        <w:tc>
          <w:tcPr>
            <w:tcW w:w="85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S-3</w:t>
            </w:r>
          </w:p>
        </w:tc>
      </w:tr>
      <w:tr>
        <w:trPr>
          <w:trHeight w:val="228"/>
        </w:trPr>
        <w:tc>
          <w:tcPr>
            <w:tcW w:w="2660" w:type="dxa"/>
            <w:vAlign w:val="bottom"/>
            <w:tcBorders>
              <w:bottom w:val="single" w:sz="8" w:color="808080"/>
            </w:tcBorders>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the net proceeds from the offering of the notes to be $2.474 billion, after deducting the underwriting discounts and estimated expenses of the offering that we will pay. We intend to use the net proceeds to repay all of the outstanding borrowings under our $3.0 billion revolving credit facility, to redeem our $400 million aggregate principal amount of 4.60% Senior Notes due March 2021, including the payment of accrued and unpaid interest, and for general corporate purposes. We issued a notice of redemption under the indenture governing such 4.60% Senior Notes due March 2021 on November 3, 2020. This prospectus supplement does not constitute a notice of redemption. Pending application of the net proceeds as described immediately above, we may temporarily invest in short-term investments. See "Use of Proceeds"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-1384935</wp:posOffset>
            </wp:positionV>
            <wp:extent cx="7136130" cy="3733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3733165"/>
                    </a:xfrm>
                    <a:prstGeom prst="rect">
                      <a:avLst/>
                    </a:prstGeom>
                    <a:noFill/>
                  </pic:spPr>
                </pic:pic>
              </a:graphicData>
            </a:graphic>
          </wp:anchor>
        </w:drawing>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affiliates of Barclays Capital Inc., Mizuho Securities USA LLC, BofA Securities, Inc., J.P. Morgan Securities LLC, Scotia Capital (USA) Inc., BNP Paribas Securities Corp., Citigroup Global Markets Inc., Deutsche Bank Securities Inc., MUFG Securities Americas Inc., SMBC Nikko Securities America, Inc. and U.S. Bancorp Investments, Inc., respectively, are lenders to us under our $3.0 billion revolving credit facility and may receive 5% or more of the net proceeds of this offering by reason of the repayment of amounts outstanding thereunder. Accordingly, such underwriters are deemed to have a "conflict of interest" within the meaning of Rule 5121 of the Financial Industry Regulatory Authority, Inc.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are "investment grade rated" (as defined in FINRA Rule 5121). See "Underwriting (Conflicts of Interest)" in this prospectus supplement.</w:t>
      </w:r>
    </w:p>
    <w:p>
      <w:pPr>
        <w:spacing w:after="0" w:line="200" w:lineRule="exact"/>
        <w:rPr>
          <w:sz w:val="20"/>
          <w:szCs w:val="20"/>
          <w:color w:val="auto"/>
        </w:rPr>
      </w:pPr>
    </w:p>
    <w:p>
      <w:pPr>
        <w:sectPr>
          <w:pgSz w:w="11900" w:h="16838" w:orient="portrait"/>
          <w:cols w:equalWidth="0" w:num="2">
            <w:col w:w="2620" w:space="720"/>
            <w:col w:w="7660"/>
          </w:cols>
          <w:pgMar w:left="320" w:top="125" w:right="579" w:bottom="1440" w:gutter="0" w:footer="0" w:header="0"/>
        </w:sectPr>
      </w:pPr>
    </w:p>
    <w:p>
      <w:pPr>
        <w:ind w:left="240"/>
        <w:spacing w:after="0"/>
        <w:tabs>
          <w:tab w:leader="none" w:pos="3320" w:val="left"/>
        </w:tabs>
        <w:rPr>
          <w:sz w:val="20"/>
          <w:szCs w:val="20"/>
          <w:color w:val="auto"/>
        </w:rPr>
      </w:pPr>
      <w:r>
        <w:rPr>
          <w:rFonts w:ascii="Times New Roman" w:cs="Times New Roman" w:eastAsia="Times New Roman" w:hAnsi="Times New Roman"/>
          <w:sz w:val="16"/>
          <w:szCs w:val="16"/>
          <w:color w:val="auto"/>
        </w:rPr>
        <w:t>Trustee</w:t>
      </w:r>
      <w:r>
        <w:rPr>
          <w:sz w:val="20"/>
          <w:szCs w:val="20"/>
          <w:color w:val="auto"/>
        </w:rPr>
        <w:tab/>
      </w:r>
      <w:r>
        <w:rPr>
          <w:rFonts w:ascii="Times New Roman" w:cs="Times New Roman" w:eastAsia="Times New Roman" w:hAnsi="Times New Roman"/>
          <w:sz w:val="16"/>
          <w:szCs w:val="16"/>
          <w:color w:val="auto"/>
        </w:rPr>
        <w:t>The Bank of New York Mellon Trust Company, N.A.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230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Further Issues</w:t>
            </w:r>
          </w:p>
        </w:tc>
        <w:tc>
          <w:tcPr>
            <w:tcW w:w="894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We may create and issue additional notes of each series ranking equally and ratably with the notes of such</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series offered by this prospectus supplement in all respects, so that such additional notes will be consolidated</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and form a single series with the notes of such series offered by this prospectus supplement and will have the</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same terms, as to status, redemption or otherwise except for the issue date, the initial interest payment date,</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if applicable, and the payment of interest accruing prior to the issue date of such additional notes; provided,</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however, that a separate CUSIP or ISIN will be issued for the additional notes, unless the notes and the</w:t>
            </w:r>
          </w:p>
        </w:tc>
      </w:tr>
      <w:tr>
        <w:trPr>
          <w:trHeight w:val="228"/>
        </w:trPr>
        <w:tc>
          <w:tcPr>
            <w:tcW w:w="230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additional notes are fungible for U.S. federal income tax purposes.</w:t>
            </w:r>
          </w:p>
        </w:tc>
      </w:tr>
      <w:tr>
        <w:trPr>
          <w:trHeight w:val="420"/>
        </w:trPr>
        <w:tc>
          <w:tcPr>
            <w:tcW w:w="230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Risk Factors</w:t>
            </w: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See page S-6 of this prospectus supplement and page 6 of the accompanying prospectus for a discussion of</w:t>
            </w:r>
          </w:p>
        </w:tc>
      </w:tr>
      <w:tr>
        <w:trPr>
          <w:trHeight w:val="228"/>
        </w:trPr>
        <w:tc>
          <w:tcPr>
            <w:tcW w:w="230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risks you should consider before investing in the notes.</w:t>
            </w:r>
          </w:p>
        </w:tc>
      </w:tr>
      <w:tr>
        <w:trPr>
          <w:trHeight w:val="228"/>
        </w:trPr>
        <w:tc>
          <w:tcPr>
            <w:tcW w:w="2300" w:type="dxa"/>
            <w:vAlign w:val="bottom"/>
            <w:tcBorders>
              <w:left w:val="single" w:sz="8" w:color="auto"/>
              <w:bottom w:val="single" w:sz="8" w:color="auto"/>
            </w:tcBorders>
          </w:tcPr>
          <w:p>
            <w:pPr>
              <w:spacing w:after="0"/>
              <w:rPr>
                <w:sz w:val="19"/>
                <w:szCs w:val="19"/>
                <w:color w:val="auto"/>
              </w:rPr>
            </w:pPr>
          </w:p>
        </w:tc>
        <w:tc>
          <w:tcPr>
            <w:tcW w:w="8940" w:type="dxa"/>
            <w:vAlign w:val="bottom"/>
            <w:tcBorders>
              <w:bottom w:val="single" w:sz="8" w:color="auto"/>
              <w:right w:val="single" w:sz="8" w:color="auto"/>
            </w:tcBorders>
          </w:tcPr>
          <w:p>
            <w:pPr>
              <w:spacing w:after="0"/>
              <w:rPr>
                <w:sz w:val="19"/>
                <w:szCs w:val="19"/>
                <w:color w:val="auto"/>
              </w:rPr>
            </w:pPr>
          </w:p>
        </w:tc>
      </w:tr>
      <w:tr>
        <w:trPr>
          <w:trHeight w:val="427"/>
        </w:trPr>
        <w:tc>
          <w:tcPr>
            <w:tcW w:w="2300" w:type="dxa"/>
            <w:vAlign w:val="bottom"/>
          </w:tcPr>
          <w:p>
            <w:pPr>
              <w:spacing w:after="0"/>
              <w:rPr>
                <w:sz w:val="24"/>
                <w:szCs w:val="24"/>
                <w:color w:val="auto"/>
              </w:rPr>
            </w:pPr>
          </w:p>
        </w:tc>
        <w:tc>
          <w:tcPr>
            <w:tcW w:w="89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S-5</w:t>
            </w:r>
          </w:p>
        </w:tc>
      </w:tr>
      <w:tr>
        <w:trPr>
          <w:trHeight w:val="228"/>
        </w:trPr>
        <w:tc>
          <w:tcPr>
            <w:tcW w:w="230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right="40" w:firstLine="351"/>
        <w:spacing w:after="0" w:line="290" w:lineRule="auto"/>
        <w:rPr>
          <w:rFonts w:ascii="Times New Roman" w:cs="Times New Roman" w:eastAsia="Times New Roman" w:hAnsi="Times New Roman"/>
          <w:sz w:val="16"/>
          <w:szCs w:val="16"/>
          <w:i w:val="1"/>
          <w:iCs w:val="1"/>
          <w:color w:val="0000EE"/>
        </w:rPr>
      </w:pPr>
      <w:hyperlink r:id="rId27">
        <w:r>
          <w:rPr>
            <w:rFonts w:ascii="Times New Roman" w:cs="Times New Roman" w:eastAsia="Times New Roman" w:hAnsi="Times New Roman"/>
            <w:sz w:val="16"/>
            <w:szCs w:val="16"/>
            <w:i w:val="1"/>
            <w:iCs w:val="1"/>
            <w:color w:val="auto"/>
          </w:rPr>
          <w:t xml:space="preserve">You should carefully consider the risk factors identified in Part I, Item 1A., "Risk Factors," of our </w:t>
        </w:r>
        <w:r>
          <w:rPr>
            <w:rFonts w:ascii="Times New Roman" w:cs="Times New Roman" w:eastAsia="Times New Roman" w:hAnsi="Times New Roman"/>
            <w:sz w:val="16"/>
            <w:szCs w:val="16"/>
            <w:i w:val="1"/>
            <w:iCs w:val="1"/>
            <w:u w:val="single" w:color="auto"/>
            <w:color w:val="0000EE"/>
          </w:rPr>
          <w:t>Annual Report on Form 10-K for the year ended</w:t>
        </w:r>
      </w:hyperlink>
      <w:r>
        <w:rPr>
          <w:rFonts w:ascii="Times New Roman" w:cs="Times New Roman" w:eastAsia="Times New Roman" w:hAnsi="Times New Roman"/>
          <w:sz w:val="16"/>
          <w:szCs w:val="16"/>
          <w:i w:val="1"/>
          <w:iCs w:val="1"/>
          <w:color w:val="auto"/>
        </w:rPr>
        <w:t xml:space="preserve"> </w:t>
      </w:r>
      <w:hyperlink r:id="rId27">
        <w:r>
          <w:rPr>
            <w:rFonts w:ascii="Times New Roman" w:cs="Times New Roman" w:eastAsia="Times New Roman" w:hAnsi="Times New Roman"/>
            <w:sz w:val="16"/>
            <w:szCs w:val="16"/>
            <w:i w:val="1"/>
            <w:iCs w:val="1"/>
            <w:u w:val="single" w:color="auto"/>
            <w:color w:val="0000EE"/>
          </w:rPr>
          <w:t>December 31, 2019,</w:t>
        </w:r>
        <w:r>
          <w:rPr>
            <w:rFonts w:ascii="Times New Roman" w:cs="Times New Roman" w:eastAsia="Times New Roman" w:hAnsi="Times New Roman"/>
            <w:sz w:val="16"/>
            <w:szCs w:val="16"/>
            <w:i w:val="1"/>
            <w:iCs w:val="1"/>
            <w:color w:val="0000EE"/>
          </w:rPr>
          <w:t xml:space="preserve"> </w:t>
        </w:r>
        <w:r>
          <w:rPr>
            <w:rFonts w:ascii="Times New Roman" w:cs="Times New Roman" w:eastAsia="Times New Roman" w:hAnsi="Times New Roman"/>
            <w:sz w:val="16"/>
            <w:szCs w:val="16"/>
            <w:i w:val="1"/>
            <w:iCs w:val="1"/>
            <w:color w:val="000000"/>
          </w:rPr>
          <w:t>and in Part II Item 1A., "Risk Factors," of our Quarterly Reports on Form 10-Q for the quarters ended</w:t>
        </w:r>
        <w:r>
          <w:rPr>
            <w:rFonts w:ascii="Times New Roman" w:cs="Times New Roman" w:eastAsia="Times New Roman" w:hAnsi="Times New Roman"/>
            <w:sz w:val="16"/>
            <w:szCs w:val="16"/>
            <w:i w:val="1"/>
            <w:iCs w:val="1"/>
            <w:color w:val="0000EE"/>
          </w:rPr>
          <w:t xml:space="preserve"> </w:t>
        </w:r>
      </w:hyperlink>
      <w:hyperlink r:id="rId28">
        <w:r>
          <w:rPr>
            <w:rFonts w:ascii="Times New Roman" w:cs="Times New Roman" w:eastAsia="Times New Roman" w:hAnsi="Times New Roman"/>
            <w:sz w:val="16"/>
            <w:szCs w:val="16"/>
            <w:i w:val="1"/>
            <w:iCs w:val="1"/>
            <w:u w:val="single" w:color="auto"/>
            <w:color w:val="0000EE"/>
          </w:rPr>
          <w:t xml:space="preserve">March 31, 2020 </w:t>
        </w:r>
      </w:hyperlink>
      <w:hyperlink r:id="rId27">
        <w:r>
          <w:rPr>
            <w:rFonts w:ascii="Times New Roman" w:cs="Times New Roman" w:eastAsia="Times New Roman" w:hAnsi="Times New Roman"/>
            <w:sz w:val="16"/>
            <w:szCs w:val="16"/>
            <w:i w:val="1"/>
            <w:iCs w:val="1"/>
            <w:color w:val="000000"/>
          </w:rPr>
          <w:t>and</w:t>
        </w:r>
        <w:r>
          <w:rPr>
            <w:rFonts w:ascii="Times New Roman" w:cs="Times New Roman" w:eastAsia="Times New Roman" w:hAnsi="Times New Roman"/>
            <w:sz w:val="16"/>
            <w:szCs w:val="16"/>
            <w:i w:val="1"/>
            <w:iCs w:val="1"/>
            <w:color w:val="0000EE"/>
          </w:rPr>
          <w:t xml:space="preserve"> </w:t>
        </w:r>
      </w:hyperlink>
      <w:hyperlink r:id="rId29">
        <w:r>
          <w:rPr>
            <w:rFonts w:ascii="Times New Roman" w:cs="Times New Roman" w:eastAsia="Times New Roman" w:hAnsi="Times New Roman"/>
            <w:sz w:val="16"/>
            <w:szCs w:val="16"/>
            <w:i w:val="1"/>
            <w:iCs w:val="1"/>
            <w:u w:val="single" w:color="auto"/>
            <w:color w:val="0000EE"/>
          </w:rPr>
          <w:t>June 30, 2020</w:t>
        </w:r>
      </w:hyperlink>
      <w:r>
        <w:rPr>
          <w:rFonts w:ascii="Times New Roman" w:cs="Times New Roman" w:eastAsia="Times New Roman" w:hAnsi="Times New Roman"/>
          <w:sz w:val="16"/>
          <w:szCs w:val="16"/>
          <w:i w:val="1"/>
          <w:iCs w:val="1"/>
          <w:color w:val="0000EE"/>
        </w:rPr>
        <w:t xml:space="preserve"> </w:t>
      </w:r>
      <w:r>
        <w:rPr>
          <w:rFonts w:ascii="Times New Roman" w:cs="Times New Roman" w:eastAsia="Times New Roman" w:hAnsi="Times New Roman"/>
          <w:sz w:val="16"/>
          <w:szCs w:val="16"/>
          <w:i w:val="1"/>
          <w:iCs w:val="1"/>
          <w:color w:val="000000"/>
        </w:rPr>
        <w:t>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81" w:lineRule="exact"/>
        <w:rPr>
          <w:rFonts w:ascii="Times New Roman" w:cs="Times New Roman" w:eastAsia="Times New Roman" w:hAnsi="Times New Roman"/>
          <w:sz w:val="16"/>
          <w:szCs w:val="16"/>
          <w:i w:val="1"/>
          <w:iCs w:val="1"/>
          <w:color w:val="0000EE"/>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3" w:lineRule="exact"/>
        <w:rPr>
          <w:rFonts w:ascii="Times New Roman" w:cs="Times New Roman" w:eastAsia="Times New Roman" w:hAnsi="Times New Roman"/>
          <w:sz w:val="16"/>
          <w:szCs w:val="16"/>
          <w:i w:val="1"/>
          <w:iCs w:val="1"/>
          <w:color w:val="0000EE"/>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substantial indebtedness could impair our financial condition and our ability to fulfill our debt obligations, including our obligations under the notes.</w:t>
      </w:r>
    </w:p>
    <w:p>
      <w:pPr>
        <w:spacing w:after="0" w:line="252" w:lineRule="exact"/>
        <w:rPr>
          <w:rFonts w:ascii="Times New Roman" w:cs="Times New Roman" w:eastAsia="Times New Roman" w:hAnsi="Times New Roman"/>
          <w:sz w:val="16"/>
          <w:szCs w:val="16"/>
          <w:i w:val="1"/>
          <w:iCs w:val="1"/>
          <w:color w:val="0000EE"/>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We have substantial indebtedness. At September 30, 2020, our ratio of total debt to total capitalization was 59%, and we had $10.4 billion of total debt. As of September 30, 2020, after giving effect to (i) the Financing Transactions, as defined and discussed under "Capitalization," and (ii) the offering of the notes and the application of the net proceeds as discussed under "Use of Proceeds," our ratio of total debt to capitalization would be 66% and we would have $13.736 billion of total debt. In addition, as of September 30, 2020, we had approximately $797 million of total letters of credit outstanding under our various facilities and certain bi-lateral agreements, including $269 million of such outstanding letters of credit that were issued under and supported by our $3.5 billion revolving credit facility. Our indebtedness that bears interest at a floating rate makes us vulnerable to changes in interest rates. As of September 30, 2020, we had approximately $2.2 billion of debt maturing within the next 12 months, including (i) $600 million of short-term borrowings under our commercial paper program; (ii) $400 million of 4.60% senior notes that mature in March 2021; (iii) $952 million of tax-exempt bonds with term interest rate periods that expire within the next 12 months, which is prior to their scheduled maturities; and (iv) $167 million of other debt with scheduled maturities within the next 12 months, including $63 million of tax-exempt bonds. Our level of indebtedness and the covenants contained in the agreements governing our debt could have important consequences, including:</w:t>
      </w:r>
    </w:p>
    <w:p>
      <w:pPr>
        <w:spacing w:after="0" w:line="215" w:lineRule="exact"/>
        <w:rPr>
          <w:rFonts w:ascii="Times New Roman" w:cs="Times New Roman" w:eastAsia="Times New Roman" w:hAnsi="Times New Roman"/>
          <w:sz w:val="16"/>
          <w:szCs w:val="16"/>
          <w:i w:val="1"/>
          <w:iCs w:val="1"/>
          <w:color w:val="0000EE"/>
        </w:rPr>
      </w:pPr>
    </w:p>
    <w:p>
      <w:pPr>
        <w:ind w:left="1080" w:right="2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00"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for working capital, capital expenditures, acquisitions, general corporate purposes or other purposes;</w:t>
      </w:r>
    </w:p>
    <w:p>
      <w:pPr>
        <w:spacing w:after="0" w:line="187"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proportionately less debt.</w:t>
      </w:r>
    </w:p>
    <w:p>
      <w:pPr>
        <w:spacing w:after="0" w:line="225" w:lineRule="exact"/>
        <w:rPr>
          <w:rFonts w:ascii="Times New Roman" w:cs="Times New Roman" w:eastAsia="Times New Roman" w:hAnsi="Times New Roman"/>
          <w:sz w:val="16"/>
          <w:szCs w:val="16"/>
          <w:i w:val="1"/>
          <w:iCs w:val="1"/>
          <w:color w:val="0000EE"/>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rFonts w:ascii="Times New Roman" w:cs="Times New Roman" w:eastAsia="Times New Roman" w:hAnsi="Times New Roman"/>
          <w:sz w:val="16"/>
          <w:szCs w:val="16"/>
          <w:i w:val="1"/>
          <w:iCs w:val="1"/>
          <w:color w:val="0000EE"/>
        </w:rPr>
      </w:pPr>
      <w:r>
        <w:rPr>
          <w:rFonts w:ascii="Times New Roman" w:cs="Times New Roman" w:eastAsia="Times New Roman" w:hAnsi="Times New Roman"/>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48"/>
        <w:spacing w:after="0" w:line="296" w:lineRule="auto"/>
        <w:rPr>
          <w:sz w:val="20"/>
          <w:szCs w:val="20"/>
          <w:color w:val="auto"/>
        </w:rPr>
      </w:pPr>
      <w:r>
        <w:rPr>
          <w:rFonts w:ascii="Times New Roman" w:cs="Times New Roman" w:eastAsia="Times New Roman" w:hAnsi="Times New Roman"/>
          <w:sz w:val="16"/>
          <w:szCs w:val="16"/>
          <w:color w:val="auto"/>
        </w:rPr>
        <w:t>We are not prohibited under the indenture governing the notes from incurring additional indebtedness. Although our $3.0 billion revolving credit facility and our $3.5 billion revolving credit facility each requires us to comply with a specified ratio of Total Debt to EBITDA (each as defined in our $3.0 billion revolving credit facility and our $3.5 billion revolving credit facility, as applicable), following this offering of notes and the use of proceeds contemplated hereby, we expect to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229" w:lineRule="exact"/>
        <w:rPr>
          <w:sz w:val="20"/>
          <w:szCs w:val="20"/>
          <w:color w:val="auto"/>
        </w:rPr>
      </w:pPr>
    </w:p>
    <w:p>
      <w:pPr>
        <w:ind w:right="100" w:firstLine="341"/>
        <w:spacing w:after="0" w:line="254"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certain of our subsidiaries' debt and our secured debt.</w:t>
      </w:r>
    </w:p>
    <w:p>
      <w:pPr>
        <w:spacing w:after="0" w:line="229" w:lineRule="exact"/>
        <w:rPr>
          <w:sz w:val="20"/>
          <w:szCs w:val="20"/>
          <w:color w:val="auto"/>
        </w:rPr>
      </w:pPr>
    </w:p>
    <w:p>
      <w:pPr>
        <w:ind w:right="40" w:firstLine="348"/>
        <w:spacing w:after="0" w:line="284" w:lineRule="auto"/>
        <w:rPr>
          <w:sz w:val="20"/>
          <w:szCs w:val="20"/>
          <w:color w:val="auto"/>
        </w:rPr>
      </w:pPr>
      <w:r>
        <w:rPr>
          <w:rFonts w:ascii="Times New Roman" w:cs="Times New Roman" w:eastAsia="Times New Roman" w:hAnsi="Times New Roman"/>
          <w:sz w:val="16"/>
          <w:szCs w:val="16"/>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September 30, 2020 was $226 million. As of September 30, 2020, our operating subsidiaries had</w:t>
      </w:r>
    </w:p>
    <w:p>
      <w:pPr>
        <w:ind w:right="140"/>
        <w:spacing w:after="0" w:line="260" w:lineRule="auto"/>
        <w:rPr>
          <w:sz w:val="20"/>
          <w:szCs w:val="20"/>
          <w:color w:val="auto"/>
        </w:rPr>
      </w:pPr>
      <w:r>
        <w:rPr>
          <w:rFonts w:ascii="Times New Roman" w:cs="Times New Roman" w:eastAsia="Times New Roman" w:hAnsi="Times New Roman"/>
          <w:sz w:val="18"/>
          <w:szCs w:val="18"/>
          <w:color w:val="auto"/>
        </w:rPr>
        <w:t>$2.235 billion of indebtedness and WM Holdings had $248 million of long-term debt (excluding guarantees of $6.076 billion of our senior debt), in each case excluding intercompany loans. For a description of the ranking of the notes, see "Description of Notes—Ranking" in this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guarantees of the notes.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effectively have priority with respect to WM Holdings' assets and earnings over the claims of the holders of the notes.</w:t>
      </w:r>
    </w:p>
    <w:p>
      <w:pPr>
        <w:spacing w:after="0" w:line="221"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171"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90"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notes.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notes of each series will be a new issue of securities. There is no existing active trading market for the notes of any series, and a market may never develop. We do not currently intend to apply for listing of any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03"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then prevailing interest rates;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credit worthiness based on our business, operating results or financial condition;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markets for similar securities;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general economic conditions.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expect the net proceeds from the offering of the notes to be $2.474 billion, after deducting the underwriting discounts and estimated expenses of the offering that we will pay. We intend to use the net proceeds to repay all of the outstanding borrowings under our $3.0 billion revolving credit facility, to redeem our $400 million aggregate principal amount of 4.60% Senior Notes due March 2021, including the payment of accrued and unpaid interest, and for general corporate purposes. We issued a notice of redemption under the indenture governing such 4.60% Senior Notes due March 2021 on November 3, 2020. This prospectus supplement does not constitute a notice of redemption. Pending application of the net proceeds as described immediately above, we may temporarily invest in short-term investments.</w:t>
      </w:r>
    </w:p>
    <w:p>
      <w:pPr>
        <w:spacing w:after="0" w:line="192" w:lineRule="exact"/>
        <w:rPr>
          <w:sz w:val="20"/>
          <w:szCs w:val="20"/>
          <w:color w:val="auto"/>
        </w:rPr>
      </w:pPr>
    </w:p>
    <w:p>
      <w:pPr>
        <w:ind w:right="140" w:firstLine="341"/>
        <w:spacing w:after="0" w:line="256" w:lineRule="auto"/>
        <w:rPr>
          <w:sz w:val="20"/>
          <w:szCs w:val="20"/>
          <w:color w:val="auto"/>
        </w:rPr>
      </w:pPr>
      <w:r>
        <w:rPr>
          <w:rFonts w:ascii="Times New Roman" w:cs="Times New Roman" w:eastAsia="Times New Roman" w:hAnsi="Times New Roman"/>
          <w:sz w:val="18"/>
          <w:szCs w:val="18"/>
          <w:color w:val="auto"/>
        </w:rPr>
        <w:t>As of November 3, 2020, we had $2.13 billion of outstanding borrowings under our $3.0 billion revolving credit facility, all of which were used to pay a portion of the Merger Closing Payments in connection with the closing of the Merger (see "Summary—Recent Developments—Acquisition of Advanced Disposal"). Our $3.0 billion revolving credit facility matures in July 2021, and outstanding borrowings thereunder bear interest quarterly at a rate generally based on LIBOR, plus a spread depending on our debt rating assigned by Moody's and S&amp;P (each as defined below). As of November 3, 2020, such rate was 1.3245% per week.</w:t>
      </w:r>
    </w:p>
    <w:p>
      <w:pPr>
        <w:spacing w:after="0" w:line="19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Certain affiliates of Barclays Capital Inc., Mizuho Securities USA LLC, BofA Securities, Inc., J.P. Morgan Securities LLC, Scotia Capital (USA) Inc., BNP Paribas Securities Corp., Citigroup Global Markets Inc., Deutsche Bank Securities Inc., MUFG Securities Americas Inc., SMBC Nikko Securities America, Inc. and U.S. Bancorp Investments, Inc., respectively, are lenders to us under our $3.0 billion revolving credit facility and may receive 5% or more of the net proceeds of this offering by reason of the repayment of amounts outstanding thereunder.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are "investment grade rated" (as defined in FINRA Rule 5121). See "Underwriting (Conflicts of Interest)" in this prospectus supplement.</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consolidated capitalization as of September 30, 2020:</w:t>
      </w:r>
    </w:p>
    <w:p>
      <w:pPr>
        <w:spacing w:after="0" w:line="23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080" w:right="240" w:hanging="532"/>
        <w:spacing w:after="0" w:line="301" w:lineRule="auto"/>
        <w:tabs>
          <w:tab w:leader="none" w:pos="10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as adjusted basis to reflect (i) the borrowings outstanding under our $3.0 billion revolving credit facility and our commercial paper program immediately prior to the closing of the Merger and the use of proceeds therefrom to fund the Merger Closing Payments and (ii) the receipt of cash proceeds from the GFL Divestitures and the use thereof in connection with the closing of the Merger to repay a portion of the foregoing outstanding borrowings under our $3.0 billion revolving credit facility (collectively, the "Financing Transactions"); and</w:t>
      </w:r>
    </w:p>
    <w:p>
      <w:pPr>
        <w:spacing w:after="0" w:line="170" w:lineRule="exact"/>
        <w:rPr>
          <w:rFonts w:ascii="Times New Roman" w:cs="Times New Roman" w:eastAsia="Times New Roman" w:hAnsi="Times New Roman"/>
          <w:sz w:val="16"/>
          <w:szCs w:val="16"/>
          <w:color w:val="auto"/>
        </w:rPr>
      </w:pPr>
    </w:p>
    <w:p>
      <w:pPr>
        <w:ind w:left="1080" w:hanging="532"/>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to give effect to the offering of the notes and the application of the net proceeds to (i) repay all of the outstanding borrowings under our $3.0 billion revolving credit facility and (ii) redeem our 4.60% Senior Notes due March 2021. Cash and Cash Equivalents reflects both the payment of accrued and unpaid interest upon such redemption and excess net proceeds that we intend to use for general corporate purposes. See "Use of Proceeds" in this prospectus supplement.</w:t>
      </w:r>
    </w:p>
    <w:p>
      <w:pPr>
        <w:spacing w:after="0" w:line="190"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3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As Further</w:t>
            </w:r>
          </w:p>
        </w:tc>
        <w:tc>
          <w:tcPr>
            <w:tcW w:w="160" w:type="dxa"/>
            <w:vAlign w:val="bottom"/>
          </w:tcPr>
          <w:p>
            <w:pPr>
              <w:spacing w:after="0"/>
              <w:rPr>
                <w:sz w:val="10"/>
                <w:szCs w:val="10"/>
                <w:color w:val="auto"/>
              </w:rPr>
            </w:pPr>
          </w:p>
        </w:tc>
      </w:tr>
      <w:tr>
        <w:trPr>
          <w:trHeight w:val="165"/>
        </w:trPr>
        <w:tc>
          <w:tcPr>
            <w:tcW w:w="2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60" w:type="dxa"/>
            <w:vAlign w:val="bottom"/>
            <w:gridSpan w:val="2"/>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 Adjusted(a)</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Adjusted(a)</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0"/>
              </w:rPr>
              <w:t>(Unaudited, Dollars in</w:t>
            </w:r>
          </w:p>
        </w:tc>
        <w:tc>
          <w:tcPr>
            <w:tcW w:w="1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2"/>
                <w:szCs w:val="12"/>
                <w:color w:val="auto"/>
              </w:rPr>
            </w:pPr>
          </w:p>
        </w:tc>
      </w:tr>
      <w:tr>
        <w:trPr>
          <w:trHeight w:val="148"/>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607</w:t>
            </w:r>
          </w:p>
        </w:tc>
      </w:tr>
      <w:tr>
        <w:trPr>
          <w:trHeight w:val="142"/>
        </w:trPr>
        <w:tc>
          <w:tcPr>
            <w:tcW w:w="6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paper program(b)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1,814</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1,814</w:t>
            </w: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$3.5 billion revolving credit facility(b)(c)</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$3.0 billion revolving credit facility(d)</w:t>
            </w: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2,130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Senior notes, maturing through 2049</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6,365</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6,365</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5,965</w:t>
            </w:r>
          </w:p>
        </w:tc>
      </w:tr>
      <w:tr>
        <w:trPr>
          <w:trHeight w:val="148"/>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Canadian senior notes, C$500 million maturing September 2026(e)</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375</w:t>
            </w: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0.750% Senior Notes due 2025 offered hereby (including unamortized discount)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500</w:t>
            </w:r>
          </w:p>
        </w:tc>
      </w:tr>
      <w:tr>
        <w:trPr>
          <w:trHeight w:val="149"/>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1.150% Senior Notes due 2028 offered hereby (including unamortized discount)</w:t>
            </w: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w:t>
            </w: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1.500% Senior Notes due 2031 offered hereby (including unamortized discount)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r>
      <w:tr>
        <w:trPr>
          <w:trHeight w:val="149"/>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2.500% Senior Notes due 2050 offered hereby (including unamortized discount)</w:t>
            </w: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w:t>
            </w: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Tax-exempt bonds, maturing through 2048(f)</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2,491</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2,491</w:t>
            </w:r>
          </w:p>
        </w:tc>
      </w:tr>
      <w:tr>
        <w:trPr>
          <w:trHeight w:val="148"/>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Financing leases and other, maturing through 2071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651</w:t>
            </w:r>
          </w:p>
        </w:tc>
      </w:tr>
      <w:tr>
        <w:trPr>
          <w:trHeight w:val="149"/>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Debt issuance costs, discounts and other(g)</w:t>
            </w:r>
          </w:p>
        </w:tc>
        <w:tc>
          <w:tcPr>
            <w:tcW w:w="80" w:type="dxa"/>
            <w:vAlign w:val="bottom"/>
          </w:tcPr>
          <w:p>
            <w:pPr>
              <w:spacing w:after="0"/>
              <w:rPr>
                <w:sz w:val="12"/>
                <w:szCs w:val="12"/>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(60)</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6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3"/>
                <w:szCs w:val="13"/>
                <w:color w:val="auto"/>
              </w:rPr>
              <w:t>Total debt</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10,422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13,766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13,736</w:t>
            </w:r>
          </w:p>
        </w:tc>
      </w:tr>
      <w:tr>
        <w:trPr>
          <w:trHeight w:val="142"/>
        </w:trPr>
        <w:tc>
          <w:tcPr>
            <w:tcW w:w="6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Waste Management, Inc. Stockholders'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Common stock, $0.01 par value; 1,500,000,000 shares authorized; 630,282,461 shares issued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2"/>
                <w:szCs w:val="12"/>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w:t>
            </w:r>
          </w:p>
        </w:tc>
      </w:tr>
      <w:tr>
        <w:trPr>
          <w:trHeight w:val="148"/>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5,104</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5,104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5,104</w:t>
            </w:r>
          </w:p>
        </w:tc>
      </w:tr>
      <w:tr>
        <w:trPr>
          <w:trHeight w:val="149"/>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10,952</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10,952</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10,952</w:t>
            </w:r>
          </w:p>
        </w:tc>
      </w:tr>
      <w:tr>
        <w:trPr>
          <w:trHeight w:val="148"/>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r>
      <w:tr>
        <w:trPr>
          <w:trHeight w:val="148"/>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Treasury stock at cost, 207,695,158 shares</w:t>
            </w:r>
          </w:p>
        </w:tc>
        <w:tc>
          <w:tcPr>
            <w:tcW w:w="80" w:type="dxa"/>
            <w:vAlign w:val="bottom"/>
          </w:tcPr>
          <w:p>
            <w:pPr>
              <w:spacing w:after="0"/>
              <w:rPr>
                <w:sz w:val="12"/>
                <w:szCs w:val="12"/>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(8,891)</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(8,891)</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(8,891)</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6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3"/>
                <w:szCs w:val="13"/>
                <w:color w:val="auto"/>
              </w:rPr>
              <w:t>Total Waste Management, Inc. stockholders'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7,155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7,155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7,155</w:t>
            </w:r>
          </w:p>
        </w:tc>
      </w:tr>
      <w:tr>
        <w:trPr>
          <w:trHeight w:val="14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6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7,157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7,157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7,157</w:t>
            </w:r>
          </w:p>
        </w:tc>
      </w:tr>
      <w:tr>
        <w:trPr>
          <w:trHeight w:val="142"/>
        </w:trPr>
        <w:tc>
          <w:tcPr>
            <w:tcW w:w="61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color w:val="auto"/>
              </w:rPr>
              <w:t>Total debt and equity</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17,579</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20,923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20,893</w:t>
            </w:r>
          </w:p>
        </w:tc>
        <w:tc>
          <w:tcPr>
            <w:tcW w:w="160" w:type="dxa"/>
            <w:vAlign w:val="bottom"/>
          </w:tcPr>
          <w:p>
            <w:pPr>
              <w:spacing w:after="0"/>
              <w:rPr>
                <w:sz w:val="12"/>
                <w:szCs w:val="12"/>
                <w:color w:val="auto"/>
              </w:rPr>
            </w:pPr>
          </w:p>
        </w:tc>
      </w:tr>
      <w:tr>
        <w:trPr>
          <w:trHeight w:val="102"/>
        </w:trPr>
        <w:tc>
          <w:tcPr>
            <w:tcW w:w="23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0" w:lineRule="exact"/>
        <w:rPr>
          <w:sz w:val="20"/>
          <w:szCs w:val="20"/>
          <w:color w:val="auto"/>
        </w:rPr>
      </w:pPr>
    </w:p>
    <w:p>
      <w:pPr>
        <w:ind w:left="1680" w:right="300" w:hanging="549"/>
        <w:spacing w:after="0" w:line="258" w:lineRule="auto"/>
        <w:tabs>
          <w:tab w:leader="none" w:pos="16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amounts in the As Adjusted and As Further Adjusted columns are the Company's and Advanced Disposal's cash and cash equivalents as of October 30, 2020. Does not otherwise give pro forma effect to either the closing of the Merger or the GFL Divestitures, other than to reflect the Financing Transactions described above. If the Financing Transactions were applied to the Company's actual Cash and Cash Equivalents as of September 30, 2020, the Cash and Cash Equivalents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7" w:lineRule="exact"/>
        <w:rPr>
          <w:sz w:val="20"/>
          <w:szCs w:val="20"/>
          <w:color w:val="auto"/>
        </w:rPr>
      </w:pPr>
    </w:p>
    <w:p>
      <w:pPr>
        <w:ind w:left="1680" w:right="40"/>
        <w:spacing w:after="0" w:line="245" w:lineRule="auto"/>
        <w:rPr>
          <w:sz w:val="20"/>
          <w:szCs w:val="20"/>
          <w:color w:val="auto"/>
        </w:rPr>
      </w:pPr>
      <w:r>
        <w:rPr>
          <w:rFonts w:ascii="Times New Roman" w:cs="Times New Roman" w:eastAsia="Times New Roman" w:hAnsi="Times New Roman"/>
          <w:sz w:val="13"/>
          <w:szCs w:val="13"/>
          <w:color w:val="auto"/>
        </w:rPr>
        <w:t>amounts in the As Adjusted and As Further Adjusted columns would be $329 million and $268 million, respectively. In connection with the closing of the Merger, Advanced Disposal's Amended and Restated Credit Agreement, including all commitments, liens and guarantees in respect thereof, was terminated, and all outstanding borrowings thereunder, including under the Term Loan B facility, were repaid in full, as was an outstanding promissory note of Advanced Disposal. On the closing date of the Merger, we issued a notice of redemption to the holders of Advanced Disposal's outstanding $425 million aggregate principal amount of 5.625% Senior Notes due 2024 (the "ADS Notes"), stating that all outstanding ADS Notes would be redeemed upon the terms and conditions set forth in such notice, and immediately thereafter, we deposited funds sufficient to fund such redemption in full with the trustee for the ADS Notes, thereby satisfying and discharging substantially all of Advanced Disposal's obligations under the indenture governing the ADS Notes. This prospectus supplement does not constitute a notice of redemption under the indenture governing the ADS Notes.</w:t>
      </w:r>
    </w:p>
    <w:p>
      <w:pPr>
        <w:spacing w:after="0" w:line="174" w:lineRule="exact"/>
        <w:rPr>
          <w:sz w:val="20"/>
          <w:szCs w:val="20"/>
          <w:color w:val="auto"/>
        </w:rPr>
      </w:pPr>
    </w:p>
    <w:p>
      <w:pPr>
        <w:ind w:left="1680" w:right="20" w:hanging="549"/>
        <w:spacing w:after="0" w:line="246" w:lineRule="auto"/>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$3.5 billion revolving credit facility expires in November 2024 and is our primary source of letter of credit capacity. Our remaining committed letter of credit capacity is provided under facilities with terms extending through September 2021. As of September 30, 2020, we had $600 million of outstanding borrowings under our commercial paper program, which is fully supported by our $3.5 billion revolving credit facility. Additionally, as of September 30, 2020, we had no borrowings under, and $269 million of letters of credit issued under and supported by, our $3.5 billion revolving credit facility, leaving unused and available credit capacity under this facility of $2.6 billion. As of November 3, 2020, we had $1.814 billion of outstanding borrowings under our commercial paper program, all of which were used to pay a portion of the Merger Closing Payments (see "Summary—Recent Developments—Acquisition of Advanced Disposal").</w:t>
      </w:r>
    </w:p>
    <w:p>
      <w:pPr>
        <w:spacing w:after="0" w:line="106" w:lineRule="exact"/>
        <w:rPr>
          <w:rFonts w:ascii="Times New Roman" w:cs="Times New Roman" w:eastAsia="Times New Roman" w:hAnsi="Times New Roman"/>
          <w:sz w:val="13"/>
          <w:szCs w:val="13"/>
          <w:color w:val="auto"/>
        </w:rPr>
      </w:pPr>
    </w:p>
    <w:p>
      <w:pPr>
        <w:ind w:left="1680" w:right="40" w:hanging="549"/>
        <w:spacing w:after="0" w:line="251" w:lineRule="auto"/>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$3.5 billion revolving credit facility provides us with credit capacity to be used for cash borrowings, including borrowings in Canadian dollars up to the U.S. dollar equivalent of $375 million, to support letters of credit and to support our commercial paper program. The rates we pay for outstanding U.S. or Canadian loans are generally based on LIBOR or CDOR, respectively, plus a spread depending on our debt rating assigned by Moody's and S&amp;P (each as defined below). WM Holdings guarantees all of the obligations under our $3.5 billion revolving credit facility.</w:t>
      </w:r>
    </w:p>
    <w:p>
      <w:pPr>
        <w:spacing w:after="0" w:line="103" w:lineRule="exact"/>
        <w:rPr>
          <w:rFonts w:ascii="Times New Roman" w:cs="Times New Roman" w:eastAsia="Times New Roman" w:hAnsi="Times New Roman"/>
          <w:sz w:val="13"/>
          <w:szCs w:val="13"/>
          <w:color w:val="auto"/>
        </w:rPr>
      </w:pPr>
    </w:p>
    <w:p>
      <w:pPr>
        <w:ind w:left="1680" w:hanging="549"/>
        <w:spacing w:after="0" w:line="246" w:lineRule="auto"/>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$3.0 billion revolving credit facility provides us the option to convert outstanding balances into a term loan maturing no later than the first anniversary of the maturity date, subject to the payment of a fee and notifying the administrative agent at least 15 days prior to the original maturity date. WM Holdings guarantees all the obligations under the $3.0 billion revolving credit facility. The rates we pay for outstanding loans are generally based on LIBOR, plus a spread depending on our debt rating assigned by Moody's and S&amp;P (each as defined below). As of September 30, 2020, we had no borrowings under our $3.0 billion revolving credit facility. As of November 3, 2020, we had $2.13 billion of outstanding borrowings under our $3.0 billion revolving credit facility, all of which were used to pay a portion of the Merger Closing Payments (see "Summary—Recent Developments—Acquisition of Advanced Disposal").</w:t>
      </w:r>
    </w:p>
    <w:p>
      <w:pPr>
        <w:spacing w:after="0" w:line="106" w:lineRule="exact"/>
        <w:rPr>
          <w:rFonts w:ascii="Times New Roman" w:cs="Times New Roman" w:eastAsia="Times New Roman" w:hAnsi="Times New Roman"/>
          <w:sz w:val="13"/>
          <w:szCs w:val="13"/>
          <w:color w:val="auto"/>
        </w:rPr>
      </w:pPr>
    </w:p>
    <w:p>
      <w:pPr>
        <w:ind w:left="1680" w:right="60" w:hanging="549"/>
        <w:spacing w:after="0" w:line="278" w:lineRule="auto"/>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September 2019, Waste Management of Canada Corporation, our indirect wholly owned subsidiary, issued C$500 million, or $375 million based on the conversion rate as of September 30, 2020, of 2.6% senior notes due September 23, 2026, all of which are fully and unconditionally guaranteed on a senior unsecured basis by us and WM Holdings.</w:t>
      </w:r>
    </w:p>
    <w:p>
      <w:pPr>
        <w:spacing w:after="0" w:line="85" w:lineRule="exact"/>
        <w:rPr>
          <w:rFonts w:ascii="Times New Roman" w:cs="Times New Roman" w:eastAsia="Times New Roman" w:hAnsi="Times New Roman"/>
          <w:sz w:val="13"/>
          <w:szCs w:val="13"/>
          <w:color w:val="auto"/>
        </w:rPr>
      </w:pPr>
    </w:p>
    <w:p>
      <w:pPr>
        <w:jc w:val="both"/>
        <w:ind w:left="1680" w:right="280" w:hanging="549"/>
        <w:spacing w:after="0" w:line="258" w:lineRule="auto"/>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98" w:lineRule="exact"/>
        <w:rPr>
          <w:rFonts w:ascii="Times New Roman" w:cs="Times New Roman" w:eastAsia="Times New Roman" w:hAnsi="Times New Roman"/>
          <w:sz w:val="13"/>
          <w:szCs w:val="13"/>
          <w:color w:val="auto"/>
        </w:rPr>
      </w:pPr>
    </w:p>
    <w:p>
      <w:pPr>
        <w:ind w:left="1680" w:right="20" w:hanging="549"/>
        <w:spacing w:after="0" w:line="278" w:lineRule="auto"/>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 Adjusted and As Further Adjusted columns with respect to this line item do not include any debt issuance costs or unamortized discounts associated with the 2025 notes, the 2028 notes, the 2031 notes or the 2050 notes.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5"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are offering $2,500,000,000 of our senior notes, consisting of $500,000,000 of our 0.750% senior notes due 2025, $500,000,000 of our 1.150% senior notes due 2028, $1,000,000,000 of our 1.500% senior notes due 2031 and $500,000,000 of our 2.500% senior notes due 2050. The notes of each series will be issued under and pursuant to an Indenture dated as of September 10, 1997, between us and The Bank of New York Mellon Trust Company, N.A. (the current successor to the initial trustee, Texas Commerce Bank National Association), as Trustee (the "Trustee"). The 2025 notes, the 2028 notes, the 2031 notes and the 2050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190" w:lineRule="exact"/>
        <w:rPr>
          <w:sz w:val="20"/>
          <w:szCs w:val="20"/>
          <w:color w:val="auto"/>
        </w:rPr>
      </w:pPr>
    </w:p>
    <w:p>
      <w:pPr>
        <w:ind w:left="360"/>
        <w:spacing w:after="0"/>
        <w:tabs>
          <w:tab w:leader="none" w:pos="1260" w:val="left"/>
        </w:tabs>
        <w:rPr>
          <w:sz w:val="20"/>
          <w:szCs w:val="20"/>
          <w:color w:val="auto"/>
        </w:rPr>
      </w:pPr>
      <w:r>
        <w:rPr>
          <w:rFonts w:ascii="Times New Roman" w:cs="Times New Roman" w:eastAsia="Times New Roman" w:hAnsi="Times New Roman"/>
          <w:sz w:val="18"/>
          <w:szCs w:val="18"/>
          <w:i w:val="1"/>
          <w:iCs w:val="1"/>
          <w:color w:val="auto"/>
        </w:rPr>
        <w:t>The Notes.</w:t>
      </w:r>
      <w:r>
        <w:rPr>
          <w:sz w:val="20"/>
          <w:szCs w:val="20"/>
          <w:color w:val="auto"/>
        </w:rPr>
        <w:tab/>
      </w:r>
      <w:r>
        <w:rPr>
          <w:rFonts w:ascii="Times New Roman" w:cs="Times New Roman" w:eastAsia="Times New Roman" w:hAnsi="Times New Roman"/>
          <w:sz w:val="16"/>
          <w:szCs w:val="16"/>
          <w:color w:val="auto"/>
        </w:rPr>
        <w:t>Each series of notes will:</w:t>
      </w:r>
    </w:p>
    <w:p>
      <w:pPr>
        <w:spacing w:after="0" w:line="241"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our general unsecured, senior obligations;</w:t>
      </w:r>
    </w:p>
    <w:p>
      <w:pPr>
        <w:spacing w:after="0" w:line="252"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new and separate series of debt securities issued under the Indenture and will be initially limited to an aggregate principal amount as follows: $500,000,000 in the case of the 2025 notes, $500,000,000 in the case of the 2028 notes, $1,000,000,000 in the case of the 2031 notes and $500,000,000 in the case of the 2050 notes;</w:t>
      </w:r>
    </w:p>
    <w:p>
      <w:pPr>
        <w:spacing w:after="0" w:line="199"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November 15, 2025, in the case of the 2025 notes, March 15, 2028, in the case of the 2028 notes, March 15, 2031, in the case of the 2031 notes, and November 15, 2050, in the case of the 2050 notes;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our wholly owned subsidiary WM Holdings;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entitled to the benefit of any sinking fund;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minimum denominations of $2,000 and integral multiples of $1,000 in excess thereof; and</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84"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i w:val="1"/>
          <w:iCs w:val="1"/>
          <w:color w:val="auto"/>
        </w:rPr>
        <w:t>Interest.</w:t>
      </w:r>
      <w:r>
        <w:rPr>
          <w:sz w:val="20"/>
          <w:szCs w:val="20"/>
          <w:color w:val="auto"/>
        </w:rPr>
        <w:tab/>
      </w:r>
      <w:r>
        <w:rPr>
          <w:rFonts w:ascii="Times New Roman" w:cs="Times New Roman" w:eastAsia="Times New Roman" w:hAnsi="Times New Roman"/>
          <w:sz w:val="16"/>
          <w:szCs w:val="16"/>
          <w:color w:val="auto"/>
        </w:rPr>
        <w:t>Interest will:</w:t>
      </w:r>
    </w:p>
    <w:p>
      <w:pPr>
        <w:spacing w:after="0" w:line="254" w:lineRule="exact"/>
        <w:rPr>
          <w:sz w:val="20"/>
          <w:szCs w:val="20"/>
          <w:color w:val="auto"/>
        </w:rPr>
      </w:pPr>
    </w:p>
    <w:p>
      <w:pPr>
        <w:ind w:left="1080" w:right="14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on the 2025 notes at the rate of 0.750% per annum, accrue on the 2028 notes at the rate of 1.150% per annum, accrue on the 2031 notes at the rate of 1.500% per annum and accrue on the 2050 notes at the rate of 2.500% per annum;</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November 17, 2020 or the most recent interest payment date;</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(i) on May 15 and November 15 of each year, beginning on May 15, 2021, in the case of the 2025 notes and the 2050 notes, and (ii) on March 15 and September 15 of each year, beginning on March 15, 2021, in the case of the 2028 notes and the 2031 notes;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(i) on the May 1 and November 1 immediately preceding the related interest payment dates, in the case of the 2025 notes and the 2050 notes, and (ii) on the March 1 and September 1 immediately preceding the related interest payment dates, in the case of the 2028 notes and the 2031 notes;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190" w:lineRule="exact"/>
        <w:rPr>
          <w:sz w:val="20"/>
          <w:szCs w:val="20"/>
          <w:color w:val="auto"/>
        </w:rPr>
      </w:pPr>
    </w:p>
    <w:p>
      <w:pPr>
        <w:ind w:right="240" w:firstLine="351"/>
        <w:spacing w:after="0" w:line="301" w:lineRule="auto"/>
        <w:rPr>
          <w:sz w:val="20"/>
          <w:szCs w:val="20"/>
          <w:color w:val="auto"/>
        </w:rPr>
      </w:pPr>
      <w:r>
        <w:rPr>
          <w:rFonts w:ascii="Times New Roman" w:cs="Times New Roman" w:eastAsia="Times New Roman" w:hAnsi="Times New Roman"/>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18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or</w:t>
      </w:r>
    </w:p>
    <w:p>
      <w:pPr>
        <w:spacing w:after="0" w:line="238"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as calculated by us, of the present values of the remaining scheduled payments of principal and interest on the notes of the applicable series to be redeemed that would be due if such notes matured on the applicable Par Call Date (exclusive of interest accrued to the date of redemption) discounted to the date of redemption on a semi-annual basis (assuming a 360-day year consisting of twelve 30-day months) at the applicable Treasury Yield plus 7.5 basis points for the 2025 notes, 10 basis points for the 2028 notes, 12.5 basis points for the 2031 notes and 15 basis points for the 2050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interest to the date of redemption.</w:t>
      </w:r>
    </w:p>
    <w:p>
      <w:pPr>
        <w:spacing w:after="0" w:line="225" w:lineRule="exact"/>
        <w:rPr>
          <w:sz w:val="20"/>
          <w:szCs w:val="20"/>
          <w:color w:val="auto"/>
        </w:rPr>
      </w:pPr>
    </w:p>
    <w:p>
      <w:pPr>
        <w:jc w:val="both"/>
        <w:ind w:right="180" w:firstLine="351"/>
        <w:spacing w:after="0" w:line="262" w:lineRule="auto"/>
        <w:rPr>
          <w:sz w:val="20"/>
          <w:szCs w:val="20"/>
          <w:color w:val="auto"/>
        </w:rPr>
      </w:pPr>
      <w:r>
        <w:rPr>
          <w:rFonts w:ascii="Times New Roman" w:cs="Times New Roman" w:eastAsia="Times New Roman" w:hAnsi="Times New Roman"/>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86"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at least 10 but not more than 60 days before the redemption date to each holder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 (or in the case of notes represented by a note in global form, by such method as DTC may require).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the optional redemption, the following definitions are applicable:</w:t>
      </w:r>
    </w:p>
    <w:p>
      <w:pPr>
        <w:spacing w:after="0" w:line="223" w:lineRule="exact"/>
        <w:rPr>
          <w:sz w:val="20"/>
          <w:szCs w:val="20"/>
          <w:color w:val="auto"/>
        </w:rPr>
      </w:pPr>
    </w:p>
    <w:p>
      <w:pPr>
        <w:ind w:right="100" w:firstLine="351"/>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Treasury Yield</w:t>
      </w:r>
      <w:r>
        <w:rPr>
          <w:rFonts w:ascii="Times New Roman" w:cs="Times New Roman" w:eastAsia="Times New Roman" w:hAnsi="Times New Roman"/>
          <w:sz w:val="16"/>
          <w:szCs w:val="16"/>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46"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an Independent Investment Banker as having a maturity comparable to the remaining term of the notes of the series to be redeemed, calculated as if the maturity date of such notes were the applicable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187"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Investment Banker</w:t>
      </w:r>
      <w:r>
        <w:rPr>
          <w:rFonts w:ascii="Times New Roman" w:cs="Times New Roman" w:eastAsia="Times New Roman" w:hAnsi="Times New Roman"/>
          <w:sz w:val="18"/>
          <w:szCs w:val="18"/>
          <w:color w:val="auto"/>
        </w:rPr>
        <w:t>" means one of the Reference Treasury Dealers appointed by us to act as the Independent Investment Banker from time to time.</w:t>
      </w:r>
    </w:p>
    <w:p>
      <w:pPr>
        <w:spacing w:after="0" w:line="170"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1"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October 15, 2025 (one month prior to the maturity date), in the case of the 2025 notes, (ii) January 15, 2028 (two months prior to the maturity date), in the case of the 2028 notes, (iii) December 15, 2030 (three months prior to the maturity date), in the case of the 2031 notes, and (iv) May 15, 2050 (six months prior to the maturity date), in the case of the 2050 notes.</w:t>
      </w:r>
    </w:p>
    <w:p>
      <w:pPr>
        <w:spacing w:after="0" w:line="18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87"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for the notes of a series,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89"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Except as set forth above under "—Optional Redemption," the notes will not be redeemable by us prior to maturity and will not be entitled to the benefit of any sinking fund.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7"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Each series of notes will be subject to legal defeasance and to covenant defeasance as provided under "Description of the Debt Securities—Provisions Applicable to Each Indenture—Defeasance" in the accompanying prospectus.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74" w:lineRule="exact"/>
        <w:rPr>
          <w:sz w:val="20"/>
          <w:szCs w:val="20"/>
          <w:color w:val="auto"/>
        </w:rPr>
      </w:pPr>
    </w:p>
    <w:p>
      <w:pPr>
        <w:ind w:left="1240" w:hanging="341"/>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080" w:right="20" w:firstLine="359"/>
        <w:spacing w:after="0" w:line="262" w:lineRule="auto"/>
        <w:tabs>
          <w:tab w:leader="none" w:pos="17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86" w:lineRule="exact"/>
        <w:rPr>
          <w:rFonts w:ascii="Times New Roman" w:cs="Times New Roman" w:eastAsia="Times New Roman" w:hAnsi="Times New Roman"/>
          <w:sz w:val="18"/>
          <w:szCs w:val="18"/>
          <w:color w:val="auto"/>
        </w:rPr>
      </w:pPr>
    </w:p>
    <w:p>
      <w:pPr>
        <w:ind w:left="1080" w:right="60" w:firstLine="359"/>
        <w:spacing w:after="0" w:line="253" w:lineRule="auto"/>
        <w:tabs>
          <w:tab w:leader="none" w:pos="17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98"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with respect to the notes of that series; and</w:t>
      </w:r>
    </w:p>
    <w:p>
      <w:pPr>
        <w:spacing w:after="0" w:line="225" w:lineRule="exact"/>
        <w:rPr>
          <w:rFonts w:ascii="Times New Roman" w:cs="Times New Roman" w:eastAsia="Times New Roman" w:hAnsi="Times New Roman"/>
          <w:sz w:val="18"/>
          <w:szCs w:val="18"/>
          <w:color w:val="auto"/>
        </w:rPr>
      </w:pPr>
    </w:p>
    <w:p>
      <w:pPr>
        <w:ind w:left="540" w:right="320" w:firstLine="359"/>
        <w:spacing w:after="0" w:line="275" w:lineRule="auto"/>
        <w:tabs>
          <w:tab w:leader="none" w:pos="12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90" w:lineRule="exact"/>
        <w:rPr>
          <w:sz w:val="20"/>
          <w:szCs w:val="20"/>
          <w:color w:val="auto"/>
        </w:rPr>
      </w:pPr>
    </w:p>
    <w:p>
      <w:pPr>
        <w:ind w:right="300" w:firstLine="348"/>
        <w:spacing w:after="0" w:line="339" w:lineRule="auto"/>
        <w:rPr>
          <w:sz w:val="20"/>
          <w:szCs w:val="20"/>
          <w:color w:val="auto"/>
        </w:rPr>
      </w:pPr>
      <w:r>
        <w:rPr>
          <w:rFonts w:ascii="Times New Roman" w:cs="Times New Roman" w:eastAsia="Times New Roman" w:hAnsi="Times New Roman"/>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Provisions Applicable Solely to Senior Debt Securities" in the accompanying prospectus.</w:t>
      </w:r>
    </w:p>
    <w:p>
      <w:pPr>
        <w:spacing w:after="0" w:line="198"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As of September 30, 2020, our operating subsidiaries had $2.235 billion of indebtedness and WM Holdings had $248 million of long-term debt (excluding guarantees of $6.076 billion of our senior debt), in each case excluding intercompany loans.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90"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187"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Waste Management or its successor;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Waste Management or its successor into WM Holdings;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notes of that series; or</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Waste Management under its $3.5 billion revolving credit facility and under its $3.0 billion revolving credit facility (in each case, or any replacement or new principal credit facility). Our $3.5 billion revolving credit facility and our $3.0 billion revolving credit facility each currently states that WM Holdings' guarantees under such facility can only be released with the written consent of each of the lenders that is a party thereto.</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the notes of any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Upon the change of control payment date, we will, to the extent lawful:</w:t>
      </w:r>
    </w:p>
    <w:p>
      <w:pPr>
        <w:spacing w:after="0" w:line="239"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252"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187"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4"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92"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223"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change of control</w:t>
      </w:r>
      <w:r>
        <w:rPr>
          <w:rFonts w:ascii="Times New Roman" w:cs="Times New Roman" w:eastAsia="Times New Roman" w:hAnsi="Times New Roman"/>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74"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61"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225" w:lineRule="exact"/>
        <w:rPr>
          <w:sz w:val="20"/>
          <w:szCs w:val="20"/>
          <w:color w:val="auto"/>
        </w:rPr>
      </w:pPr>
    </w:p>
    <w:p>
      <w:pPr>
        <w:ind w:right="220" w:firstLine="351"/>
        <w:spacing w:after="0" w:line="3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 grade rating</w:t>
      </w:r>
      <w:r>
        <w:rPr>
          <w:rFonts w:ascii="Times New Roman" w:cs="Times New Roman" w:eastAsia="Times New Roman" w:hAnsi="Times New Roman"/>
          <w:sz w:val="16"/>
          <w:szCs w:val="16"/>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87"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covenants in the Indenture limit our ability and the ability of our subsidiaries to:</w:t>
      </w:r>
    </w:p>
    <w:p>
      <w:pPr>
        <w:spacing w:after="0" w:line="239"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debt secured by liens;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22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or the consent of the holders of any series of the notes, create and issue further notes ranking equally and ratably with the notes of any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227"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90"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86"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2"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DTC has advised us and the underwriters as follows:</w:t>
      </w:r>
    </w:p>
    <w:p>
      <w:pPr>
        <w:spacing w:after="0" w:line="239" w:lineRule="exact"/>
        <w:rPr>
          <w:sz w:val="20"/>
          <w:szCs w:val="20"/>
          <w:color w:val="auto"/>
        </w:rPr>
      </w:pPr>
    </w:p>
    <w:p>
      <w:pPr>
        <w:ind w:left="1080" w:right="8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Commercial Code, and a "clearing agency" registered pursuant to the provisions of the Exchange Act.</w:t>
      </w:r>
    </w:p>
    <w:p>
      <w:pPr>
        <w:spacing w:after="0" w:line="239" w:lineRule="exact"/>
        <w:rPr>
          <w:sz w:val="20"/>
          <w:szCs w:val="20"/>
          <w:color w:val="auto"/>
        </w:rPr>
      </w:pPr>
    </w:p>
    <w:p>
      <w:pPr>
        <w:ind w:left="1080" w:right="20" w:hanging="532"/>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213"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95"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92"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86"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74"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86" w:lineRule="exact"/>
        <w:rPr>
          <w:sz w:val="20"/>
          <w:szCs w:val="20"/>
          <w:color w:val="auto"/>
        </w:rPr>
      </w:pPr>
    </w:p>
    <w:p>
      <w:pPr>
        <w:ind w:right="60" w:firstLine="341"/>
        <w:spacing w:after="0" w:line="253" w:lineRule="auto"/>
        <w:rPr>
          <w:sz w:val="20"/>
          <w:szCs w:val="20"/>
          <w:color w:val="auto"/>
        </w:rPr>
      </w:pPr>
      <w:r>
        <w:rPr>
          <w:rFonts w:ascii="Times New Roman" w:cs="Times New Roman" w:eastAsia="Times New Roman" w:hAnsi="Times New Roman"/>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98"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DTC may discontinue providing its service as securities depositary with respect to the notes of any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90" w:lineRule="exact"/>
        <w:rPr>
          <w:sz w:val="20"/>
          <w:szCs w:val="20"/>
          <w:color w:val="auto"/>
        </w:rPr>
      </w:pPr>
    </w:p>
    <w:p>
      <w:pPr>
        <w:jc w:val="both"/>
        <w:ind w:right="440" w:firstLine="351"/>
        <w:spacing w:after="0" w:line="262" w:lineRule="auto"/>
        <w:rPr>
          <w:sz w:val="20"/>
          <w:szCs w:val="20"/>
          <w:color w:val="auto"/>
        </w:rPr>
      </w:pPr>
      <w:r>
        <w:rPr>
          <w:rFonts w:ascii="Times New Roman" w:cs="Times New Roman" w:eastAsia="Times New Roman" w:hAnsi="Times New Roman"/>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86"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9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with a Euroclear participant, either directly or indirectly. Euroclear is an indirect DTC participant.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225" w:lineRule="exact"/>
        <w:rPr>
          <w:sz w:val="20"/>
          <w:szCs w:val="20"/>
          <w:color w:val="auto"/>
        </w:rPr>
      </w:pPr>
    </w:p>
    <w:p>
      <w:pPr>
        <w:jc w:val="both"/>
        <w:ind w:right="480" w:firstLine="348"/>
        <w:spacing w:after="0" w:line="262"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86" w:lineRule="exact"/>
        <w:rPr>
          <w:sz w:val="20"/>
          <w:szCs w:val="20"/>
          <w:color w:val="auto"/>
        </w:rPr>
      </w:pPr>
    </w:p>
    <w:p>
      <w:pPr>
        <w:ind w:right="180" w:firstLine="341"/>
        <w:spacing w:after="0" w:line="262"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6"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74" w:lineRule="exact"/>
        <w:rPr>
          <w:sz w:val="20"/>
          <w:szCs w:val="20"/>
          <w:color w:val="auto"/>
        </w:rPr>
      </w:pPr>
    </w:p>
    <w:p>
      <w:pPr>
        <w:jc w:val="both"/>
        <w:ind w:right="120" w:firstLine="351"/>
        <w:spacing w:after="0" w:line="256"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92"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90"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92" w:lineRule="exact"/>
        <w:rPr>
          <w:sz w:val="20"/>
          <w:szCs w:val="20"/>
          <w:color w:val="auto"/>
        </w:rPr>
      </w:pPr>
    </w:p>
    <w:p>
      <w:pPr>
        <w:ind w:right="20" w:firstLine="344"/>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95" w:lineRule="exact"/>
        <w:rPr>
          <w:sz w:val="20"/>
          <w:szCs w:val="20"/>
          <w:color w:val="auto"/>
        </w:rPr>
      </w:pPr>
    </w:p>
    <w:p>
      <w:pPr>
        <w:ind w:right="180" w:firstLine="341"/>
        <w:spacing w:after="0" w:line="256"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92"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92"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90"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92" w:lineRule="exact"/>
        <w:rPr>
          <w:sz w:val="20"/>
          <w:szCs w:val="20"/>
          <w:color w:val="auto"/>
        </w:rPr>
      </w:pPr>
    </w:p>
    <w:p>
      <w:pPr>
        <w:ind w:right="140" w:firstLine="344"/>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 FOR NON-U.S. 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Scope of Discussion</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95"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or persons who hold the notes as a hedge or who hedge the interest rate on the notes. In addition, this discussion does not address any aspect of the Medicare tax on certain investment income, non-income taxation (such as estate and gift taxes) or state, local or foreign taxation.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200"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92"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4"/>
        <w:spacing w:after="0" w:line="275" w:lineRule="auto"/>
        <w:rPr>
          <w:sz w:val="20"/>
          <w:szCs w:val="20"/>
          <w:color w:val="auto"/>
        </w:rPr>
      </w:pPr>
      <w:r>
        <w:rPr>
          <w:rFonts w:ascii="Times New Roman" w:cs="Times New Roman" w:eastAsia="Times New Roman" w:hAnsi="Times New Roman"/>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187" w:lineRule="exact"/>
        <w:rPr>
          <w:sz w:val="20"/>
          <w:szCs w:val="20"/>
          <w:color w:val="auto"/>
        </w:rPr>
      </w:pPr>
    </w:p>
    <w:p>
      <w:pPr>
        <w:ind w:left="1080" w:right="8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Payments of Additional Amounts</w:t>
      </w:r>
    </w:p>
    <w:p>
      <w:pPr>
        <w:spacing w:after="0" w:line="22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We may be required to make payments of additional amounts to holders of the notes under certain circumstances, including those described under "Description of Notes—Optional Redemption" or "Description of Notes—Change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Interest on the Notes</w:t>
      </w:r>
    </w:p>
    <w:p>
      <w:pPr>
        <w:spacing w:after="0" w:line="227"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13"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through actual or constructive stock ownership (as provided in the Code).</w:t>
      </w:r>
    </w:p>
    <w:p>
      <w:pPr>
        <w:spacing w:after="0" w:line="225"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"—Income or Gain Effectively Connected with a U.S. Trade or Business."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Sale, Redemption, Exchange, Retirement or Other Taxable Disposition of Notes</w:t>
      </w:r>
    </w:p>
    <w:p>
      <w:pPr>
        <w:spacing w:after="0" w:line="227" w:lineRule="exact"/>
        <w:rPr>
          <w:sz w:val="20"/>
          <w:szCs w:val="20"/>
          <w:color w:val="auto"/>
        </w:rPr>
      </w:pPr>
    </w:p>
    <w:p>
      <w:pPr>
        <w:ind w:right="380" w:firstLine="351"/>
        <w:spacing w:after="0" w:line="339" w:lineRule="auto"/>
        <w:rPr>
          <w:sz w:val="20"/>
          <w:szCs w:val="20"/>
          <w:color w:val="auto"/>
        </w:rPr>
      </w:pPr>
      <w:r>
        <w:rPr>
          <w:rFonts w:ascii="Times New Roman" w:cs="Times New Roman" w:eastAsia="Times New Roman" w:hAnsi="Times New Roman"/>
          <w:sz w:val="16"/>
          <w:szCs w:val="16"/>
          <w:color w:val="auto"/>
        </w:rPr>
        <w:t>Subject to the discussion of backup withholding and FATCA (as defined herein) withholding requirements discussed below, you generally will not be subject to U.S. federal income tax on any gain realized on the sale, redemption, exchange, retirement or other taxable disposition of a note unless:</w:t>
      </w:r>
    </w:p>
    <w:p>
      <w:pPr>
        <w:spacing w:after="0" w:line="155" w:lineRule="exact"/>
        <w:rPr>
          <w:sz w:val="20"/>
          <w:szCs w:val="20"/>
          <w:color w:val="auto"/>
        </w:rPr>
      </w:pPr>
    </w:p>
    <w:p>
      <w:pPr>
        <w:ind w:left="108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187"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174"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90"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Income or Gain Effectively Connected with a U.S. Trade or Business</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86"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Backup withholding (currently at a rate of 24%) generally will not apply to payments of interest on a note to you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212"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foreign person that derives 50% or more of its gross income for certain periods from the conduct of a trade or business in the United States;</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for U.S. federal income tax purposes; or</w:t>
      </w:r>
    </w:p>
    <w:p>
      <w:pPr>
        <w:spacing w:after="0" w:line="238"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74" w:lineRule="exact"/>
        <w:rPr>
          <w:sz w:val="20"/>
          <w:szCs w:val="20"/>
          <w:color w:val="auto"/>
        </w:rPr>
      </w:pPr>
    </w:p>
    <w:p>
      <w:pPr>
        <w:ind w:right="180" w:firstLine="344"/>
        <w:spacing w:after="0" w:line="275" w:lineRule="auto"/>
        <w:rPr>
          <w:sz w:val="20"/>
          <w:szCs w:val="20"/>
          <w:color w:val="auto"/>
        </w:rPr>
      </w:pPr>
      <w:r>
        <w:rPr>
          <w:rFonts w:ascii="Times New Roman" w:cs="Times New Roman" w:eastAsia="Times New Roman" w:hAnsi="Times New Roman"/>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Foreign Accounts Tax Compliance Act</w:t>
      </w:r>
    </w:p>
    <w:p>
      <w:pPr>
        <w:spacing w:after="0" w:line="22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Withholding taxes under Sections 1471 through 1474 of the Code (commonly referred to as the Foreign Account Tax Compliance Act, or "FATCA") may apply to certain types of payments made to</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388"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Barclays Capital Inc., Mizuho Securities USA LLC, BofA Securities, Inc., J.P. Morgan Securities LLC and Scotia Capital (USA) Inc. are acting as joint book-running managers of the offering and as representatives of the underwriters named below.</w:t>
      </w:r>
    </w:p>
    <w:p>
      <w:pPr>
        <w:spacing w:after="0" w:line="174" w:lineRule="exact"/>
        <w:rPr>
          <w:sz w:val="20"/>
          <w:szCs w:val="20"/>
          <w:color w:val="auto"/>
        </w:rPr>
      </w:pPr>
    </w:p>
    <w:p>
      <w:pPr>
        <w:jc w:val="both"/>
        <w:ind w:firstLine="351"/>
        <w:spacing w:after="0" w:line="339" w:lineRule="auto"/>
        <w:rPr>
          <w:sz w:val="20"/>
          <w:szCs w:val="20"/>
          <w:color w:val="auto"/>
        </w:rPr>
      </w:pPr>
      <w:r>
        <w:rPr>
          <w:rFonts w:ascii="Times New Roman" w:cs="Times New Roman" w:eastAsia="Times New Roman" w:hAnsi="Times New Roman"/>
          <w:sz w:val="16"/>
          <w:szCs w:val="16"/>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2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2"/>
                <w:szCs w:val="12"/>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2"/>
                <w:szCs w:val="1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48"/>
        </w:trPr>
        <w:tc>
          <w:tcPr>
            <w:tcW w:w="8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16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14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Amount of</w:t>
            </w:r>
          </w:p>
        </w:tc>
      </w:tr>
      <w:tr>
        <w:trPr>
          <w:trHeight w:val="165"/>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2025 Notes</w:t>
            </w:r>
          </w:p>
        </w:tc>
        <w:tc>
          <w:tcPr>
            <w:tcW w:w="16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2031 Notes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2050 Notes</w:t>
            </w:r>
          </w:p>
        </w:tc>
        <w:tc>
          <w:tcPr>
            <w:tcW w:w="160" w:type="dxa"/>
            <w:vAlign w:val="bottom"/>
          </w:tcPr>
          <w:p>
            <w:pPr>
              <w:spacing w:after="0"/>
              <w:rPr>
                <w:sz w:val="14"/>
                <w:szCs w:val="14"/>
                <w:color w:val="auto"/>
              </w:rPr>
            </w:pPr>
          </w:p>
        </w:tc>
      </w:tr>
      <w:tr>
        <w:trPr>
          <w:trHeight w:val="20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Barclays Capital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BofA Securities, Inc.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 Morgan Securities LLC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Scotia Capital (USA) Inc.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104,500,000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52,250,000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71,250,000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35,625,000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Securities, Inc.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Loop Capital Markets LLC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MFR Securities, Inc.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r>
      <w:tr>
        <w:trPr>
          <w:trHeight w:val="216"/>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Stern Brothers &amp; Co.</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r>
      <w:tr>
        <w:trPr>
          <w:trHeight w:val="210"/>
        </w:trPr>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74"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0.200% of the principal amount of the 2025 notes, 0.250% of the principal amount of the 2028 notes, 0.300% of the principal amount of the 2031 notes and 0.500% of the principal amount of the 2050 notes. The underwriters may allow, and dealers may reallow, a concession not to exceed 0.125% of the principal amount of the 2025 notes, 0.125% of the principal amount of the 2028 notes, 0.250% of the principal amount of the 2031 notes and 0.350% of the principal amount of the 2050 notes on sales to other dealers. After the initial offering of the notes to the public, the representatives may change the public offering price and other selling terms applicable to the notes of any series. The offering of the notes by the underwriters is subject to receipt and acceptance and subject to the underwriters' right to reject any order in whole or in part.</w:t>
      </w:r>
    </w:p>
    <w:p>
      <w:pPr>
        <w:spacing w:after="0" w:line="198"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90" w:lineRule="exact"/>
        <w:rPr>
          <w:sz w:val="20"/>
          <w:szCs w:val="20"/>
          <w:color w:val="auto"/>
        </w:rPr>
      </w:pPr>
    </w:p>
    <w:p>
      <w:pPr>
        <w:ind w:right="160" w:firstLine="348"/>
        <w:spacing w:after="0" w:line="339" w:lineRule="auto"/>
        <w:rPr>
          <w:sz w:val="20"/>
          <w:szCs w:val="20"/>
          <w:color w:val="auto"/>
        </w:rPr>
      </w:pPr>
      <w:r>
        <w:rPr>
          <w:rFonts w:ascii="Times New Roman" w:cs="Times New Roman" w:eastAsia="Times New Roman" w:hAnsi="Times New Roman"/>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8" w:lineRule="exact"/>
        <w:rPr>
          <w:sz w:val="20"/>
          <w:szCs w:val="20"/>
          <w:color w:val="auto"/>
        </w:rPr>
      </w:pPr>
    </w:p>
    <w:p>
      <w:pPr>
        <w:jc w:val="both"/>
        <w:ind w:right="60" w:firstLine="341"/>
        <w:spacing w:after="0" w:line="310" w:lineRule="auto"/>
        <w:rPr>
          <w:sz w:val="20"/>
          <w:szCs w:val="20"/>
          <w:color w:val="auto"/>
        </w:rPr>
      </w:pPr>
      <w:r>
        <w:rPr>
          <w:rFonts w:ascii="Times New Roman" w:cs="Times New Roman" w:eastAsia="Times New Roman" w:hAnsi="Times New Roman"/>
          <w:sz w:val="16"/>
          <w:szCs w:val="16"/>
          <w:color w:val="auto"/>
        </w:rPr>
        <w:t>Any of these activities may have the effect of preventing or retarding a decline in the market price of any series of notes. They may also cause the price of any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estimate that our total expenses (not including the underwriting discounts) for this offering will be $4.36 million.</w:t>
      </w:r>
    </w:p>
    <w:p>
      <w:pPr>
        <w:spacing w:after="0" w:line="225"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74"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4"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November 17, 2020, which is the seventh business day following the date of pricing of the notes (such settlement being referred to as "T+7").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four business days will be required, by virtue of the fact that the notes initially will settle in T+7, to specify an alternate settlement cycle at the time of any such trade to prevent failed settlement and should consult their own advisers.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227" w:lineRule="exact"/>
        <w:rPr>
          <w:sz w:val="20"/>
          <w:szCs w:val="20"/>
          <w:color w:val="auto"/>
        </w:rPr>
      </w:pPr>
    </w:p>
    <w:p>
      <w:pPr>
        <w:ind w:right="220" w:firstLine="351"/>
        <w:spacing w:after="0" w:line="255" w:lineRule="auto"/>
        <w:rPr>
          <w:sz w:val="20"/>
          <w:szCs w:val="20"/>
          <w:color w:val="auto"/>
        </w:rPr>
      </w:pPr>
      <w:r>
        <w:rPr>
          <w:rFonts w:ascii="Times New Roman" w:cs="Times New Roman" w:eastAsia="Times New Roman" w:hAnsi="Times New Roman"/>
          <w:sz w:val="18"/>
          <w:szCs w:val="18"/>
          <w:color w:val="auto"/>
        </w:rPr>
        <w:t>Certain of the underwriters or one of their respective affiliates are lenders under our $3.0 billion revolving credit facility and our $3.5 billion revolving credit facility, and are dealers under our commercial paper program. In addition, certain of the underwriters or their affiliates may be holders of our 4.60% Senior Notes due March 2021 and, accordingly, may receive a portion of the proceeds of this offering pursuant to the repayment thereof with the proceeds of this offering. Certain of the underwriters or one of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92" w:lineRule="exact"/>
        <w:rPr>
          <w:sz w:val="20"/>
          <w:szCs w:val="20"/>
          <w:color w:val="auto"/>
        </w:rPr>
      </w:pPr>
    </w:p>
    <w:p>
      <w:pPr>
        <w:ind w:right="320" w:firstLine="35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Certain affiliates of Barclays Capital Inc., Mizuho Securities USA LLC, BofA Securities, Inc., J.P. Morgan Securities LLC, Scotia Capital (USA) Inc., BNP Paribas Securities Corp., Citigroup Global Markets Inc., Deutsche Bank Securities Inc., MUFG Securities Americas Inc., SMBC Nikko Securities America, Inc. and U.S. Bancorp Investments, Inc., respectively, are lenders to us under our $3.0 billion revolving credit facility and may receive 5% or more of the net proceeds of this offering by reason of the repayment of amounts outstanding thereunder. Accordingly, such underwriters are deemed to have a "conflict of interest" within the meaning of FINRA Rule 5121, and this offering will be conducted in accordance with FINRA Rule 5121. No underwriter with a "conflict of interest" will confirm sales to any account over which it exercises discretion without the specific written approval of the account holder. Pursuant to FINRA Rule 5121(a)(1)(C), the appointment of a "qualified independent underwriter" is not necessary in connection with this offering as the notes offered are "investment grade rated" (as defined in FINRA Rule 5121).</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225" w:lineRule="exact"/>
        <w:rPr>
          <w:sz w:val="20"/>
          <w:szCs w:val="20"/>
          <w:color w:val="auto"/>
        </w:rPr>
      </w:pPr>
    </w:p>
    <w:p>
      <w:pPr>
        <w:ind w:left="1240" w:hanging="351"/>
        <w:spacing w:after="0"/>
        <w:tabs>
          <w:tab w:leader="none" w:pos="1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constitute a product disclosure document or a prospectus under Chapter 6D.2 of the Corporations Act 2001 (Cth) (the "Corporations</w:t>
      </w:r>
    </w:p>
    <w:p>
      <w:pPr>
        <w:spacing w:after="0" w:line="44"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Act");</w:t>
      </w:r>
    </w:p>
    <w:p>
      <w:pPr>
        <w:spacing w:after="0" w:line="212" w:lineRule="exact"/>
        <w:rPr>
          <w:rFonts w:ascii="Times New Roman" w:cs="Times New Roman" w:eastAsia="Times New Roman" w:hAnsi="Times New Roman"/>
          <w:sz w:val="16"/>
          <w:szCs w:val="16"/>
          <w:color w:val="auto"/>
        </w:rPr>
      </w:pPr>
    </w:p>
    <w:p>
      <w:pPr>
        <w:ind w:left="540" w:right="120" w:firstLine="359"/>
        <w:spacing w:after="0" w:line="262" w:lineRule="auto"/>
        <w:tabs>
          <w:tab w:leader="none" w:pos="12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86" w:lineRule="exact"/>
        <w:rPr>
          <w:rFonts w:ascii="Times New Roman" w:cs="Times New Roman" w:eastAsia="Times New Roman" w:hAnsi="Times New Roman"/>
          <w:sz w:val="18"/>
          <w:szCs w:val="18"/>
          <w:color w:val="auto"/>
        </w:rPr>
      </w:pPr>
    </w:p>
    <w:p>
      <w:pPr>
        <w:ind w:left="540" w:right="20" w:firstLine="359"/>
        <w:spacing w:after="0" w:line="339" w:lineRule="auto"/>
        <w:tabs>
          <w:tab w:leader="none" w:pos="12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28" w:lineRule="exact"/>
        <w:rPr>
          <w:rFonts w:ascii="Times New Roman" w:cs="Times New Roman" w:eastAsia="Times New Roman" w:hAnsi="Times New Roman"/>
          <w:sz w:val="16"/>
          <w:szCs w:val="16"/>
          <w:color w:val="auto"/>
        </w:rPr>
      </w:pPr>
    </w:p>
    <w:p>
      <w:pPr>
        <w:ind w:left="540" w:right="560" w:firstLine="359"/>
        <w:spacing w:after="0" w:line="275" w:lineRule="auto"/>
        <w:tabs>
          <w:tab w:leader="none" w:pos="12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2"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7"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Neither this prospectus supplement nor the accompanying base prospectus is a prospectus for the purposes of the European Union's Regulation (EU) 2017/1129 (the "Prospectus Regulation").</w:t>
      </w:r>
    </w:p>
    <w:p>
      <w:pPr>
        <w:spacing w:after="0" w:line="174" w:lineRule="exact"/>
        <w:rPr>
          <w:sz w:val="20"/>
          <w:szCs w:val="20"/>
          <w:color w:val="auto"/>
        </w:rPr>
      </w:pPr>
    </w:p>
    <w:p>
      <w:pPr>
        <w:ind w:firstLine="348"/>
        <w:spacing w:after="0" w:line="287" w:lineRule="auto"/>
        <w:rPr>
          <w:sz w:val="20"/>
          <w:szCs w:val="20"/>
          <w:color w:val="auto"/>
        </w:rPr>
      </w:pPr>
      <w:r>
        <w:rPr>
          <w:rFonts w:ascii="Times New Roman" w:cs="Times New Roman" w:eastAsia="Times New Roman" w:hAnsi="Times New Roman"/>
          <w:sz w:val="16"/>
          <w:szCs w:val="16"/>
          <w:color w:val="auto"/>
        </w:rPr>
        <w:t>The notes are not intended to be offered, sold or otherwise made available to and should not be offered, sold or otherwise made available to any retail investor in the European Economic Area ("EEA") or the United Kingdom. For the purposes of this provision: (a) a retail investor means a person who is one (or more) of: (i) a retail client as defined in point (11) of Article 4(1) of Directive 2014/65/EU (as amended, "MiFID II"); or (ii) a customer within the meaning of Directive (EU) 2016/97 (the Insurance Distribution Directive),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7" w:lineRule="exact"/>
        <w:rPr>
          <w:sz w:val="20"/>
          <w:szCs w:val="20"/>
          <w:color w:val="auto"/>
        </w:rPr>
      </w:pPr>
    </w:p>
    <w:p>
      <w:pPr>
        <w:ind w:right="60" w:firstLine="351"/>
        <w:spacing w:after="0" w:line="290" w:lineRule="auto"/>
        <w:rPr>
          <w:sz w:val="20"/>
          <w:szCs w:val="20"/>
          <w:color w:val="auto"/>
        </w:rPr>
      </w:pPr>
      <w:r>
        <w:rPr>
          <w:rFonts w:ascii="Times New Roman" w:cs="Times New Roman" w:eastAsia="Times New Roman" w:hAnsi="Times New Roman"/>
          <w:sz w:val="16"/>
          <w:szCs w:val="16"/>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7"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225" w:lineRule="exact"/>
        <w:rPr>
          <w:sz w:val="20"/>
          <w:szCs w:val="20"/>
          <w:color w:val="auto"/>
        </w:rPr>
      </w:pPr>
    </w:p>
    <w:p>
      <w:pPr>
        <w:ind w:left="540" w:firstLine="349"/>
        <w:spacing w:after="0" w:line="275" w:lineRule="auto"/>
        <w:tabs>
          <w:tab w:leader="none" w:pos="12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258" w:lineRule="auto"/>
        <w:tabs>
          <w:tab w:leader="none" w:pos="12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89" w:lineRule="exact"/>
        <w:rPr>
          <w:rFonts w:ascii="Times New Roman" w:cs="Times New Roman" w:eastAsia="Times New Roman" w:hAnsi="Times New Roman"/>
          <w:sz w:val="18"/>
          <w:szCs w:val="18"/>
          <w:color w:val="auto"/>
        </w:rPr>
      </w:pPr>
    </w:p>
    <w:p>
      <w:pPr>
        <w:ind w:left="1080" w:right="220" w:firstLine="447"/>
        <w:spacing w:after="0" w:line="275" w:lineRule="auto"/>
        <w:tabs>
          <w:tab w:leader="none" w:pos="17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73" w:lineRule="exact"/>
        <w:rPr>
          <w:rFonts w:ascii="Times New Roman" w:cs="Times New Roman" w:eastAsia="Times New Roman" w:hAnsi="Times New Roman"/>
          <w:sz w:val="18"/>
          <w:szCs w:val="18"/>
          <w:color w:val="auto"/>
        </w:rPr>
      </w:pPr>
    </w:p>
    <w:p>
      <w:pPr>
        <w:ind w:left="1780" w:hanging="297"/>
        <w:spacing w:after="0"/>
        <w:tabs>
          <w:tab w:leader="none" w:pos="1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1800" w:hanging="361"/>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1780" w:hanging="341"/>
        <w:spacing w:after="0"/>
        <w:tabs>
          <w:tab w:leader="none" w:pos="1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1080" w:right="440" w:firstLine="403"/>
        <w:spacing w:after="0" w:line="275" w:lineRule="auto"/>
        <w:tabs>
          <w:tab w:leader="none" w:pos="176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Securities and Futures Act (Chapter 289 of Singapore) (the "SFA"), the issuer has determined,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98" w:lineRule="exact"/>
        <w:rPr>
          <w:sz w:val="20"/>
          <w:szCs w:val="20"/>
          <w:color w:val="auto"/>
        </w:rPr>
      </w:pPr>
    </w:p>
    <w:p>
      <w:pPr>
        <w:ind w:right="180" w:firstLine="351"/>
        <w:spacing w:after="0" w:line="301" w:lineRule="auto"/>
        <w:rPr>
          <w:sz w:val="20"/>
          <w:szCs w:val="20"/>
          <w:color w:val="auto"/>
        </w:rPr>
      </w:pPr>
      <w:r>
        <w:rPr>
          <w:rFonts w:ascii="Times New Roman" w:cs="Times New Roman" w:eastAsia="Times New Roman" w:hAnsi="Times New Roman"/>
          <w:sz w:val="16"/>
          <w:szCs w:val="16"/>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227"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7"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The communication of this prospectus supplement and the accompanying base prospectus and any other document or materials relating to the issue of the notes offered hereby is not being made, and such documents and/or materials have not been approved, by an authorized person for the purposes of Section 21 of the UK's Financial Services and Markets Act 2000, as amended (the "FSMA"). Accordingly, such documents and/or materials are not being distributed to, and must not be passed on to, the general public in the UK. In the United Kingdom, this prospectus supplement and the accompanying base prospectus are being distributed only to, and are directed only at, and any offer subsequently made may only be directed at persons who are non-retail investors (being persons who are not retail investors as described above) (i) who have professional experience in matters relating to investments falling within Article 19 (5) of the Financial Services and Markets Act 2000 (Financial Promotion) Order 2005, as amended (the "Order") and/or (ii) who are high net worth bodies corporate, unincorporated associations or partnerships or trustees of high value trusts falling within Article 49(2)(a) to (d) of the Order (all such persons together being referred to as "relevant persons"). This prospectus supplement and accompanying base prospectus must not be acted on or relied on in the United Kingdom by persons who are not relevant persons. In the United Kingdom, any investment or investment activity to which this prospectus supplement and the accompanying base prospectus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relate is only available to, and will be engaged in with, relevant persons. Any invitation or inducement to engage in investment activity (within the meaning of Section 21 of the FSMA) in connection with the issue or sale of the notes may only be communicated or caused to be communicated in circumstances in which Section 21(1) of the FSMA does not apply to us or NuStar Energy L.P.</w:t>
      </w:r>
    </w:p>
    <w:p>
      <w:pPr>
        <w:spacing w:after="0" w:line="186"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notes in, from or otherwise involving the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840" w:firstLine="351"/>
        <w:spacing w:after="0" w:line="275"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6" w:lineRule="auto"/>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The consolidated financial statements of Waste Management, Inc. appearing in Waste Management, Inc.'s </w:t>
        </w:r>
        <w:r>
          <w:rPr>
            <w:rFonts w:ascii="Times New Roman" w:cs="Times New Roman" w:eastAsia="Times New Roman" w:hAnsi="Times New Roman"/>
            <w:sz w:val="18"/>
            <w:szCs w:val="18"/>
            <w:u w:val="single" w:color="auto"/>
            <w:color w:val="0000EE"/>
          </w:rPr>
          <w:t>Annual Report (Form 10-K) for the year ended</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December 31,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the effectiveness of Waste Management, Inc.'s internal control over financial reporting as of December 31, 2019, have been audited </w:t>
        </w:r>
      </w:hyperlink>
      <w:r>
        <w:rPr>
          <w:rFonts w:ascii="Times New Roman" w:cs="Times New Roman" w:eastAsia="Times New Roman" w:hAnsi="Times New Roman"/>
          <w:sz w:val="18"/>
          <w:szCs w:val="18"/>
          <w:color w:val="0000EE"/>
        </w:rPr>
        <w:t xml:space="preserve">by </w:t>
      </w:r>
      <w:r>
        <w:rPr>
          <w:rFonts w:ascii="Times New Roman" w:cs="Times New Roman" w:eastAsia="Times New Roman" w:hAnsi="Times New Roman"/>
          <w:sz w:val="18"/>
          <w:szCs w:val="18"/>
          <w:color w:val="000000"/>
        </w:rPr>
        <w:t>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5"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8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5"/>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SEC Filing (Our SEC File Number is 1-12154)</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 Filed</w:t>
            </w:r>
          </w:p>
        </w:tc>
      </w:tr>
      <w:tr>
        <w:trPr>
          <w:trHeight w:val="20"/>
        </w:trPr>
        <w:tc>
          <w:tcPr>
            <w:tcW w:w="26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09"/>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Annual Report on Form 10-K for the year ended December 31, 2019</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6"/>
              </w:rPr>
            </w:pPr>
            <w:hyperlink r:id="rId27">
              <w:r>
                <w:rPr>
                  <w:rFonts w:ascii="Times New Roman" w:cs="Times New Roman" w:eastAsia="Times New Roman" w:hAnsi="Times New Roman"/>
                  <w:sz w:val="18"/>
                  <w:szCs w:val="18"/>
                  <w:u w:val="single" w:color="auto"/>
                  <w:color w:val="0000EE"/>
                  <w:w w:val="96"/>
                </w:rPr>
                <w:t>February 13,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Current Report on Form 8-K</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6"/>
              </w:rPr>
            </w:pPr>
            <w:hyperlink r:id="rId61">
              <w:r>
                <w:rPr>
                  <w:rFonts w:ascii="Times New Roman" w:cs="Times New Roman" w:eastAsia="Times New Roman" w:hAnsi="Times New Roman"/>
                  <w:sz w:val="18"/>
                  <w:szCs w:val="18"/>
                  <w:u w:val="single" w:color="auto"/>
                  <w:color w:val="0000EE"/>
                  <w:w w:val="96"/>
                </w:rPr>
                <w:t>February 25, 2020</w:t>
              </w:r>
            </w:hyperlink>
          </w:p>
        </w:tc>
      </w:tr>
      <w:tr>
        <w:trPr>
          <w:trHeight w:val="216"/>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Current Report on Form 8-K</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7"/>
              </w:rPr>
            </w:pPr>
            <w:hyperlink r:id="rId62">
              <w:r>
                <w:rPr>
                  <w:rFonts w:ascii="Times New Roman" w:cs="Times New Roman" w:eastAsia="Times New Roman" w:hAnsi="Times New Roman"/>
                  <w:sz w:val="18"/>
                  <w:szCs w:val="18"/>
                  <w:u w:val="single" w:color="auto"/>
                  <w:color w:val="0000EE"/>
                  <w:w w:val="97"/>
                </w:rPr>
                <w:t>March 18,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Current Report on Form 8-K/A</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63">
              <w:r>
                <w:rPr>
                  <w:rFonts w:ascii="Times New Roman" w:cs="Times New Roman" w:eastAsia="Times New Roman" w:hAnsi="Times New Roman"/>
                  <w:sz w:val="18"/>
                  <w:szCs w:val="18"/>
                  <w:u w:val="single" w:color="auto"/>
                  <w:color w:val="0000EE"/>
                  <w:w w:val="97"/>
                </w:rPr>
                <w:t>April 2, 2020</w:t>
              </w:r>
            </w:hyperlink>
          </w:p>
        </w:tc>
      </w:tr>
      <w:tr>
        <w:trPr>
          <w:trHeight w:val="216"/>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Current Report on Form 8-K</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7"/>
              </w:rPr>
            </w:pPr>
            <w:hyperlink r:id="rId64">
              <w:r>
                <w:rPr>
                  <w:rFonts w:ascii="Times New Roman" w:cs="Times New Roman" w:eastAsia="Times New Roman" w:hAnsi="Times New Roman"/>
                  <w:sz w:val="18"/>
                  <w:szCs w:val="18"/>
                  <w:u w:val="single" w:color="auto"/>
                  <w:color w:val="0000EE"/>
                  <w:w w:val="97"/>
                </w:rPr>
                <w:t>May 15,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Current Report on Form 8-K</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65">
              <w:r>
                <w:rPr>
                  <w:rFonts w:ascii="Times New Roman" w:cs="Times New Roman" w:eastAsia="Times New Roman" w:hAnsi="Times New Roman"/>
                  <w:sz w:val="18"/>
                  <w:szCs w:val="18"/>
                  <w:u w:val="single" w:color="auto"/>
                  <w:color w:val="0000EE"/>
                  <w:w w:val="97"/>
                </w:rPr>
                <w:t>June 24, 2020</w:t>
              </w:r>
            </w:hyperlink>
          </w:p>
        </w:tc>
      </w:tr>
      <w:tr>
        <w:trPr>
          <w:trHeight w:val="216"/>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Current Report on Form 8-K</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8"/>
              </w:rPr>
            </w:pPr>
            <w:hyperlink r:id="rId66">
              <w:r>
                <w:rPr>
                  <w:rFonts w:ascii="Times New Roman" w:cs="Times New Roman" w:eastAsia="Times New Roman" w:hAnsi="Times New Roman"/>
                  <w:sz w:val="18"/>
                  <w:szCs w:val="18"/>
                  <w:u w:val="single" w:color="auto"/>
                  <w:color w:val="0000EE"/>
                  <w:w w:val="98"/>
                </w:rPr>
                <w:t>July 15,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67">
              <w:r>
                <w:rPr>
                  <w:rFonts w:ascii="Times New Roman" w:cs="Times New Roman" w:eastAsia="Times New Roman" w:hAnsi="Times New Roman"/>
                  <w:sz w:val="18"/>
                  <w:szCs w:val="18"/>
                  <w:u w:val="single" w:color="auto"/>
                  <w:color w:val="0000EE"/>
                </w:rPr>
                <w:t>Current Report on Form 8-K</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67">
              <w:r>
                <w:rPr>
                  <w:rFonts w:ascii="Times New Roman" w:cs="Times New Roman" w:eastAsia="Times New Roman" w:hAnsi="Times New Roman"/>
                  <w:sz w:val="18"/>
                  <w:szCs w:val="18"/>
                  <w:u w:val="single" w:color="auto"/>
                  <w:color w:val="0000EE"/>
                  <w:w w:val="98"/>
                </w:rPr>
                <w:t>July 30, 2020</w:t>
              </w:r>
            </w:hyperlink>
          </w:p>
        </w:tc>
      </w:tr>
      <w:tr>
        <w:trPr>
          <w:trHeight w:val="216"/>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Current Report on Form 8-K</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6"/>
              </w:rPr>
            </w:pPr>
            <w:hyperlink r:id="rId68">
              <w:r>
                <w:rPr>
                  <w:rFonts w:ascii="Times New Roman" w:cs="Times New Roman" w:eastAsia="Times New Roman" w:hAnsi="Times New Roman"/>
                  <w:sz w:val="18"/>
                  <w:szCs w:val="18"/>
                  <w:u w:val="single" w:color="auto"/>
                  <w:color w:val="0000EE"/>
                  <w:w w:val="96"/>
                </w:rPr>
                <w:t>September 25,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Current Report on Form 8-K</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69">
              <w:r>
                <w:rPr>
                  <w:rFonts w:ascii="Times New Roman" w:cs="Times New Roman" w:eastAsia="Times New Roman" w:hAnsi="Times New Roman"/>
                  <w:sz w:val="18"/>
                  <w:szCs w:val="18"/>
                  <w:u w:val="single" w:color="auto"/>
                  <w:color w:val="0000EE"/>
                  <w:w w:val="97"/>
                </w:rPr>
                <w:t>October 30, 2020</w:t>
              </w:r>
            </w:hyperlink>
          </w:p>
        </w:tc>
      </w:tr>
      <w:tr>
        <w:trPr>
          <w:trHeight w:val="216"/>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Current Report on Form 8-K</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8"/>
              </w:rPr>
            </w:pPr>
            <w:hyperlink r:id="rId70">
              <w:r>
                <w:rPr>
                  <w:rFonts w:ascii="Times New Roman" w:cs="Times New Roman" w:eastAsia="Times New Roman" w:hAnsi="Times New Roman"/>
                  <w:sz w:val="18"/>
                  <w:szCs w:val="18"/>
                  <w:u w:val="single" w:color="auto"/>
                  <w:color w:val="0000EE"/>
                  <w:w w:val="98"/>
                </w:rPr>
                <w:t>November 3,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Quarterly Report on Form 10-Q for the period ended March 31, 2020</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6"/>
              </w:rPr>
            </w:pPr>
            <w:hyperlink r:id="rId28">
              <w:r>
                <w:rPr>
                  <w:rFonts w:ascii="Times New Roman" w:cs="Times New Roman" w:eastAsia="Times New Roman" w:hAnsi="Times New Roman"/>
                  <w:sz w:val="18"/>
                  <w:szCs w:val="18"/>
                  <w:u w:val="single" w:color="auto"/>
                  <w:color w:val="0000EE"/>
                  <w:w w:val="96"/>
                </w:rPr>
                <w:t>May 6, 2020</w:t>
              </w:r>
            </w:hyperlink>
          </w:p>
        </w:tc>
      </w:tr>
      <w:tr>
        <w:trPr>
          <w:trHeight w:val="216"/>
        </w:trPr>
        <w:tc>
          <w:tcPr>
            <w:tcW w:w="748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Quarterly Report on Form 10-Q for the period ended June 30, 2020</w:t>
              </w:r>
            </w:hyperlink>
          </w:p>
        </w:tc>
        <w:tc>
          <w:tcPr>
            <w:tcW w:w="15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8"/>
              </w:rPr>
            </w:pPr>
            <w:hyperlink r:id="rId29">
              <w:r>
                <w:rPr>
                  <w:rFonts w:ascii="Times New Roman" w:cs="Times New Roman" w:eastAsia="Times New Roman" w:hAnsi="Times New Roman"/>
                  <w:sz w:val="18"/>
                  <w:szCs w:val="18"/>
                  <w:u w:val="single" w:color="auto"/>
                  <w:color w:val="0000EE"/>
                  <w:w w:val="98"/>
                </w:rPr>
                <w:t>July 30, 2020</w:t>
              </w:r>
            </w:hyperlink>
          </w:p>
        </w:tc>
      </w:tr>
      <w:tr>
        <w:trPr>
          <w:trHeight w:val="216"/>
        </w:trPr>
        <w:tc>
          <w:tcPr>
            <w:tcW w:w="7480" w:type="dxa"/>
            <w:vAlign w:val="bottom"/>
            <w:gridSpan w:val="2"/>
          </w:tcPr>
          <w:p>
            <w:pPr>
              <w:ind w:left="20"/>
              <w:spacing w:after="0"/>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Quarterly Report on Form 10-Q for the period ended September 30, 2020</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71">
              <w:r>
                <w:rPr>
                  <w:rFonts w:ascii="Times New Roman" w:cs="Times New Roman" w:eastAsia="Times New Roman" w:hAnsi="Times New Roman"/>
                  <w:sz w:val="18"/>
                  <w:szCs w:val="18"/>
                  <w:u w:val="single" w:color="auto"/>
                  <w:color w:val="0000EE"/>
                  <w:w w:val="98"/>
                </w:rPr>
                <w:t>November 2, 2020</w:t>
              </w:r>
            </w:hyperlink>
          </w:p>
        </w:tc>
      </w:tr>
      <w:tr>
        <w:trPr>
          <w:trHeight w:val="202"/>
        </w:trPr>
        <w:tc>
          <w:tcPr>
            <w:tcW w:w="7480" w:type="dxa"/>
            <w:vAlign w:val="bottom"/>
            <w:gridSpan w:val="2"/>
            <w:shd w:val="clear" w:color="auto" w:fill="CCEEFF"/>
          </w:tcPr>
          <w:p>
            <w:pPr>
              <w:ind w:left="20"/>
              <w:spacing w:after="0" w:line="201"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72">
              <w:r>
                <w:rPr>
                  <w:rFonts w:ascii="Times New Roman" w:cs="Times New Roman" w:eastAsia="Times New Roman" w:hAnsi="Times New Roman"/>
                  <w:sz w:val="18"/>
                  <w:szCs w:val="18"/>
                  <w:u w:val="single" w:color="auto"/>
                  <w:color w:val="0000EE"/>
                </w:rPr>
                <w:t>proxy statement for our 2020 annual meeting of stockholders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w:t>
            </w:r>
          </w:p>
        </w:tc>
        <w:tc>
          <w:tcPr>
            <w:tcW w:w="1500" w:type="dxa"/>
            <w:vAlign w:val="bottom"/>
            <w:shd w:val="clear" w:color="auto" w:fill="CCEEFF"/>
          </w:tcPr>
          <w:p>
            <w:pPr>
              <w:spacing w:after="0"/>
              <w:rPr>
                <w:sz w:val="17"/>
                <w:szCs w:val="17"/>
                <w:color w:val="auto"/>
              </w:rPr>
            </w:pPr>
          </w:p>
        </w:tc>
      </w:tr>
      <w:tr>
        <w:trPr>
          <w:trHeight w:val="230"/>
        </w:trPr>
        <w:tc>
          <w:tcPr>
            <w:tcW w:w="7480" w:type="dxa"/>
            <w:vAlign w:val="bottom"/>
            <w:gridSpan w:val="2"/>
            <w:shd w:val="clear" w:color="auto" w:fill="CCEEFF"/>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in </w:t>
            </w:r>
            <w:hyperlink r:id="rId27">
              <w:r>
                <w:rPr>
                  <w:rFonts w:ascii="Times New Roman" w:cs="Times New Roman" w:eastAsia="Times New Roman" w:hAnsi="Times New Roman"/>
                  <w:sz w:val="18"/>
                  <w:szCs w:val="18"/>
                  <w:u w:val="single" w:color="auto"/>
                  <w:color w:val="0000EE"/>
                </w:rPr>
                <w:t>our Annual Report on Form 10-K for the year ended December 31, 2019</w:t>
              </w:r>
            </w:hyperlink>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27, 2020</w:t>
            </w:r>
          </w:p>
        </w:tc>
      </w:tr>
    </w:tbl>
    <w:p>
      <w:pPr>
        <w:spacing w:after="0" w:line="202" w:lineRule="exact"/>
        <w:rPr>
          <w:sz w:val="20"/>
          <w:szCs w:val="20"/>
          <w:color w:val="auto"/>
        </w:rPr>
      </w:pPr>
    </w:p>
    <w:p>
      <w:pPr>
        <w:ind w:right="240" w:firstLine="348"/>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92" w:lineRule="exact"/>
        <w:rPr>
          <w:sz w:val="20"/>
          <w:szCs w:val="20"/>
          <w:color w:val="auto"/>
        </w:rPr>
      </w:pPr>
    </w:p>
    <w:p>
      <w:pPr>
        <w:jc w:val="both"/>
        <w:ind w:firstLine="344"/>
        <w:spacing w:after="0" w:line="262"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713-512-6200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www.wm.com</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153035</wp:posOffset>
            </wp:positionV>
            <wp:extent cx="2597150" cy="960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259715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GUARANTEES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UNITS</w:t>
      </w:r>
    </w:p>
    <w:p>
      <w:pPr>
        <w:spacing w:after="0" w:line="210"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74"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206" w:lineRule="exact"/>
        <w:rPr>
          <w:sz w:val="20"/>
          <w:szCs w:val="20"/>
          <w:color w:val="auto"/>
        </w:rPr>
      </w:pPr>
    </w:p>
    <w:p>
      <w:pPr>
        <w:jc w:val="both"/>
        <w:ind w:firstLine="351"/>
        <w:spacing w:after="0" w:line="247"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181"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6580" w:type="dxa"/>
            <w:vAlign w:val="bottom"/>
          </w:tcPr>
          <w:p>
            <w:pPr>
              <w:jc w:val="right"/>
              <w:ind w:right="4612"/>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r>
      <w:tr>
        <w:trPr>
          <w:trHeight w:val="420"/>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Forward-Looking Statements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1</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this Prospectus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4</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w w:val="96"/>
              </w:rPr>
            </w:pPr>
            <w:hyperlink w:anchor="page48">
              <w:r>
                <w:rPr>
                  <w:rFonts w:ascii="Times New Roman" w:cs="Times New Roman" w:eastAsia="Times New Roman" w:hAnsi="Times New Roman"/>
                  <w:sz w:val="18"/>
                  <w:szCs w:val="18"/>
                  <w:u w:val="single" w:color="auto"/>
                  <w:color w:val="0000EE"/>
                  <w:w w:val="96"/>
                </w:rPr>
                <w:t>Incorporation of Certain Documents by Reference</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5</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Where You Can Find More Information</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The Company</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Risk Factors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Use of Proceeds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6</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Description of Debt Securities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7</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Description of Guarantees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15</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Description of Capital Stock</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17</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Description of Other Securities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18</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Plan of Distribution</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19</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Selling Securityholders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w:t>
              </w:r>
            </w:hyperlink>
          </w:p>
        </w:tc>
      </w:tr>
      <w:tr>
        <w:trPr>
          <w:trHeight w:val="216"/>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Legal Matters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w:t>
              </w:r>
            </w:hyperlink>
          </w:p>
        </w:tc>
      </w:tr>
      <w:tr>
        <w:trPr>
          <w:trHeight w:val="228"/>
        </w:trPr>
        <w:tc>
          <w:tcPr>
            <w:tcW w:w="4660" w:type="dxa"/>
            <w:vAlign w:val="bottom"/>
          </w:tcPr>
          <w:p>
            <w:pPr>
              <w:ind w:left="114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Experts</w:t>
              </w:r>
            </w:hyperlink>
          </w:p>
        </w:tc>
        <w:tc>
          <w:tcPr>
            <w:tcW w:w="6580" w:type="dxa"/>
            <w:vAlign w:val="bottom"/>
          </w:tcPr>
          <w:p>
            <w:pPr>
              <w:jc w:val="right"/>
              <w:ind w:right="1032"/>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20</w:t>
              </w:r>
            </w:hyperlink>
          </w:p>
        </w:tc>
      </w:tr>
      <w:tr>
        <w:trPr>
          <w:trHeight w:val="120"/>
        </w:trPr>
        <w:tc>
          <w:tcPr>
            <w:tcW w:w="4660" w:type="dxa"/>
            <w:vAlign w:val="bottom"/>
            <w:tcBorders>
              <w:bottom w:val="single" w:sz="8" w:color="808080"/>
            </w:tcBorders>
          </w:tcPr>
          <w:p>
            <w:pPr>
              <w:spacing w:after="0"/>
              <w:rPr>
                <w:sz w:val="10"/>
                <w:szCs w:val="10"/>
                <w:color w:val="auto"/>
              </w:rPr>
            </w:pPr>
          </w:p>
        </w:tc>
        <w:tc>
          <w:tcPr>
            <w:tcW w:w="6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9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208" w:lineRule="exact"/>
        <w:rPr>
          <w:sz w:val="20"/>
          <w:szCs w:val="20"/>
          <w:color w:val="auto"/>
        </w:rPr>
      </w:pPr>
    </w:p>
    <w:p>
      <w:pPr>
        <w:ind w:left="1080" w:right="280" w:hanging="532"/>
        <w:spacing w:after="0" w:line="26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213"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203"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199"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213"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187"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199" w:lineRule="exact"/>
        <w:rPr>
          <w:rFonts w:ascii="Times New Roman" w:cs="Times New Roman" w:eastAsia="Times New Roman" w:hAnsi="Times New Roman"/>
          <w:sz w:val="18"/>
          <w:szCs w:val="18"/>
          <w:color w:val="auto"/>
        </w:rPr>
      </w:pPr>
    </w:p>
    <w:p>
      <w:pPr>
        <w:ind w:left="1080" w:right="46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213"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oil and gas prices and drilling activity, and changes in applicable regulations, could adversely affect our energy and environmental services organization;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regulatory framework related to renewable fuel standards could affect our financial performance as a renewable fuel producer;</w:t>
      </w:r>
    </w:p>
    <w:p>
      <w:pPr>
        <w:spacing w:after="0" w:line="261" w:lineRule="exact"/>
        <w:rPr>
          <w:rFonts w:ascii="Times New Roman" w:cs="Times New Roman" w:eastAsia="Times New Roman" w:hAnsi="Times New Roman"/>
          <w:sz w:val="16"/>
          <w:szCs w:val="16"/>
          <w:color w:val="auto"/>
        </w:rPr>
      </w:pPr>
    </w:p>
    <w:p>
      <w:pPr>
        <w:ind w:left="1080" w:right="14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13"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187"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213"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99" w:lineRule="exact"/>
        <w:rPr>
          <w:rFonts w:ascii="Times New Roman" w:cs="Times New Roman" w:eastAsia="Times New Roman" w:hAnsi="Times New Roman"/>
          <w:sz w:val="18"/>
          <w:szCs w:val="18"/>
          <w:color w:val="auto"/>
        </w:rPr>
      </w:pPr>
    </w:p>
    <w:p>
      <w:pPr>
        <w:ind w:left="1080" w:right="30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199"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negatively affect the volumes of waste generated and demand for post-consumer fiber and metals processed by our recycling operations;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339" w:lineRule="auto"/>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155" w:lineRule="exact"/>
        <w:rPr>
          <w:rFonts w:ascii="Times New Roman" w:cs="Times New Roman" w:eastAsia="Times New Roman" w:hAnsi="Times New Roman"/>
          <w:sz w:val="16"/>
          <w:szCs w:val="16"/>
          <w:color w:val="auto"/>
        </w:rPr>
      </w:pPr>
    </w:p>
    <w:p>
      <w:pPr>
        <w:ind w:left="1080" w:right="24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required permits or to expand existing permitted capacity of our landfills, which could decrease our revenue and increase our costs;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 fuel price increases or diesel fuel supply shortages may increase our expenses and restrict our ability to operate;</w:t>
      </w:r>
    </w:p>
    <w:p>
      <w:pPr>
        <w:spacing w:after="0" w:line="238"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200"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187" w:lineRule="exact"/>
        <w:rPr>
          <w:rFonts w:ascii="Times New Roman" w:cs="Times New Roman" w:eastAsia="Times New Roman" w:hAnsi="Times New Roman"/>
          <w:sz w:val="18"/>
          <w:szCs w:val="18"/>
          <w:color w:val="auto"/>
        </w:rPr>
      </w:pPr>
    </w:p>
    <w:p>
      <w:pPr>
        <w:ind w:left="1080" w:right="20" w:hanging="532"/>
        <w:spacing w:after="0" w:line="310" w:lineRule="auto"/>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pacing w:after="0" w:line="164" w:lineRule="exact"/>
        <w:rPr>
          <w:rFonts w:ascii="Times New Roman" w:cs="Times New Roman" w:eastAsia="Times New Roman" w:hAnsi="Times New Roman"/>
          <w:sz w:val="16"/>
          <w:szCs w:val="16"/>
          <w:color w:val="auto"/>
        </w:rPr>
      </w:pPr>
    </w:p>
    <w:p>
      <w:pPr>
        <w:jc w:val="both"/>
        <w:ind w:left="1080" w:right="320" w:hanging="532"/>
        <w:spacing w:after="0" w:line="26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238"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205"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200"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as a result of shut-down operations, uncompleted development or expansion projects or other events may negatively affect earnings;</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187" w:lineRule="exact"/>
        <w:rPr>
          <w:rFonts w:ascii="Times New Roman" w:cs="Times New Roman" w:eastAsia="Times New Roman" w:hAnsi="Times New Roman"/>
          <w:sz w:val="18"/>
          <w:szCs w:val="18"/>
          <w:color w:val="auto"/>
        </w:rPr>
      </w:pPr>
    </w:p>
    <w:p>
      <w:pPr>
        <w:ind w:left="1080" w:right="280" w:hanging="532"/>
        <w:spacing w:after="0" w:line="339" w:lineRule="auto"/>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55" w:lineRule="exact"/>
        <w:rPr>
          <w:rFonts w:ascii="Times New Roman" w:cs="Times New Roman" w:eastAsia="Times New Roman" w:hAnsi="Times New Roman"/>
          <w:sz w:val="16"/>
          <w:szCs w:val="16"/>
          <w:color w:val="auto"/>
        </w:rPr>
      </w:pPr>
    </w:p>
    <w:p>
      <w:pPr>
        <w:ind w:left="1080" w:right="62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including possible limits on carbon emissions, may negatively impact our results of operations by increasing expenses;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200"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96" w:lineRule="auto"/>
        <w:tabs>
          <w:tab w:leader="none" w:pos="10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174" w:lineRule="exact"/>
        <w:rPr>
          <w:rFonts w:ascii="Times New Roman" w:cs="Times New Roman" w:eastAsia="Times New Roman" w:hAnsi="Times New Roman"/>
          <w:sz w:val="16"/>
          <w:szCs w:val="16"/>
          <w:color w:val="auto"/>
        </w:rPr>
      </w:pPr>
    </w:p>
    <w:p>
      <w:pPr>
        <w:ind w:left="1080" w:right="46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accounting standards or interpretations may cause fluctuations in reported quarterly results of operations or adversely impact our reported results of operations.</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or developments after the date of this prospectus.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252"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225"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13"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238" w:lineRule="exact"/>
        <w:rPr>
          <w:rFonts w:ascii="Times New Roman" w:cs="Times New Roman" w:eastAsia="Times New Roman" w:hAnsi="Times New Roman"/>
          <w:sz w:val="18"/>
          <w:szCs w:val="18"/>
          <w:color w:val="auto"/>
        </w:rPr>
      </w:pPr>
    </w:p>
    <w:p>
      <w:pPr>
        <w:jc w:val="center"/>
        <w:ind w:left="5580" w:right="1500" w:hanging="5032"/>
        <w:spacing w:after="0" w:line="525" w:lineRule="auto"/>
        <w:tabs>
          <w:tab w:leader="none" w:pos="10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90"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86"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SEC Filing (Our SEC File Number is 1-12154)</w:t>
            </w:r>
          </w:p>
        </w:tc>
        <w:tc>
          <w:tcPr>
            <w:tcW w:w="7160" w:type="dxa"/>
            <w:vAlign w:val="bottom"/>
            <w:gridSpan w:val="3"/>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 Filed</w:t>
            </w:r>
          </w:p>
        </w:tc>
      </w:tr>
      <w:tr>
        <w:trPr>
          <w:trHeight w:val="209"/>
        </w:trPr>
        <w:tc>
          <w:tcPr>
            <w:tcW w:w="984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Annual Report on Form 10-K for the year ended December 31, 2018</w:t>
              </w:r>
            </w:hyperlink>
          </w:p>
        </w:tc>
        <w:tc>
          <w:tcPr>
            <w:tcW w:w="14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8"/>
              </w:rPr>
            </w:pPr>
            <w:hyperlink r:id="rId82">
              <w:r>
                <w:rPr>
                  <w:rFonts w:ascii="Times New Roman" w:cs="Times New Roman" w:eastAsia="Times New Roman" w:hAnsi="Times New Roman"/>
                  <w:sz w:val="18"/>
                  <w:szCs w:val="18"/>
                  <w:u w:val="single" w:color="auto"/>
                  <w:color w:val="0000EE"/>
                  <w:w w:val="98"/>
                </w:rPr>
                <w:t>February 14, 2019</w:t>
              </w:r>
            </w:hyperlink>
          </w:p>
        </w:tc>
      </w:tr>
      <w:tr>
        <w:trPr>
          <w:trHeight w:val="216"/>
        </w:trPr>
        <w:tc>
          <w:tcPr>
            <w:tcW w:w="9840" w:type="dxa"/>
            <w:vAlign w:val="bottom"/>
            <w:gridSpan w:val="5"/>
          </w:tcPr>
          <w:p>
            <w:pPr>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Quarterly Report on Form 10-Q for the quarter ended March 31, 2019</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EE"/>
                <w:w w:val="96"/>
              </w:rPr>
            </w:pPr>
            <w:hyperlink r:id="rId83">
              <w:r>
                <w:rPr>
                  <w:rFonts w:ascii="Times New Roman" w:cs="Times New Roman" w:eastAsia="Times New Roman" w:hAnsi="Times New Roman"/>
                  <w:sz w:val="18"/>
                  <w:szCs w:val="18"/>
                  <w:u w:val="single" w:color="auto"/>
                  <w:color w:val="0000EE"/>
                  <w:w w:val="96"/>
                </w:rPr>
                <w:t>April 25, 2019</w:t>
              </w:r>
            </w:hyperlink>
          </w:p>
        </w:tc>
      </w:tr>
      <w:tr>
        <w:trPr>
          <w:trHeight w:val="216"/>
        </w:trPr>
        <w:tc>
          <w:tcPr>
            <w:tcW w:w="984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Current Report on Form 8-K</w:t>
              </w:r>
            </w:hyperlink>
          </w:p>
        </w:tc>
        <w:tc>
          <w:tcPr>
            <w:tcW w:w="140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8"/>
              </w:rPr>
            </w:pPr>
            <w:hyperlink r:id="rId84">
              <w:r>
                <w:rPr>
                  <w:rFonts w:ascii="Times New Roman" w:cs="Times New Roman" w:eastAsia="Times New Roman" w:hAnsi="Times New Roman"/>
                  <w:sz w:val="18"/>
                  <w:szCs w:val="18"/>
                  <w:u w:val="single" w:color="auto"/>
                  <w:color w:val="0000EE"/>
                  <w:w w:val="98"/>
                </w:rPr>
                <w:t>February 25, 2019</w:t>
              </w:r>
            </w:hyperlink>
          </w:p>
        </w:tc>
      </w:tr>
      <w:tr>
        <w:trPr>
          <w:trHeight w:val="216"/>
        </w:trPr>
        <w:tc>
          <w:tcPr>
            <w:tcW w:w="9840" w:type="dxa"/>
            <w:vAlign w:val="bottom"/>
            <w:gridSpan w:val="5"/>
          </w:tcPr>
          <w:p>
            <w:pPr>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Current Report on Form 8-K</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EE"/>
                <w:w w:val="96"/>
              </w:rPr>
            </w:pPr>
            <w:hyperlink r:id="rId85">
              <w:r>
                <w:rPr>
                  <w:rFonts w:ascii="Times New Roman" w:cs="Times New Roman" w:eastAsia="Times New Roman" w:hAnsi="Times New Roman"/>
                  <w:sz w:val="18"/>
                  <w:szCs w:val="18"/>
                  <w:u w:val="single" w:color="auto"/>
                  <w:color w:val="0000EE"/>
                  <w:w w:val="96"/>
                </w:rPr>
                <w:t>April 15, 2019</w:t>
              </w:r>
            </w:hyperlink>
          </w:p>
        </w:tc>
      </w:tr>
      <w:tr>
        <w:trPr>
          <w:trHeight w:val="175"/>
        </w:trPr>
        <w:tc>
          <w:tcPr>
            <w:tcW w:w="98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The portions of our proxy statement for our 2019 annual meeting of stockholders incorporated by reference in our Annual Report on</w:t>
              </w:r>
            </w:hyperlink>
          </w:p>
        </w:tc>
        <w:tc>
          <w:tcPr>
            <w:tcW w:w="14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354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Form 10-K for the year ended December 31, 2018</w:t>
              </w:r>
            </w:hyperlink>
          </w:p>
        </w:tc>
        <w:tc>
          <w:tcPr>
            <w:tcW w:w="5580" w:type="dxa"/>
            <w:vAlign w:val="bottom"/>
            <w:tcBorders>
              <w:top w:val="single" w:sz="8" w:color="0000EE"/>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jc w:val="center"/>
              <w:spacing w:after="0" w:line="196" w:lineRule="exact"/>
              <w:rPr>
                <w:rFonts w:ascii="Times New Roman" w:cs="Times New Roman" w:eastAsia="Times New Roman" w:hAnsi="Times New Roman"/>
                <w:sz w:val="18"/>
                <w:szCs w:val="18"/>
                <w:u w:val="single" w:color="auto"/>
                <w:color w:val="0000EE"/>
                <w:w w:val="97"/>
              </w:rPr>
            </w:pPr>
            <w:hyperlink r:id="rId86">
              <w:r>
                <w:rPr>
                  <w:rFonts w:ascii="Times New Roman" w:cs="Times New Roman" w:eastAsia="Times New Roman" w:hAnsi="Times New Roman"/>
                  <w:sz w:val="18"/>
                  <w:szCs w:val="18"/>
                  <w:u w:val="single" w:color="auto"/>
                  <w:color w:val="0000EE"/>
                  <w:w w:val="97"/>
                </w:rPr>
                <w:t>March 27, 2019</w:t>
              </w:r>
            </w:hyperlink>
          </w:p>
        </w:tc>
      </w:tr>
      <w:tr>
        <w:trPr>
          <w:trHeight w:val="228"/>
        </w:trPr>
        <w:tc>
          <w:tcPr>
            <w:tcW w:w="9840" w:type="dxa"/>
            <w:vAlign w:val="bottom"/>
            <w:gridSpan w:val="5"/>
          </w:tcPr>
          <w:p>
            <w:pPr>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Description of our Common Stock on Form 8-B, as we may update that description from time to time</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87">
              <w:r>
                <w:rPr>
                  <w:rFonts w:ascii="Times New Roman" w:cs="Times New Roman" w:eastAsia="Times New Roman" w:hAnsi="Times New Roman"/>
                  <w:sz w:val="18"/>
                  <w:szCs w:val="18"/>
                  <w:u w:val="single" w:color="auto"/>
                  <w:color w:val="0000EE"/>
                  <w:w w:val="98"/>
                </w:rPr>
                <w:t>July 13, 1995</w:t>
              </w:r>
            </w:hyperlink>
          </w:p>
        </w:tc>
      </w:tr>
    </w:tbl>
    <w:p>
      <w:pPr>
        <w:spacing w:after="0" w:line="189" w:lineRule="exact"/>
        <w:rPr>
          <w:sz w:val="20"/>
          <w:szCs w:val="20"/>
          <w:color w:val="auto"/>
        </w:rPr>
      </w:pPr>
    </w:p>
    <w:p>
      <w:pPr>
        <w:ind w:right="200" w:firstLine="348"/>
        <w:spacing w:after="0" w:line="296" w:lineRule="auto"/>
        <w:rPr>
          <w:sz w:val="20"/>
          <w:szCs w:val="20"/>
          <w:color w:val="auto"/>
        </w:rPr>
      </w:pPr>
      <w:r>
        <w:rPr>
          <w:rFonts w:ascii="Times New Roman" w:cs="Times New Roman" w:eastAsia="Times New Roman" w:hAnsi="Times New Roman"/>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61" w:lineRule="exact"/>
        <w:rPr>
          <w:sz w:val="20"/>
          <w:szCs w:val="20"/>
          <w:color w:val="auto"/>
        </w:rPr>
      </w:pPr>
    </w:p>
    <w:p>
      <w:pPr>
        <w:ind w:right="60" w:firstLine="344"/>
        <w:spacing w:after="0" w:line="275"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the SEC or the SEC's internet site as described below. Documents incorporated by reference are available without charge by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 xml:space="preserve">requesting them in writing or by telephone using the contact information below and may be accessed through the Investor Relations section of </w:t>
      </w:r>
      <w:r>
        <w:rPr>
          <w:rFonts w:ascii="Times New Roman" w:cs="Times New Roman" w:eastAsia="Times New Roman" w:hAnsi="Times New Roman"/>
          <w:sz w:val="16"/>
          <w:szCs w:val="16"/>
          <w:i w:val="1"/>
          <w:iCs w:val="1"/>
          <w:color w:val="auto"/>
        </w:rPr>
        <w:t>www.wm.com.</w:t>
      </w: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1001 Fannin Street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713-512-6200</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92"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1001 Fannin Street, Houston, Texas 77002 and our telephone number is (713) 512-6200. Our internet address is </w:t>
      </w:r>
      <w:r>
        <w:rPr>
          <w:rFonts w:ascii="Times New Roman" w:cs="Times New Roman" w:eastAsia="Times New Roman" w:hAnsi="Times New Roman"/>
          <w:sz w:val="18"/>
          <w:szCs w:val="18"/>
          <w:i w:val="1"/>
          <w:iCs w:val="1"/>
          <w:color w:val="auto"/>
        </w:rPr>
        <w:t>www.wm.com.</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227"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92"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225"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 indenture, and neither limits the amount of other unsecured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 terms relating to the offering. These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include some or all of the following:</w:t>
      </w:r>
    </w:p>
    <w:p>
      <w:pPr>
        <w:spacing w:after="0" w:line="186"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(or the method of calculating the interest rate, if applicable), the date from which interest will accrue, interest payment dates and record dates for interest payments;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principal amount of debt securities that will be payable if the maturity is accelerated, if other than the entire principal amount;</w:t>
      </w:r>
    </w:p>
    <w:p>
      <w:pPr>
        <w:spacing w:after="0" w:line="275" w:lineRule="exact"/>
        <w:rPr>
          <w:rFonts w:ascii="Times New Roman" w:cs="Times New Roman" w:eastAsia="Times New Roman" w:hAnsi="Times New Roman"/>
          <w:sz w:val="16"/>
          <w:szCs w:val="16"/>
          <w:color w:val="auto"/>
        </w:rPr>
      </w:pPr>
    </w:p>
    <w:p>
      <w:pPr>
        <w:ind w:left="1080" w:right="26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or any other entity;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225"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4"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 of Waste Management into another person,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conveyance, transfer or lease of our properties and assets substantially as an entirety to another person unless:</w:t>
      </w:r>
    </w:p>
    <w:p>
      <w:pPr>
        <w:spacing w:after="0" w:line="199" w:lineRule="exact"/>
        <w:rPr>
          <w:sz w:val="20"/>
          <w:szCs w:val="20"/>
          <w:color w:val="auto"/>
        </w:rPr>
      </w:pPr>
    </w:p>
    <w:p>
      <w:pPr>
        <w:ind w:left="1080" w:right="60" w:hanging="532"/>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199"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174"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72"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 events of default with respect to a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debt securities:</w:t>
      </w:r>
    </w:p>
    <w:p>
      <w:pPr>
        <w:spacing w:after="0" w:line="186"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amount of the outstanding debt securities issued under that indenture that are affected by that failure;</w:t>
      </w:r>
    </w:p>
    <w:p>
      <w:pPr>
        <w:spacing w:after="0" w:line="23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13"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172" w:lineRule="exact"/>
        <w:rPr>
          <w:sz w:val="20"/>
          <w:szCs w:val="20"/>
          <w:color w:val="auto"/>
        </w:rPr>
      </w:pPr>
    </w:p>
    <w:p>
      <w:pPr>
        <w:ind w:right="180" w:firstLine="351"/>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Modification and Waiver. </w:t>
      </w:r>
      <w:r>
        <w:rPr>
          <w:rFonts w:ascii="Times New Roman" w:cs="Times New Roman" w:eastAsia="Times New Roman" w:hAnsi="Times New Roman"/>
          <w:sz w:val="16"/>
          <w:szCs w:val="16"/>
          <w:color w:val="auto"/>
        </w:rPr>
        <w:t>Each indenture may be amended or supplemented if the majority in principal amount of the outstanding debt securities of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73"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238" w:lineRule="exact"/>
        <w:rPr>
          <w:rFonts w:ascii="Times New Roman" w:cs="Times New Roman" w:eastAsia="Times New Roman" w:hAnsi="Times New Roman"/>
          <w:sz w:val="18"/>
          <w:szCs w:val="18"/>
          <w:color w:val="auto"/>
        </w:rPr>
      </w:pPr>
    </w:p>
    <w:p>
      <w:pPr>
        <w:ind w:left="1080" w:right="70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25"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13"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223"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 the indentures. If any combination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96" w:lineRule="exact"/>
        <w:rPr>
          <w:sz w:val="20"/>
          <w:szCs w:val="20"/>
          <w:color w:val="auto"/>
        </w:rPr>
      </w:pPr>
    </w:p>
    <w:p>
      <w:pPr>
        <w:ind w:left="1080" w:right="42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200"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74"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92"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84"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6"/>
          <w:szCs w:val="16"/>
          <w:color w:val="auto"/>
        </w:rPr>
        <w:t>New York law will govern the indentures and the debt securities.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 and the subordinated indenture. The Bank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89"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86"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4"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 without interest coupons, or in bearer form,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83" w:lineRule="exact"/>
        <w:rPr>
          <w:sz w:val="20"/>
          <w:szCs w:val="20"/>
          <w:color w:val="auto"/>
        </w:rPr>
      </w:pPr>
    </w:p>
    <w:p>
      <w:pPr>
        <w:jc w:val="both"/>
        <w:ind w:right="100" w:firstLine="351"/>
        <w:spacing w:after="0" w:line="258"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0" w:lineRule="exact"/>
        <w:rPr>
          <w:sz w:val="20"/>
          <w:szCs w:val="20"/>
          <w:color w:val="auto"/>
        </w:rPr>
      </w:pPr>
    </w:p>
    <w:p>
      <w:pPr>
        <w:ind w:right="20" w:firstLine="348"/>
        <w:spacing w:after="0" w:line="310" w:lineRule="auto"/>
        <w:rPr>
          <w:sz w:val="20"/>
          <w:szCs w:val="20"/>
          <w:color w:val="auto"/>
        </w:rPr>
      </w:pPr>
      <w:r>
        <w:rPr>
          <w:rFonts w:ascii="Times New Roman" w:cs="Times New Roman" w:eastAsia="Times New Roman" w:hAnsi="Times New Roman"/>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4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172" w:lineRule="exact"/>
        <w:rPr>
          <w:sz w:val="20"/>
          <w:szCs w:val="20"/>
          <w:color w:val="auto"/>
        </w:rPr>
      </w:pPr>
    </w:p>
    <w:p>
      <w:pPr>
        <w:ind w:right="80" w:firstLine="351"/>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Payment and Paying Agents. </w:t>
      </w:r>
      <w:r>
        <w:rPr>
          <w:rFonts w:ascii="Times New Roman" w:cs="Times New Roman" w:eastAsia="Times New Roman" w:hAnsi="Times New Roman"/>
          <w:sz w:val="16"/>
          <w:szCs w:val="16"/>
          <w:color w:val="auto"/>
        </w:rPr>
        <w:t>Unless we inform you otherwise in a prospectus supplement, payments on the debt securities will be made in U.S. dollars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9"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indenture. We may at any time designate additional paying agents or rescind the designation of any paying agent or approve a change in the office through which any paying agent acts.</w:t>
      </w:r>
    </w:p>
    <w:p>
      <w:pPr>
        <w:spacing w:after="0" w:line="174"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0"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9"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 global debt securities that would be deposited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22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 and will rank equally with all of the other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92"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 holders of the senior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86" w:lineRule="exact"/>
        <w:rPr>
          <w:sz w:val="20"/>
          <w:szCs w:val="20"/>
          <w:color w:val="auto"/>
        </w:rPr>
      </w:pPr>
    </w:p>
    <w:p>
      <w:pPr>
        <w:ind w:left="1220" w:hanging="321"/>
        <w:spacing w:after="0"/>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us or a Restricted Subsidiary;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right="120" w:firstLine="359"/>
        <w:spacing w:after="0" w:line="275" w:lineRule="auto"/>
        <w:tabs>
          <w:tab w:leader="none" w:pos="12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71" w:lineRule="exact"/>
        <w:rPr>
          <w:rFonts w:ascii="Times New Roman" w:cs="Times New Roman" w:eastAsia="Times New Roman" w:hAnsi="Times New Roman"/>
          <w:sz w:val="18"/>
          <w:szCs w:val="18"/>
          <w:color w:val="auto"/>
        </w:rPr>
      </w:pPr>
    </w:p>
    <w:p>
      <w:pPr>
        <w:ind w:left="540" w:right="180" w:firstLine="359"/>
        <w:spacing w:after="0" w:line="277" w:lineRule="auto"/>
        <w:tabs>
          <w:tab w:leader="none" w:pos="12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the Company in accordance with "</w:t>
      </w:r>
      <w:r>
        <w:rPr>
          <w:rFonts w:ascii="Times New Roman" w:cs="Times New Roman" w:eastAsia="Times New Roman" w:hAnsi="Times New Roman"/>
          <w:sz w:val="18"/>
          <w:szCs w:val="18"/>
          <w:i w:val="1"/>
          <w:iCs w:val="1"/>
          <w:color w:val="auto"/>
        </w:rPr>
        <w:t>Provisions Applicable to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Indenture—Consolidation, Merger and Sale of Assets</w:t>
      </w:r>
      <w:r>
        <w:rPr>
          <w:rFonts w:ascii="Times New Roman" w:cs="Times New Roman" w:eastAsia="Times New Roman" w:hAnsi="Times New Roman"/>
          <w:sz w:val="18"/>
          <w:szCs w:val="18"/>
          <w:color w:val="auto"/>
        </w:rPr>
        <w:t>," above;</w:t>
      </w:r>
    </w:p>
    <w:p>
      <w:pPr>
        <w:spacing w:after="0" w:line="172"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252" w:lineRule="exact"/>
        <w:rPr>
          <w:rFonts w:ascii="Times New Roman" w:cs="Times New Roman" w:eastAsia="Times New Roman" w:hAnsi="Times New Roman"/>
          <w:sz w:val="18"/>
          <w:szCs w:val="18"/>
          <w:color w:val="auto"/>
        </w:rPr>
      </w:pPr>
    </w:p>
    <w:p>
      <w:pPr>
        <w:ind w:left="1620" w:right="60" w:hanging="532"/>
        <w:spacing w:after="0" w:line="262" w:lineRule="auto"/>
        <w:tabs>
          <w:tab w:leader="none" w:pos="1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86"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 faith;</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us or Restricted Subsidiaries in the ordinary course of business;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225" w:lineRule="exact"/>
        <w:rPr>
          <w:rFonts w:ascii="Times New Roman" w:cs="Times New Roman" w:eastAsia="Times New Roman" w:hAnsi="Times New Roman"/>
          <w:sz w:val="18"/>
          <w:szCs w:val="18"/>
          <w:color w:val="auto"/>
        </w:rPr>
      </w:pPr>
    </w:p>
    <w:p>
      <w:pPr>
        <w:ind w:left="540" w:firstLine="359"/>
        <w:spacing w:after="0" w:line="275" w:lineRule="auto"/>
        <w:tabs>
          <w:tab w:leader="none" w:pos="12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due to deposits to qualify us or a Restricted Subsidiary to do business, maintain self-insurance or obtain the benefit of or comply with laws;</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225"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2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4"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229"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174" w:lineRule="exact"/>
        <w:rPr>
          <w:sz w:val="20"/>
          <w:szCs w:val="20"/>
          <w:color w:val="auto"/>
        </w:rPr>
      </w:pPr>
    </w:p>
    <w:p>
      <w:pPr>
        <w:ind w:left="540" w:right="320" w:firstLine="359"/>
        <w:spacing w:after="0" w:line="262" w:lineRule="auto"/>
        <w:tabs>
          <w:tab w:leader="none" w:pos="12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86" w:lineRule="exact"/>
        <w:rPr>
          <w:rFonts w:ascii="Times New Roman" w:cs="Times New Roman" w:eastAsia="Times New Roman" w:hAnsi="Times New Roman"/>
          <w:sz w:val="18"/>
          <w:szCs w:val="18"/>
          <w:color w:val="auto"/>
        </w:rPr>
      </w:pPr>
    </w:p>
    <w:p>
      <w:pPr>
        <w:jc w:val="both"/>
        <w:ind w:left="540" w:right="60" w:firstLine="359"/>
        <w:spacing w:after="0" w:line="258" w:lineRule="auto"/>
        <w:tabs>
          <w:tab w:leader="none" w:pos="12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189" w:lineRule="exact"/>
        <w:rPr>
          <w:rFonts w:ascii="Times New Roman" w:cs="Times New Roman" w:eastAsia="Times New Roman" w:hAnsi="Times New Roman"/>
          <w:sz w:val="18"/>
          <w:szCs w:val="18"/>
          <w:color w:val="auto"/>
        </w:rPr>
      </w:pPr>
    </w:p>
    <w:p>
      <w:pPr>
        <w:ind w:left="540" w:right="240" w:firstLine="359"/>
        <w:spacing w:after="0" w:line="339" w:lineRule="auto"/>
        <w:tabs>
          <w:tab w:leader="none" w:pos="121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28" w:lineRule="exact"/>
        <w:rPr>
          <w:sz w:val="20"/>
          <w:szCs w:val="20"/>
          <w:color w:val="auto"/>
        </w:rPr>
      </w:pPr>
    </w:p>
    <w:p>
      <w:pPr>
        <w:jc w:val="both"/>
        <w:ind w:left="540" w:right="160"/>
        <w:spacing w:after="0" w:line="262"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227"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"Attributable Debt" </w:t>
      </w:r>
      <w:r>
        <w:rPr>
          <w:rFonts w:ascii="Times New Roman" w:cs="Times New Roman" w:eastAsia="Times New Roman" w:hAnsi="Times New Roman"/>
          <w:sz w:val="16"/>
          <w:szCs w:val="16"/>
          <w:color w:val="auto"/>
        </w:rPr>
        <w:t>means the present value of the rental payments during the remaining term of the lease included in the Sale/Leaseback Transaction.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 its consolidated subsidiaries less:</w:t>
      </w:r>
    </w:p>
    <w:p>
      <w:pPr>
        <w:spacing w:after="0" w:line="241" w:lineRule="exact"/>
        <w:rPr>
          <w:sz w:val="20"/>
          <w:szCs w:val="20"/>
          <w:color w:val="auto"/>
        </w:rPr>
      </w:pPr>
    </w:p>
    <w:p>
      <w:pPr>
        <w:ind w:left="1080" w:right="640" w:hanging="532"/>
        <w:spacing w:after="0" w:line="27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223"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 customarily paid, all as shown on the balance sheet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 party, (b) all items that would be included as liabilities on a balance sheet in accordance with generally accepted accounting practices as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of the date at which Indebtedness is to be determined, and (c) all indebtedness secured by a security interest in property owned or being purchased by the indebted party and all guarantees of Indebtedness.</w:t>
      </w:r>
    </w:p>
    <w:p>
      <w:pPr>
        <w:spacing w:after="0" w:line="172"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 facility located within the United States or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 less than all of the outstanding voting stock)</w:t>
      </w:r>
    </w:p>
    <w:p>
      <w:pPr>
        <w:spacing w:after="0" w:line="23" w:lineRule="exact"/>
        <w:rPr>
          <w:sz w:val="20"/>
          <w:szCs w:val="20"/>
          <w:color w:val="auto"/>
        </w:rPr>
      </w:pPr>
    </w:p>
    <w:p>
      <w:pPr>
        <w:ind w:right="120" w:firstLine="8"/>
        <w:spacing w:after="0" w:line="255" w:lineRule="auto"/>
        <w:tabs>
          <w:tab w:leader="none" w:pos="2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 Subsidiaries lease any Principal Property that we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Restricted Subsidiary has sold or transferred or will sell or transfer to that person. This term excludes the following:</w:t>
      </w:r>
    </w:p>
    <w:p>
      <w:pPr>
        <w:spacing w:after="0" w:line="186"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223"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 directly or indirectly, by us or by one or more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by us and one or more other Subsidiaries.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 equally with or senior to our other subordinated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outstanding from time to time.</w:t>
      </w:r>
    </w:p>
    <w:p>
      <w:pPr>
        <w:spacing w:after="0" w:line="170"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 interest on the subordinated debt securities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90"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227"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86"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86"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are entitled to receive dividends when declared by our Board of Directors. In certain cases, common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receive dividends until we satisfy our obligations to any preferred stockholders.</w:t>
      </w:r>
    </w:p>
    <w:p>
      <w:pPr>
        <w:spacing w:after="0" w:line="170"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share of common stock is entitled to one vote in the election of directors and in each other matter we may ask stockholders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92"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issuance and sale, validly issued, fully paid and non-assessable.</w:t>
      </w:r>
    </w:p>
    <w:p>
      <w:pPr>
        <w:spacing w:after="0" w:line="170"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 voluntarily, common stockholders will share ratably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remaining after we pay our creditors and any preferred stockholders.</w:t>
      </w:r>
    </w:p>
    <w:p>
      <w:pPr>
        <w:spacing w:after="0" w:line="170"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Listing.</w:t>
      </w:r>
      <w:r>
        <w:rPr>
          <w:sz w:val="20"/>
          <w:szCs w:val="20"/>
          <w:color w:val="auto"/>
        </w:rPr>
        <w:tab/>
      </w:r>
      <w:r>
        <w:rPr>
          <w:rFonts w:ascii="Times New Roman" w:cs="Times New Roman" w:eastAsia="Times New Roman" w:hAnsi="Times New Roman"/>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Times New Roman" w:cs="Times New Roman" w:eastAsia="Times New Roman" w:hAnsi="Times New Roman"/>
          <w:sz w:val="18"/>
          <w:szCs w:val="18"/>
          <w:i w:val="1"/>
          <w:iCs w:val="1"/>
          <w:color w:val="auto"/>
        </w:rPr>
        <w:t>Transfer Agent and Registrar.</w:t>
      </w:r>
      <w:r>
        <w:rPr>
          <w:sz w:val="20"/>
          <w:szCs w:val="20"/>
          <w:color w:val="auto"/>
        </w:rPr>
        <w:tab/>
      </w:r>
      <w:r>
        <w:rPr>
          <w:rFonts w:ascii="Times New Roman" w:cs="Times New Roman" w:eastAsia="Times New Roman" w:hAnsi="Times New Roman"/>
          <w:sz w:val="16"/>
          <w:szCs w:val="16"/>
          <w:color w:val="auto"/>
        </w:rPr>
        <w:t>The transfer agent and registrar for our common stock is Computershare in Jersey City,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7"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227"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0" w:lineRule="exact"/>
        <w:rPr>
          <w:sz w:val="20"/>
          <w:szCs w:val="20"/>
          <w:color w:val="auto"/>
        </w:rPr>
      </w:pPr>
    </w:p>
    <w:p>
      <w:pPr>
        <w:ind w:left="1080" w:right="22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03"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6"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6"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98"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98" w:lineRule="exact"/>
        <w:rPr>
          <w:sz w:val="20"/>
          <w:szCs w:val="20"/>
          <w:color w:val="auto"/>
        </w:rPr>
      </w:pPr>
    </w:p>
    <w:p>
      <w:pPr>
        <w:jc w:val="both"/>
        <w:ind w:right="140" w:firstLine="351"/>
        <w:spacing w:after="0" w:line="262"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6"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74" w:lineRule="exact"/>
        <w:rPr>
          <w:sz w:val="20"/>
          <w:szCs w:val="20"/>
          <w:color w:val="auto"/>
        </w:rPr>
      </w:pPr>
    </w:p>
    <w:p>
      <w:pPr>
        <w:ind w:firstLine="341"/>
        <w:spacing w:after="0" w:line="301" w:lineRule="auto"/>
        <w:rPr>
          <w:sz w:val="20"/>
          <w:szCs w:val="20"/>
          <w:color w:val="auto"/>
        </w:rPr>
      </w:pPr>
      <w:r>
        <w:rPr>
          <w:rFonts w:ascii="Times New Roman" w:cs="Times New Roman" w:eastAsia="Times New Roman" w:hAnsi="Times New Roman"/>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5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74" w:lineRule="exact"/>
        <w:rPr>
          <w:sz w:val="20"/>
          <w:szCs w:val="20"/>
          <w:color w:val="auto"/>
        </w:rPr>
      </w:pPr>
    </w:p>
    <w:p>
      <w:pPr>
        <w:ind w:right="180" w:firstLine="341"/>
        <w:spacing w:after="0" w:line="256"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92"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7"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20" w:firstLine="348"/>
        <w:spacing w:after="0" w:line="254" w:lineRule="auto"/>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auto"/>
          </w:rPr>
          <w:t xml:space="preserve">The consolidated financial statements of Waste Management, Inc. appearing in Waste Management, Inc.'s </w:t>
        </w:r>
        <w:r>
          <w:rPr>
            <w:rFonts w:ascii="Times New Roman" w:cs="Times New Roman" w:eastAsia="Times New Roman" w:hAnsi="Times New Roman"/>
            <w:sz w:val="18"/>
            <w:szCs w:val="18"/>
            <w:u w:val="single" w:color="auto"/>
            <w:color w:val="0000EE"/>
          </w:rPr>
          <w:t>Annual Report (Form 10-K) for the year ended</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December 31, 2018</w:t>
        </w:r>
        <w:r>
          <w:rPr>
            <w:rFonts w:ascii="Times New Roman" w:cs="Times New Roman" w:eastAsia="Times New Roman" w:hAnsi="Times New Roman"/>
            <w:sz w:val="18"/>
            <w:szCs w:val="18"/>
            <w:color w:val="000000"/>
          </w:rPr>
          <w:t xml:space="preserve">, and the effectiveness of Waste Management, Inc.'s internal control over financial reporting as of December 31, 2018, have been audited </w:t>
        </w:r>
      </w:hyperlink>
      <w:r>
        <w:rPr>
          <w:rFonts w:ascii="Times New Roman" w:cs="Times New Roman" w:eastAsia="Times New Roman" w:hAnsi="Times New Roman"/>
          <w:sz w:val="18"/>
          <w:szCs w:val="18"/>
          <w:color w:val="0000EE"/>
        </w:rPr>
        <w:t xml:space="preserve">by </w:t>
      </w:r>
      <w:r>
        <w:rPr>
          <w:rFonts w:ascii="Times New Roman" w:cs="Times New Roman" w:eastAsia="Times New Roman" w:hAnsi="Times New Roman"/>
          <w:sz w:val="18"/>
          <w:szCs w:val="18"/>
          <w:color w:val="000000"/>
        </w:rPr>
        <w:t>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$2,500,000,000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150495</wp:posOffset>
            </wp:positionV>
            <wp:extent cx="2760345" cy="1028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76034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$500,000,000 0.750% Senior Notes due 2025</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$500,000,000 1.150% Senior Notes due 2028</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$1,000,000,000 1.500% Senior Notes due 2031</w:t>
      </w:r>
    </w:p>
    <w:p>
      <w:pPr>
        <w:spacing w:after="0" w:line="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$500,000,000 2.500%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132715</wp:posOffset>
            </wp:positionV>
            <wp:extent cx="1868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150495</wp:posOffset>
            </wp:positionV>
            <wp:extent cx="1868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Barclays</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Mizuho Securities</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BofA Securities</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(Active 2025 notes and 2031 notes)</w:t>
      </w:r>
    </w:p>
    <w:p>
      <w:pPr>
        <w:spacing w:after="0" w:line="1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(Active 2031 notes and 2050 notes)</w:t>
      </w:r>
    </w:p>
    <w:p>
      <w:pPr>
        <w:spacing w:after="0" w:line="1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Scotiabank</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(Active 2028 notes and 2031 notes)</w:t>
      </w:r>
    </w:p>
    <w:p>
      <w:pPr>
        <w:spacing w:after="0" w:line="1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BNP PARIBAS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(Active 2025 notes)</w:t>
      </w:r>
    </w:p>
    <w:p>
      <w:pPr>
        <w:spacing w:after="0" w:line="1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(Active 2028 notes)</w:t>
      </w:r>
    </w:p>
    <w:p>
      <w:pPr>
        <w:spacing w:after="0" w:line="1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Deutsche Bank Securities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(Active 2028 notes)</w:t>
      </w:r>
    </w:p>
    <w:p>
      <w:pPr>
        <w:spacing w:after="0" w:line="1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MUFG</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(Active 2050 notes)</w:t>
      </w:r>
    </w:p>
    <w:p>
      <w:pPr>
        <w:spacing w:after="0" w:line="18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SMBC Nikko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(Active 2050 notes)</w:t>
      </w:r>
    </w:p>
    <w:p>
      <w:pPr>
        <w:spacing w:after="0" w:line="1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(Active 2025 notes)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Academy Securities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Loop Capital Markets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MFR Securities,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Mischler Financial Group,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Siebert Williams Shank</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Stern</w:t>
      </w:r>
    </w:p>
    <w:p>
      <w:pPr>
        <w:spacing w:after="0" w:line="21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5" w:right="1440" w:bottom="254"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61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2"/>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lvl w:ilvl="1">
      <w:lvlJc w:val="left"/>
      <w:lvlText w:val="(%2)"/>
      <w:numFmt w:val="lowerLetter"/>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upperLetter"/>
      <w:start w:val="1"/>
    </w:lvl>
  </w:abstractNum>
  <w:abstractNum w:abstractNumId="23">
    <w:nsid w:val="77465F01"/>
    <w:multiLevelType w:val="hybridMultilevel"/>
    <w:lvl w:ilvl="0">
      <w:lvlJc w:val="left"/>
      <w:lvlText w:val="%1."/>
      <w:numFmt w:val="upperLetter"/>
      <w:start w:val="1"/>
    </w:lvl>
    <w:lvl w:ilvl="1">
      <w:lvlJc w:val="left"/>
      <w:lvlText w:val="(%2)"/>
      <w:numFmt w:val="lowerRoman"/>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3"/>
    </w:lvl>
    <w:lvl w:ilvl="1">
      <w:lvlJc w:val="left"/>
      <w:lvlText w:val="•"/>
      <w:numFmt w:val="bullet"/>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jpe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jpe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27" Type="http://schemas.openxmlformats.org/officeDocument/2006/relationships/hyperlink" Target="http://www.sec.gov/ix?doc=/Archives/edgar/data/823768/000155837020000762/wm-20191231x10kba4080.htm" TargetMode="External"/><Relationship Id="rId28" Type="http://schemas.openxmlformats.org/officeDocument/2006/relationships/hyperlink" Target="http://www.sec.gov/ix?doc=/Archives/edgar/data/823768/000155837020005352/wm-20200506x10q.htm" TargetMode="External"/><Relationship Id="rId29" Type="http://schemas.openxmlformats.org/officeDocument/2006/relationships/hyperlink" Target="http://www.sec.gov/ix?doc=/Archives/edgar/data/823768/000155837020008751/wm-20200630x10q.htm" TargetMode="External"/><Relationship Id="rId61" Type="http://schemas.openxmlformats.org/officeDocument/2006/relationships/hyperlink" Target="http://www.sec.gov/ix?doc=/Archives/edgar/data/823768/000110465920024590/tm207498-2_8k.htm" TargetMode="External"/><Relationship Id="rId62" Type="http://schemas.openxmlformats.org/officeDocument/2006/relationships/hyperlink" Target="http://www.sec.gov/ix?doc=/Archives/edgar/data/823768/000110465920035007/tm2012998d1_8k.htm" TargetMode="External"/><Relationship Id="rId63" Type="http://schemas.openxmlformats.org/officeDocument/2006/relationships/hyperlink" Target="http://www.sec.gov/ix?doc=/Archives/edgar/data/823768/000110465920042259/tm2014773-1_8k.htm" TargetMode="External"/><Relationship Id="rId64" Type="http://schemas.openxmlformats.org/officeDocument/2006/relationships/hyperlink" Target="http://www.sec.gov/ix?doc=/Archives/edgar/data/823768/000110465920062449/tm2018602-2_8k.htm" TargetMode="External"/><Relationship Id="rId65" Type="http://schemas.openxmlformats.org/officeDocument/2006/relationships/hyperlink" Target="http://www.sec.gov/ix?doc=/Archives/edgar/data/823768/000110465920076267/tm2023187d1_8k.htm" TargetMode="External"/><Relationship Id="rId66" Type="http://schemas.openxmlformats.org/officeDocument/2006/relationships/hyperlink" Target="http://www.sec.gov/ix?doc=/Archives/edgar/data/823768/000110465920083610/tm2024786d1_8k.htm" TargetMode="External"/><Relationship Id="rId67" Type="http://schemas.openxmlformats.org/officeDocument/2006/relationships/hyperlink" Target="http://www.sec.gov/ix?doc=/Archives/edgar/data/823768/000110465920088121/tm2025932d1_8k.htm" TargetMode="External"/><Relationship Id="rId68" Type="http://schemas.openxmlformats.org/officeDocument/2006/relationships/hyperlink" Target="http://www.sec.gov/ix?doc=/Archives/edgar/data/823768/000110465920108905/tm2031817-1_8k.htm" TargetMode="External"/><Relationship Id="rId69" Type="http://schemas.openxmlformats.org/officeDocument/2006/relationships/hyperlink" Target="http://www.sec.gov/ix?doc=/Archives/edgar/data/823768/000110465920119782/tm2033110-1_8k.htm" TargetMode="External"/><Relationship Id="rId70" Type="http://schemas.openxmlformats.org/officeDocument/2006/relationships/hyperlink" Target="http://www.sec.gov/ix?doc=/Archives/edgar/data/823768/000110465920120998/tm2033110d3_8k.htm" TargetMode="External"/><Relationship Id="rId71" Type="http://schemas.openxmlformats.org/officeDocument/2006/relationships/hyperlink" Target="http://www.sec.gov/ix?doc=/Archives/edgar/data/823768/000155837020012210/wm-20200930x10q.htm" TargetMode="External"/><Relationship Id="rId72" Type="http://schemas.openxmlformats.org/officeDocument/2006/relationships/hyperlink" Target="http://www.sec.gov/Archives/edgar/data/823768/000104746920001849/a2241017zdef14a.htm" TargetMode="External"/><Relationship Id="rId82" Type="http://schemas.openxmlformats.org/officeDocument/2006/relationships/hyperlink" Target="http://www.sec.gov/Archives/edgar/data/823768/000155837019000662/wm-20181231x10k.htm" TargetMode="External"/><Relationship Id="rId83" Type="http://schemas.openxmlformats.org/officeDocument/2006/relationships/hyperlink" Target="http://www.sec.gov/Archives/edgar/data/823768/000155837019003279/wm-20190331x10q.htm" TargetMode="External"/><Relationship Id="rId84" Type="http://schemas.openxmlformats.org/officeDocument/2006/relationships/hyperlink" Target="http://www.sec.gov/Archives/edgar/data/823768/000110465919010295/a19-5282_18k.htm" TargetMode="External"/><Relationship Id="rId85" Type="http://schemas.openxmlformats.org/officeDocument/2006/relationships/hyperlink" Target="http://www.sec.gov/Archives/edgar/data/823768/000110465919021340/a19-8354_18k.htm" TargetMode="External"/><Relationship Id="rId86" Type="http://schemas.openxmlformats.org/officeDocument/2006/relationships/hyperlink" Target="http://www.sec.gov/Archives/edgar/data/823768/000104746919001663/a2238074zdef14a.htm" TargetMode="External"/><Relationship Id="rId87" Type="http://schemas.openxmlformats.org/officeDocument/2006/relationships/hyperlink" Target="http://www.sec.gov/Archives/edgar/data/823768/0000950134-95-00158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2020-11-09T16:24:12Z</dcterms:created>
  <dcterms:modified xsi:type="dcterms:W3CDTF">2020-11-09T16:24:12Z</dcterms:modified>
</cp:coreProperties>
</file>